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asciiTheme="minorEastAsia" w:hAnsiTheme="minorEastAsia" w:eastAsiaTheme="minorEastAsia" w:cstheme="minorEastAsia"/>
          <w:b/>
          <w:bCs w:val="0"/>
          <w:spacing w:val="20"/>
          <w:sz w:val="24"/>
          <w:szCs w:val="24"/>
          <w:highlight w:val="none"/>
        </w:rPr>
      </w:pPr>
      <w:bookmarkStart w:id="0" w:name="_Toc419186633"/>
      <w:bookmarkStart w:id="21" w:name="_GoBack"/>
      <w:r>
        <w:rPr>
          <w:rFonts w:hint="eastAsia" w:asciiTheme="minorEastAsia" w:hAnsiTheme="minorEastAsia" w:eastAsiaTheme="minorEastAsia" w:cstheme="minorEastAsia"/>
          <w:b/>
          <w:bCs w:val="0"/>
          <w:spacing w:val="20"/>
          <w:sz w:val="24"/>
          <w:szCs w:val="24"/>
          <w:highlight w:val="none"/>
          <w:lang w:val="en-US" w:eastAsia="zh-CN"/>
        </w:rPr>
        <w:t>永修县</w:t>
      </w:r>
      <w:r>
        <w:rPr>
          <w:rFonts w:hint="eastAsia" w:asciiTheme="minorEastAsia" w:hAnsiTheme="minorEastAsia" w:eastAsiaTheme="minorEastAsia" w:cstheme="minorEastAsia"/>
          <w:b/>
          <w:bCs w:val="0"/>
          <w:spacing w:val="20"/>
          <w:sz w:val="24"/>
          <w:szCs w:val="24"/>
          <w:highlight w:val="none"/>
        </w:rPr>
        <w:t>人民政府关于</w:t>
      </w:r>
      <w:r>
        <w:rPr>
          <w:rFonts w:hint="eastAsia" w:asciiTheme="minorEastAsia" w:hAnsiTheme="minorEastAsia" w:eastAsiaTheme="minorEastAsia" w:cstheme="minorEastAsia"/>
          <w:b/>
          <w:bCs w:val="0"/>
          <w:spacing w:val="20"/>
          <w:sz w:val="24"/>
          <w:szCs w:val="24"/>
          <w:highlight w:val="none"/>
          <w:lang w:val="en-US" w:eastAsia="zh-CN"/>
        </w:rPr>
        <w:t>吴罗公路</w:t>
      </w:r>
      <w:r>
        <w:rPr>
          <w:rFonts w:hint="eastAsia" w:asciiTheme="minorEastAsia" w:hAnsiTheme="minorEastAsia" w:eastAsiaTheme="minorEastAsia" w:cstheme="minorEastAsia"/>
          <w:b/>
          <w:bCs w:val="0"/>
          <w:spacing w:val="20"/>
          <w:sz w:val="24"/>
          <w:szCs w:val="24"/>
          <w:highlight w:val="none"/>
        </w:rPr>
        <w:t>(建设项目用地)</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asciiTheme="minorEastAsia" w:hAnsiTheme="minorEastAsia" w:eastAsiaTheme="minorEastAsia" w:cstheme="minorEastAsia"/>
          <w:b/>
          <w:bCs w:val="0"/>
          <w:sz w:val="24"/>
          <w:szCs w:val="24"/>
          <w:highlight w:val="none"/>
          <w:lang w:eastAsia="zh-CN"/>
        </w:rPr>
      </w:pPr>
      <w:r>
        <w:rPr>
          <w:rFonts w:hint="eastAsia" w:asciiTheme="minorEastAsia" w:hAnsiTheme="minorEastAsia" w:eastAsiaTheme="minorEastAsia" w:cstheme="minorEastAsia"/>
          <w:b/>
          <w:bCs w:val="0"/>
          <w:spacing w:val="20"/>
          <w:sz w:val="24"/>
          <w:szCs w:val="24"/>
          <w:highlight w:val="none"/>
        </w:rPr>
        <w:t>征</w:t>
      </w:r>
      <w:r>
        <w:rPr>
          <w:rFonts w:hint="eastAsia" w:asciiTheme="minorEastAsia" w:hAnsiTheme="minorEastAsia" w:eastAsiaTheme="minorEastAsia" w:cstheme="minorEastAsia"/>
          <w:b/>
          <w:bCs w:val="0"/>
          <w:spacing w:val="20"/>
          <w:sz w:val="24"/>
          <w:szCs w:val="24"/>
          <w:highlight w:val="none"/>
          <w:lang w:val="en-US" w:eastAsia="zh-CN"/>
        </w:rPr>
        <w:t>地</w:t>
      </w:r>
      <w:r>
        <w:rPr>
          <w:rFonts w:hint="eastAsia" w:asciiTheme="minorEastAsia" w:hAnsiTheme="minorEastAsia" w:eastAsiaTheme="minorEastAsia" w:cstheme="minorEastAsia"/>
          <w:b/>
          <w:bCs w:val="0"/>
          <w:spacing w:val="20"/>
          <w:sz w:val="24"/>
          <w:szCs w:val="24"/>
          <w:highlight w:val="none"/>
        </w:rPr>
        <w:t>补偿安置公告</w:t>
      </w:r>
      <w:bookmarkEnd w:id="0"/>
    </w:p>
    <w:bookmarkEnd w:id="21"/>
    <w:p>
      <w:pPr>
        <w:keepNext w:val="0"/>
        <w:keepLines w:val="0"/>
        <w:pageBreakBefore w:val="0"/>
        <w:kinsoku/>
        <w:wordWrap/>
        <w:overflowPunct/>
        <w:topLinePunct w:val="0"/>
        <w:autoSpaceDE/>
        <w:autoSpaceDN/>
        <w:bidi w:val="0"/>
        <w:adjustRightInd/>
        <w:snapToGrid/>
        <w:spacing w:line="480" w:lineRule="auto"/>
        <w:jc w:val="center"/>
        <w:textAlignment w:val="auto"/>
        <w:outlineLvl w:val="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trike w:val="0"/>
          <w:dstrike w:val="0"/>
          <w:sz w:val="24"/>
          <w:szCs w:val="24"/>
          <w:highlight w:val="none"/>
          <w:lang w:eastAsia="zh-CN"/>
        </w:rPr>
        <w:t>（</w:t>
      </w:r>
      <w:r>
        <w:rPr>
          <w:rFonts w:hint="eastAsia" w:asciiTheme="minorEastAsia" w:hAnsiTheme="minorEastAsia" w:eastAsiaTheme="minorEastAsia" w:cstheme="minorEastAsia"/>
          <w:strike w:val="0"/>
          <w:dstrike w:val="0"/>
          <w:sz w:val="24"/>
          <w:szCs w:val="24"/>
          <w:highlight w:val="none"/>
          <w:lang w:val="en-US" w:eastAsia="zh-CN"/>
        </w:rPr>
        <w:t>本公告为第一次公告</w:t>
      </w:r>
      <w:r>
        <w:rPr>
          <w:rFonts w:hint="eastAsia" w:asciiTheme="minorEastAsia" w:hAnsiTheme="minorEastAsia" w:eastAsiaTheme="minorEastAsia" w:cstheme="minorEastAsia"/>
          <w:strike w:val="0"/>
          <w:dstrike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b w:val="0"/>
          <w:bCs w:val="0"/>
          <w:sz w:val="24"/>
          <w:szCs w:val="24"/>
          <w:highlight w:val="none"/>
          <w:lang w:val="en"/>
        </w:rPr>
      </w:pPr>
      <w:r>
        <w:rPr>
          <w:rFonts w:hint="eastAsia" w:asciiTheme="minorEastAsia" w:hAnsiTheme="minorEastAsia" w:eastAsiaTheme="minorEastAsia" w:cstheme="minorEastAsia"/>
          <w:sz w:val="24"/>
          <w:szCs w:val="24"/>
          <w:highlight w:val="none"/>
        </w:rPr>
        <w:t>按照《中华人民共和国土地管理法》《中华人民共和国土地管理法实施条例》《江西省征收土地管理办法》《江西省人民政府关于公布全省征地区片综合地价的通知》（赣府字〔202</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23</w:t>
      </w:r>
      <w:r>
        <w:rPr>
          <w:rFonts w:hint="eastAsia" w:asciiTheme="minorEastAsia" w:hAnsiTheme="minorEastAsia" w:eastAsiaTheme="minorEastAsia" w:cstheme="minorEastAsia"/>
          <w:sz w:val="24"/>
          <w:szCs w:val="24"/>
          <w:highlight w:val="none"/>
        </w:rPr>
        <w:t>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《关于切实做好被征地农民参加基本养老保险相关工作的通知》（赣府厅发〔2022〕56号）、</w:t>
      </w:r>
      <w:r>
        <w:rPr>
          <w:rFonts w:hint="eastAsia" w:asciiTheme="minorEastAsia" w:hAnsiTheme="minorEastAsia" w:eastAsiaTheme="minorEastAsia" w:cstheme="minorEastAsia"/>
          <w:sz w:val="24"/>
          <w:szCs w:val="24"/>
          <w:highlight w:val="none"/>
          <w:lang w:eastAsia="zh-CN"/>
        </w:rPr>
        <w:t>《关于公布实施永修县农村村民住宅、地上附着物和青苗补偿标准的通知》（</w:t>
      </w:r>
      <w:r>
        <w:rPr>
          <w:rFonts w:hint="eastAsia" w:asciiTheme="minorEastAsia" w:hAnsiTheme="minorEastAsia" w:eastAsiaTheme="minorEastAsia" w:cstheme="minorEastAsia"/>
          <w:sz w:val="24"/>
          <w:szCs w:val="24"/>
          <w:highlight w:val="none"/>
        </w:rPr>
        <w:t>永</w:t>
      </w:r>
      <w:r>
        <w:rPr>
          <w:rFonts w:hint="eastAsia" w:asciiTheme="minorEastAsia" w:hAnsiTheme="minorEastAsia" w:eastAsiaTheme="minorEastAsia" w:cstheme="minorEastAsia"/>
          <w:sz w:val="24"/>
          <w:szCs w:val="24"/>
          <w:highlight w:val="none"/>
          <w:lang w:val="en-US" w:eastAsia="zh-CN"/>
        </w:rPr>
        <w:t>府发</w:t>
      </w:r>
      <w:r>
        <w:rPr>
          <w:rFonts w:hint="eastAsia" w:asciiTheme="minorEastAsia" w:hAnsiTheme="minorEastAsia" w:eastAsiaTheme="minorEastAsia" w:cstheme="minorEastAsia"/>
          <w:sz w:val="24"/>
          <w:szCs w:val="24"/>
          <w:highlight w:val="none"/>
        </w:rPr>
        <w:t>〔20</w:t>
      </w:r>
      <w:r>
        <w:rPr>
          <w:rFonts w:hint="eastAsia" w:asciiTheme="minorEastAsia" w:hAnsiTheme="minorEastAsia" w:eastAsiaTheme="minorEastAsia" w:cstheme="minorEastAsia"/>
          <w:sz w:val="24"/>
          <w:szCs w:val="24"/>
          <w:highlight w:val="none"/>
          <w:lang w:val="en-US" w:eastAsia="zh-CN"/>
        </w:rPr>
        <w:t>24</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2号</w:t>
      </w:r>
      <w:bookmarkStart w:id="1" w:name="_Hlk104462003"/>
      <w:r>
        <w:rPr>
          <w:rFonts w:hint="eastAsia" w:asciiTheme="minorEastAsia" w:hAnsiTheme="minorEastAsia" w:eastAsiaTheme="minorEastAsia" w:cstheme="minorEastAsia"/>
          <w:sz w:val="24"/>
          <w:szCs w:val="24"/>
          <w:highlight w:val="none"/>
          <w:lang w:val="en-US" w:eastAsia="zh-CN"/>
        </w:rPr>
        <w:t>）等规定</w:t>
      </w:r>
      <w:r>
        <w:rPr>
          <w:rFonts w:hint="eastAsia" w:asciiTheme="minorEastAsia" w:hAnsiTheme="minorEastAsia" w:eastAsiaTheme="minorEastAsia" w:cstheme="minorEastAsia"/>
          <w:sz w:val="24"/>
          <w:szCs w:val="24"/>
          <w:highlight w:val="none"/>
        </w:rPr>
        <w:t>，依据社会稳定风险评估结果和土地现状调查结果，</w:t>
      </w:r>
      <w:r>
        <w:rPr>
          <w:rFonts w:hint="eastAsia" w:asciiTheme="minorEastAsia" w:hAnsiTheme="minorEastAsia" w:eastAsiaTheme="minorEastAsia" w:cstheme="minorEastAsia"/>
          <w:sz w:val="24"/>
          <w:szCs w:val="24"/>
          <w:highlight w:val="none"/>
          <w:lang w:val="en-US" w:eastAsia="zh-CN"/>
        </w:rPr>
        <w:t>永修县</w:t>
      </w:r>
      <w:r>
        <w:rPr>
          <w:rFonts w:hint="eastAsia" w:asciiTheme="minorEastAsia" w:hAnsiTheme="minorEastAsia" w:eastAsiaTheme="minorEastAsia" w:cstheme="minorEastAsia"/>
          <w:sz w:val="24"/>
          <w:szCs w:val="24"/>
          <w:highlight w:val="none"/>
        </w:rPr>
        <w:t>人民政府拟订了</w:t>
      </w:r>
      <w:r>
        <w:rPr>
          <w:rFonts w:hint="eastAsia" w:asciiTheme="minorEastAsia" w:hAnsiTheme="minorEastAsia" w:eastAsiaTheme="minorEastAsia" w:cstheme="minorEastAsia"/>
          <w:color w:val="auto"/>
          <w:sz w:val="24"/>
          <w:szCs w:val="24"/>
          <w:highlight w:val="none"/>
          <w:lang w:val="en-US" w:eastAsia="zh-CN"/>
        </w:rPr>
        <w:t>吴罗公路</w:t>
      </w:r>
      <w:r>
        <w:rPr>
          <w:rFonts w:hint="eastAsia" w:asciiTheme="minorEastAsia" w:hAnsiTheme="minorEastAsia" w:eastAsiaTheme="minorEastAsia" w:cstheme="minorEastAsia"/>
          <w:color w:val="auto"/>
          <w:sz w:val="24"/>
          <w:szCs w:val="24"/>
          <w:highlight w:val="none"/>
        </w:rPr>
        <w:t>地块</w:t>
      </w:r>
      <w:r>
        <w:rPr>
          <w:rFonts w:hint="eastAsia" w:asciiTheme="minorEastAsia" w:hAnsiTheme="minorEastAsia" w:eastAsiaTheme="minorEastAsia" w:cstheme="minorEastAsia"/>
          <w:sz w:val="24"/>
          <w:szCs w:val="24"/>
          <w:highlight w:val="none"/>
        </w:rPr>
        <w:t>（建设项目用地）</w:t>
      </w:r>
      <w:r>
        <w:rPr>
          <w:rFonts w:hint="eastAsia" w:asciiTheme="minorEastAsia" w:hAnsiTheme="minorEastAsia" w:eastAsiaTheme="minorEastAsia" w:cstheme="minorEastAsia"/>
          <w:b w:val="0"/>
          <w:bCs w:val="0"/>
          <w:sz w:val="24"/>
          <w:szCs w:val="24"/>
          <w:highlight w:val="none"/>
        </w:rPr>
        <w:t>征收土地补偿安置方案</w:t>
      </w:r>
      <w:bookmarkEnd w:id="1"/>
      <w:r>
        <w:rPr>
          <w:rFonts w:hint="eastAsia" w:asciiTheme="minorEastAsia" w:hAnsiTheme="minorEastAsia" w:eastAsiaTheme="minorEastAsia" w:cstheme="minorEastAsia"/>
          <w:b w:val="0"/>
          <w:bCs w:val="0"/>
          <w:sz w:val="24"/>
          <w:szCs w:val="24"/>
          <w:highlight w:val="none"/>
        </w:rPr>
        <w:t>。现公告如下</w:t>
      </w:r>
      <w:r>
        <w:rPr>
          <w:rFonts w:hint="eastAsia" w:asciiTheme="minorEastAsia" w:hAnsiTheme="minorEastAsia" w:eastAsiaTheme="minorEastAsia" w:cstheme="minorEastAsia"/>
          <w:b w:val="0"/>
          <w:bCs w:val="0"/>
          <w:sz w:val="24"/>
          <w:szCs w:val="24"/>
          <w:highlight w:val="none"/>
          <w:lang w:val="en"/>
        </w:rPr>
        <w:t>：</w:t>
      </w:r>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sz w:val="24"/>
          <w:szCs w:val="24"/>
          <w:highlight w:val="none"/>
        </w:rPr>
      </w:pPr>
      <w:bookmarkStart w:id="2" w:name="_Toc109029675"/>
      <w:bookmarkStart w:id="3" w:name="_Toc109029778"/>
      <w:r>
        <w:rPr>
          <w:rFonts w:hint="eastAsia" w:asciiTheme="minorEastAsia" w:hAnsiTheme="minorEastAsia" w:eastAsiaTheme="minorEastAsia" w:cstheme="minorEastAsia"/>
          <w:sz w:val="24"/>
          <w:szCs w:val="24"/>
          <w:highlight w:val="none"/>
        </w:rPr>
        <w:t xml:space="preserve">    一、拟征收范围</w:t>
      </w:r>
      <w:bookmarkEnd w:id="2"/>
      <w:bookmarkEnd w:id="3"/>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bCs/>
          <w:sz w:val="24"/>
          <w:szCs w:val="24"/>
          <w:highlight w:val="none"/>
        </w:rPr>
      </w:pPr>
      <w:bookmarkStart w:id="4" w:name="_Hlk104462159"/>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一</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sz w:val="24"/>
          <w:szCs w:val="24"/>
          <w:highlight w:val="none"/>
        </w:rPr>
        <w:t>本次拟征地</w:t>
      </w:r>
      <w:r>
        <w:rPr>
          <w:rFonts w:hint="eastAsia" w:asciiTheme="minorEastAsia" w:hAnsiTheme="minorEastAsia" w:eastAsiaTheme="minorEastAsia" w:cstheme="minorEastAsia"/>
          <w:bCs/>
          <w:sz w:val="24"/>
          <w:szCs w:val="24"/>
          <w:highlight w:val="none"/>
        </w:rPr>
        <w:t>四至范围：</w:t>
      </w:r>
      <w:r>
        <w:rPr>
          <w:rFonts w:hint="eastAsia" w:asciiTheme="minorEastAsia" w:hAnsiTheme="minorEastAsia" w:eastAsiaTheme="minorEastAsia" w:cstheme="minorEastAsia"/>
          <w:sz w:val="24"/>
          <w:szCs w:val="24"/>
          <w:highlight w:val="none"/>
          <w:lang w:val="en-US" w:eastAsia="zh-CN"/>
        </w:rPr>
        <w:t>水田</w:t>
      </w:r>
      <w:r>
        <w:rPr>
          <w:rFonts w:hint="eastAsia" w:asciiTheme="minorEastAsia" w:hAnsiTheme="minorEastAsia" w:eastAsiaTheme="minorEastAsia" w:cstheme="minorEastAsia"/>
          <w:bCs/>
          <w:sz w:val="24"/>
          <w:szCs w:val="24"/>
          <w:highlight w:val="none"/>
        </w:rPr>
        <w:t>以南，</w:t>
      </w:r>
      <w:r>
        <w:rPr>
          <w:rFonts w:hint="eastAsia" w:asciiTheme="minorEastAsia" w:hAnsiTheme="minorEastAsia" w:eastAsiaTheme="minorEastAsia" w:cstheme="minorEastAsia"/>
          <w:sz w:val="24"/>
          <w:szCs w:val="24"/>
          <w:highlight w:val="none"/>
          <w:lang w:val="en-US" w:eastAsia="zh-CN"/>
        </w:rPr>
        <w:t>永吴公路</w:t>
      </w:r>
      <w:r>
        <w:rPr>
          <w:rFonts w:hint="eastAsia" w:asciiTheme="minorEastAsia" w:hAnsiTheme="minorEastAsia" w:eastAsiaTheme="minorEastAsia" w:cstheme="minorEastAsia"/>
          <w:bCs/>
          <w:sz w:val="24"/>
          <w:szCs w:val="24"/>
          <w:highlight w:val="none"/>
        </w:rPr>
        <w:t>以北，</w:t>
      </w:r>
      <w:r>
        <w:rPr>
          <w:rFonts w:hint="eastAsia" w:asciiTheme="minorEastAsia" w:hAnsiTheme="minorEastAsia" w:eastAsiaTheme="minorEastAsia" w:cstheme="minorEastAsia"/>
          <w:bCs/>
          <w:sz w:val="24"/>
          <w:szCs w:val="24"/>
          <w:highlight w:val="none"/>
          <w:lang w:val="en-US" w:eastAsia="zh-CN"/>
        </w:rPr>
        <w:t>昌九快速通路</w:t>
      </w:r>
      <w:r>
        <w:rPr>
          <w:rFonts w:hint="eastAsia" w:asciiTheme="minorEastAsia" w:hAnsiTheme="minorEastAsia" w:eastAsiaTheme="minorEastAsia" w:cstheme="minorEastAsia"/>
          <w:bCs/>
          <w:sz w:val="24"/>
          <w:szCs w:val="24"/>
          <w:highlight w:val="none"/>
        </w:rPr>
        <w:t>以东，</w:t>
      </w:r>
      <w:r>
        <w:rPr>
          <w:rFonts w:hint="eastAsia" w:asciiTheme="minorEastAsia" w:hAnsiTheme="minorEastAsia" w:eastAsiaTheme="minorEastAsia" w:cstheme="minorEastAsia"/>
          <w:bCs/>
          <w:sz w:val="24"/>
          <w:szCs w:val="24"/>
          <w:highlight w:val="none"/>
          <w:lang w:val="en-US" w:eastAsia="zh-CN"/>
        </w:rPr>
        <w:t>三角乡与新祺周交界</w:t>
      </w:r>
      <w:r>
        <w:rPr>
          <w:rFonts w:hint="eastAsia" w:asciiTheme="minorEastAsia" w:hAnsiTheme="minorEastAsia" w:eastAsiaTheme="minorEastAsia" w:cstheme="minorEastAsia"/>
          <w:bCs/>
          <w:sz w:val="24"/>
          <w:szCs w:val="24"/>
          <w:highlight w:val="none"/>
        </w:rPr>
        <w:t>以西，</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见附件1</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 xml:space="preserve">   </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二</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sz w:val="24"/>
          <w:szCs w:val="24"/>
          <w:highlight w:val="none"/>
        </w:rPr>
        <w:t>本次拟征地</w:t>
      </w:r>
      <w:r>
        <w:rPr>
          <w:rFonts w:hint="eastAsia" w:asciiTheme="minorEastAsia" w:hAnsiTheme="minorEastAsia" w:eastAsiaTheme="minorEastAsia" w:cstheme="minorEastAsia"/>
          <w:sz w:val="24"/>
          <w:szCs w:val="24"/>
          <w:highlight w:val="none"/>
          <w:lang w:val="en-US" w:eastAsia="zh-CN"/>
        </w:rPr>
        <w:t>共</w:t>
      </w:r>
      <w:r>
        <w:rPr>
          <w:rFonts w:hint="eastAsia" w:asciiTheme="minorEastAsia" w:hAnsiTheme="minorEastAsia" w:eastAsiaTheme="minorEastAsia" w:cstheme="minorEastAsia"/>
          <w:color w:val="auto"/>
          <w:sz w:val="24"/>
          <w:szCs w:val="24"/>
          <w:highlight w:val="none"/>
          <w:lang w:val="en-US" w:eastAsia="zh-CN"/>
        </w:rPr>
        <w:t>一</w:t>
      </w:r>
      <w:r>
        <w:rPr>
          <w:rFonts w:hint="eastAsia" w:asciiTheme="minorEastAsia" w:hAnsiTheme="minorEastAsia" w:eastAsiaTheme="minorEastAsia" w:cstheme="minorEastAsia"/>
          <w:sz w:val="24"/>
          <w:szCs w:val="24"/>
          <w:highlight w:val="none"/>
          <w:lang w:val="en-US" w:eastAsia="zh-CN"/>
        </w:rPr>
        <w:t>宗地</w:t>
      </w:r>
      <w:r>
        <w:rPr>
          <w:rFonts w:hint="eastAsia" w:asciiTheme="minorEastAsia" w:hAnsiTheme="minorEastAsia" w:eastAsiaTheme="minorEastAsia" w:cstheme="minorEastAsia"/>
          <w:sz w:val="24"/>
          <w:szCs w:val="24"/>
          <w:highlight w:val="none"/>
        </w:rPr>
        <w:t>，土地产权明晰，界址清楚，没有争议。涉及</w:t>
      </w:r>
      <w:r>
        <w:rPr>
          <w:rFonts w:hint="eastAsia" w:asciiTheme="minorEastAsia" w:hAnsiTheme="minorEastAsia" w:eastAsiaTheme="minorEastAsia" w:cstheme="minorEastAsia"/>
          <w:sz w:val="24"/>
          <w:szCs w:val="24"/>
          <w:highlight w:val="none"/>
          <w:lang w:val="en-US" w:eastAsia="zh-CN"/>
        </w:rPr>
        <w:t>三角白沙村仓下组、建华村六组、鄱湖村、鄱湖村永善组、树下村、树下村沙湖组、树下村树下组、树下村周家湖组、水产场、五星村管头组、五星村新基组、五星村棋杆组、五星村五房组、永丰村、永丰村井里王家组、永丰村闵家组、周坊村、周坊村一组</w:t>
      </w:r>
      <w:r>
        <w:rPr>
          <w:rFonts w:hint="eastAsia" w:asciiTheme="minorEastAsia" w:hAnsiTheme="minorEastAsia" w:eastAsiaTheme="minorEastAsia" w:cstheme="minorEastAsia"/>
          <w:sz w:val="24"/>
          <w:szCs w:val="24"/>
          <w:highlight w:val="none"/>
        </w:rPr>
        <w:t>。</w:t>
      </w:r>
    </w:p>
    <w:bookmarkEnd w:id="4"/>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w:t>
      </w:r>
      <w:bookmarkStart w:id="5" w:name="_Toc109029779"/>
      <w:bookmarkStart w:id="6" w:name="_Toc109029676"/>
      <w:r>
        <w:rPr>
          <w:rFonts w:hint="eastAsia" w:asciiTheme="minorEastAsia" w:hAnsiTheme="minorEastAsia" w:eastAsiaTheme="minorEastAsia" w:cstheme="minorEastAsia"/>
          <w:sz w:val="24"/>
          <w:szCs w:val="24"/>
          <w:highlight w:val="none"/>
        </w:rPr>
        <w:t>二、征收目的</w:t>
      </w:r>
      <w:bookmarkEnd w:id="5"/>
      <w:bookmarkEnd w:id="6"/>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bookmarkStart w:id="7" w:name="_Hlk104462118"/>
      <w:r>
        <w:rPr>
          <w:rFonts w:hint="eastAsia" w:asciiTheme="minorEastAsia" w:hAnsiTheme="minorEastAsia" w:eastAsiaTheme="minorEastAsia" w:cstheme="minorEastAsia"/>
          <w:sz w:val="24"/>
          <w:szCs w:val="24"/>
          <w:highlight w:val="none"/>
        </w:rPr>
        <w:t>因公共利益的需要，此次拟征收土地规划用途为</w:t>
      </w:r>
      <w:r>
        <w:rPr>
          <w:rFonts w:hint="eastAsia" w:asciiTheme="minorEastAsia" w:hAnsiTheme="minorEastAsia" w:eastAsiaTheme="minorEastAsia" w:cstheme="minorEastAsia"/>
          <w:color w:val="auto"/>
          <w:sz w:val="24"/>
          <w:szCs w:val="24"/>
          <w:highlight w:val="none"/>
          <w:lang w:val="en-US" w:eastAsia="zh-CN"/>
        </w:rPr>
        <w:t>交通基础设施建设</w:t>
      </w:r>
      <w:r>
        <w:rPr>
          <w:rFonts w:hint="eastAsia" w:asciiTheme="minorEastAsia" w:hAnsiTheme="minorEastAsia" w:eastAsiaTheme="minorEastAsia" w:cstheme="minorEastAsia"/>
          <w:sz w:val="24"/>
          <w:szCs w:val="24"/>
          <w:highlight w:val="none"/>
        </w:rPr>
        <w:t>，拟用于</w:t>
      </w:r>
      <w:r>
        <w:rPr>
          <w:rFonts w:hint="eastAsia" w:asciiTheme="minorEastAsia" w:hAnsiTheme="minorEastAsia" w:eastAsiaTheme="minorEastAsia" w:cstheme="minorEastAsia"/>
          <w:sz w:val="24"/>
          <w:szCs w:val="24"/>
          <w:highlight w:val="none"/>
          <w:lang w:val="en-US" w:eastAsia="zh-CN"/>
        </w:rPr>
        <w:t>吴罗公路</w:t>
      </w:r>
      <w:r>
        <w:rPr>
          <w:rFonts w:hint="eastAsia" w:asciiTheme="minorEastAsia" w:hAnsiTheme="minorEastAsia" w:eastAsiaTheme="minorEastAsia" w:cstheme="minorEastAsia"/>
          <w:sz w:val="24"/>
          <w:szCs w:val="24"/>
          <w:highlight w:val="none"/>
        </w:rPr>
        <w:t>项目建设。</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三、土地现状调查结果</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经调查确认，本次拟征地面积</w:t>
      </w:r>
      <w:r>
        <w:rPr>
          <w:rFonts w:hint="eastAsia" w:asciiTheme="minorEastAsia" w:hAnsiTheme="minorEastAsia" w:eastAsiaTheme="minorEastAsia" w:cstheme="minorEastAsia"/>
          <w:sz w:val="24"/>
          <w:szCs w:val="24"/>
          <w:highlight w:val="none"/>
          <w:lang w:val="en-US" w:eastAsia="zh-CN"/>
        </w:rPr>
        <w:t>72.61</w:t>
      </w:r>
      <w:r>
        <w:rPr>
          <w:rFonts w:hint="eastAsia" w:asciiTheme="minorEastAsia" w:hAnsiTheme="minorEastAsia" w:eastAsiaTheme="minorEastAsia" w:cstheme="minorEastAsia"/>
          <w:sz w:val="24"/>
          <w:szCs w:val="24"/>
          <w:highlight w:val="none"/>
        </w:rPr>
        <w:t>亩。其中：水田</w:t>
      </w:r>
      <w:r>
        <w:rPr>
          <w:rFonts w:hint="eastAsia" w:asciiTheme="minorEastAsia" w:hAnsiTheme="minorEastAsia" w:eastAsiaTheme="minorEastAsia" w:cstheme="minorEastAsia"/>
          <w:sz w:val="24"/>
          <w:szCs w:val="24"/>
          <w:highlight w:val="none"/>
          <w:lang w:val="en-US" w:eastAsia="zh-CN"/>
        </w:rPr>
        <w:t>12.05</w:t>
      </w:r>
      <w:r>
        <w:rPr>
          <w:rFonts w:hint="eastAsia" w:asciiTheme="minorEastAsia" w:hAnsiTheme="minorEastAsia" w:eastAsiaTheme="minorEastAsia" w:cstheme="minorEastAsia"/>
          <w:sz w:val="24"/>
          <w:szCs w:val="24"/>
          <w:highlight w:val="none"/>
        </w:rPr>
        <w:t>亩 、</w:t>
      </w:r>
      <w:r>
        <w:rPr>
          <w:rFonts w:hint="eastAsia" w:asciiTheme="minorEastAsia" w:hAnsiTheme="minorEastAsia" w:eastAsiaTheme="minorEastAsia" w:cstheme="minorEastAsia"/>
          <w:sz w:val="24"/>
          <w:szCs w:val="24"/>
          <w:highlight w:val="none"/>
          <w:lang w:val="en-US" w:eastAsia="zh-CN"/>
        </w:rPr>
        <w:t>其他农用地59.08</w:t>
      </w:r>
      <w:r>
        <w:rPr>
          <w:rFonts w:hint="eastAsia" w:asciiTheme="minorEastAsia" w:hAnsiTheme="minorEastAsia" w:eastAsiaTheme="minorEastAsia" w:cstheme="minorEastAsia"/>
          <w:sz w:val="24"/>
          <w:szCs w:val="24"/>
          <w:highlight w:val="none"/>
        </w:rPr>
        <w:t>亩、</w:t>
      </w:r>
      <w:r>
        <w:rPr>
          <w:rFonts w:hint="eastAsia" w:asciiTheme="minorEastAsia" w:hAnsiTheme="minorEastAsia" w:eastAsiaTheme="minorEastAsia" w:cstheme="minorEastAsia"/>
          <w:sz w:val="24"/>
          <w:szCs w:val="24"/>
          <w:highlight w:val="none"/>
          <w:lang w:val="en-US" w:eastAsia="zh-CN"/>
        </w:rPr>
        <w:t>建设用地1.48亩</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调查具体结果见附件2</w:t>
      </w:r>
      <w:r>
        <w:rPr>
          <w:rFonts w:hint="eastAsia" w:asciiTheme="minorEastAsia" w:hAnsiTheme="minorEastAsia" w:eastAsiaTheme="minorEastAsia" w:cstheme="minorEastAsia"/>
          <w:sz w:val="24"/>
          <w:szCs w:val="24"/>
          <w:highlight w:val="none"/>
          <w:lang w:eastAsia="zh-CN"/>
        </w:rPr>
        <w:t>。</w:t>
      </w:r>
    </w:p>
    <w:bookmarkEnd w:id="7"/>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sz w:val="24"/>
          <w:szCs w:val="24"/>
          <w:highlight w:val="none"/>
        </w:rPr>
      </w:pPr>
      <w:bookmarkStart w:id="8" w:name="_Toc109029677"/>
      <w:bookmarkStart w:id="9" w:name="_Toc109029780"/>
      <w:r>
        <w:rPr>
          <w:rFonts w:hint="eastAsia" w:asciiTheme="minorEastAsia" w:hAnsiTheme="minorEastAsia" w:eastAsiaTheme="minorEastAsia" w:cstheme="minorEastAsia"/>
          <w:sz w:val="24"/>
          <w:szCs w:val="24"/>
          <w:highlight w:val="none"/>
        </w:rPr>
        <w:t xml:space="preserve">    四、征地补偿安置及费用支付对象、方式和期限</w:t>
      </w:r>
      <w:bookmarkEnd w:id="8"/>
      <w:bookmarkEnd w:id="9"/>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sz w:val="24"/>
          <w:szCs w:val="24"/>
          <w:highlight w:val="none"/>
        </w:rPr>
      </w:pPr>
      <w:bookmarkStart w:id="10" w:name="_Hlk104462081"/>
      <w:r>
        <w:rPr>
          <w:rFonts w:hint="eastAsia" w:asciiTheme="minorEastAsia" w:hAnsiTheme="minorEastAsia" w:eastAsiaTheme="minorEastAsia" w:cstheme="minorEastAsia"/>
          <w:sz w:val="24"/>
          <w:szCs w:val="24"/>
          <w:highlight w:val="none"/>
        </w:rPr>
        <w:t xml:space="preserve">   （一）补偿安置基本情况</w:t>
      </w:r>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1、土地补偿费和安置补助费</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拟征土地的补偿费和安置补助费按照《江西省人民政府关于公布全省征地区片综合地价的通知》（赣府字〔202</w:t>
      </w:r>
      <w:r>
        <w:rPr>
          <w:rFonts w:hint="eastAsia" w:asciiTheme="minorEastAsia" w:hAnsiTheme="minorEastAsia" w:eastAsiaTheme="minorEastAsia" w:cstheme="minorEastAsia"/>
          <w:sz w:val="24"/>
          <w:szCs w:val="24"/>
          <w:highlight w:val="none"/>
          <w:lang w:eastAsia="zh-CN"/>
        </w:rPr>
        <w:t>3</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eastAsia="zh-CN"/>
        </w:rPr>
        <w:t>2</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号）</w:t>
      </w:r>
      <w:r>
        <w:rPr>
          <w:rFonts w:hint="eastAsia" w:asciiTheme="minorEastAsia" w:hAnsiTheme="minorEastAsia" w:eastAsiaTheme="minorEastAsia" w:cstheme="minorEastAsia"/>
          <w:strike w:val="0"/>
          <w:dstrike w:val="0"/>
          <w:color w:val="auto"/>
          <w:sz w:val="24"/>
          <w:szCs w:val="24"/>
          <w:highlight w:val="none"/>
        </w:rPr>
        <w:t>文件的标准执行，</w:t>
      </w:r>
      <w:r>
        <w:rPr>
          <w:rFonts w:hint="eastAsia" w:asciiTheme="minorEastAsia" w:hAnsiTheme="minorEastAsia" w:eastAsiaTheme="minorEastAsia" w:cstheme="minorEastAsia"/>
          <w:sz w:val="24"/>
          <w:szCs w:val="24"/>
          <w:highlight w:val="none"/>
        </w:rPr>
        <w:t>具体补偿标准及金额见附件2。</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bookmarkStart w:id="11" w:name="_Toc11879"/>
      <w:r>
        <w:rPr>
          <w:rFonts w:hint="eastAsia" w:asciiTheme="minorEastAsia" w:hAnsiTheme="minorEastAsia" w:eastAsiaTheme="minorEastAsia" w:cstheme="minorEastAsia"/>
          <w:sz w:val="24"/>
          <w:szCs w:val="24"/>
          <w:highlight w:val="none"/>
        </w:rPr>
        <w:t>地上青苗、树木等的补偿标准及费用</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bookmarkStart w:id="12" w:name="_Toc109029781"/>
      <w:bookmarkStart w:id="13" w:name="_Toc109029678"/>
      <w:r>
        <w:rPr>
          <w:rFonts w:hint="eastAsia" w:asciiTheme="minorEastAsia" w:hAnsiTheme="minorEastAsia" w:eastAsiaTheme="minorEastAsia" w:cstheme="minorEastAsia"/>
          <w:sz w:val="24"/>
          <w:szCs w:val="24"/>
          <w:highlight w:val="none"/>
        </w:rPr>
        <w:t>地上青苗、树木等的补偿标准按照</w:t>
      </w:r>
      <w:r>
        <w:rPr>
          <w:rFonts w:hint="eastAsia" w:asciiTheme="minorEastAsia" w:hAnsiTheme="minorEastAsia" w:eastAsiaTheme="minorEastAsia" w:cstheme="minorEastAsia"/>
          <w:sz w:val="24"/>
          <w:szCs w:val="24"/>
          <w:highlight w:val="none"/>
          <w:lang w:eastAsia="zh-CN"/>
        </w:rPr>
        <w:t>《关于公布实施永修县农村村民住宅、地上附着物和青苗补偿标准的通知》（</w:t>
      </w:r>
      <w:r>
        <w:rPr>
          <w:rFonts w:hint="eastAsia" w:asciiTheme="minorEastAsia" w:hAnsiTheme="minorEastAsia" w:eastAsiaTheme="minorEastAsia" w:cstheme="minorEastAsia"/>
          <w:sz w:val="24"/>
          <w:szCs w:val="24"/>
          <w:highlight w:val="none"/>
        </w:rPr>
        <w:t>永</w:t>
      </w:r>
      <w:r>
        <w:rPr>
          <w:rFonts w:hint="eastAsia" w:asciiTheme="minorEastAsia" w:hAnsiTheme="minorEastAsia" w:eastAsiaTheme="minorEastAsia" w:cstheme="minorEastAsia"/>
          <w:sz w:val="24"/>
          <w:szCs w:val="24"/>
          <w:highlight w:val="none"/>
          <w:lang w:val="en-US" w:eastAsia="zh-CN"/>
        </w:rPr>
        <w:t>府发</w:t>
      </w:r>
      <w:r>
        <w:rPr>
          <w:rFonts w:hint="eastAsia" w:asciiTheme="minorEastAsia" w:hAnsiTheme="minorEastAsia" w:eastAsiaTheme="minorEastAsia" w:cstheme="minorEastAsia"/>
          <w:sz w:val="24"/>
          <w:szCs w:val="24"/>
          <w:highlight w:val="none"/>
        </w:rPr>
        <w:t>〔20</w:t>
      </w:r>
      <w:r>
        <w:rPr>
          <w:rFonts w:hint="eastAsia" w:asciiTheme="minorEastAsia" w:hAnsiTheme="minorEastAsia" w:eastAsiaTheme="minorEastAsia" w:cstheme="minorEastAsia"/>
          <w:sz w:val="24"/>
          <w:szCs w:val="24"/>
          <w:highlight w:val="none"/>
          <w:lang w:val="en-US" w:eastAsia="zh-CN"/>
        </w:rPr>
        <w:t>24</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2号）规定</w:t>
      </w:r>
      <w:r>
        <w:rPr>
          <w:rFonts w:hint="eastAsia" w:asciiTheme="minorEastAsia" w:hAnsiTheme="minorEastAsia" w:eastAsiaTheme="minorEastAsia" w:cstheme="minorEastAsia"/>
          <w:color w:val="auto"/>
          <w:sz w:val="24"/>
          <w:szCs w:val="24"/>
          <w:highlight w:val="none"/>
        </w:rPr>
        <w:t>执行，</w:t>
      </w:r>
      <w:r>
        <w:rPr>
          <w:rFonts w:hint="eastAsia" w:asciiTheme="minorEastAsia" w:hAnsiTheme="minorEastAsia" w:eastAsiaTheme="minorEastAsia" w:cstheme="minorEastAsia"/>
          <w:sz w:val="24"/>
          <w:szCs w:val="24"/>
          <w:highlight w:val="none"/>
        </w:rPr>
        <w:t>具体补偿标准及金额见附件3</w:t>
      </w:r>
      <w:bookmarkEnd w:id="12"/>
      <w:bookmarkEnd w:id="13"/>
      <w:r>
        <w:rPr>
          <w:rFonts w:hint="eastAsia" w:asciiTheme="minorEastAsia" w:hAnsiTheme="minorEastAsia" w:eastAsiaTheme="minorEastAsia" w:cstheme="minorEastAsia"/>
          <w:sz w:val="24"/>
          <w:szCs w:val="24"/>
          <w:highlight w:val="none"/>
        </w:rPr>
        <w:t>。</w:t>
      </w:r>
      <w:bookmarkEnd w:id="11"/>
    </w:p>
    <w:p>
      <w:pPr>
        <w:keepNext w:val="0"/>
        <w:keepLines w:val="0"/>
        <w:pageBreakBefore w:val="0"/>
        <w:widowControl w:val="0"/>
        <w:kinsoku/>
        <w:wordWrap/>
        <w:overflowPunct/>
        <w:topLinePunct w:val="0"/>
        <w:autoSpaceDE/>
        <w:autoSpaceDN/>
        <w:bidi w:val="0"/>
        <w:adjustRightInd/>
        <w:spacing w:line="480" w:lineRule="auto"/>
        <w:ind w:firstLine="360" w:firstLineChars="15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（二）支付对象</w:t>
      </w:r>
    </w:p>
    <w:p>
      <w:pPr>
        <w:pStyle w:val="6"/>
        <w:keepNext w:val="0"/>
        <w:keepLines w:val="0"/>
        <w:pageBreakBefore w:val="0"/>
        <w:widowControl w:val="0"/>
        <w:kinsoku/>
        <w:wordWrap/>
        <w:overflowPunct/>
        <w:topLinePunct w:val="0"/>
        <w:autoSpaceDE/>
        <w:autoSpaceDN/>
        <w:bidi w:val="0"/>
        <w:adjustRightInd/>
        <w:spacing w:after="0" w:line="480" w:lineRule="auto"/>
        <w:ind w:left="0" w:leftChars="0"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1、土地补偿费、安置补助费足额支付给被征地农村集体经济组织，被征地农村集体经济组织根据分配方案进行分配。</w:t>
      </w:r>
    </w:p>
    <w:p>
      <w:pPr>
        <w:pStyle w:val="6"/>
        <w:keepNext w:val="0"/>
        <w:keepLines w:val="0"/>
        <w:pageBreakBefore w:val="0"/>
        <w:widowControl w:val="0"/>
        <w:kinsoku/>
        <w:wordWrap/>
        <w:overflowPunct/>
        <w:topLinePunct w:val="0"/>
        <w:autoSpaceDE/>
        <w:autoSpaceDN/>
        <w:bidi w:val="0"/>
        <w:adjustRightInd/>
        <w:spacing w:after="0" w:line="480" w:lineRule="auto"/>
        <w:ind w:left="0" w:leftChars="0" w:firstLine="66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2、青苗及树木等属于拟被征地农村集体经济组织所有的，其补偿费支付给拟被征地农村集体经济组织；属于个人或承包经营者所有的，其补偿费</w:t>
      </w:r>
      <w:r>
        <w:rPr>
          <w:rFonts w:hint="eastAsia" w:asciiTheme="minorEastAsia" w:hAnsiTheme="minorEastAsia" w:eastAsiaTheme="minorEastAsia" w:cstheme="minorEastAsia"/>
          <w:sz w:val="24"/>
          <w:szCs w:val="24"/>
          <w:highlight w:val="none"/>
          <w:lang w:val="en-US" w:eastAsia="zh-CN"/>
        </w:rPr>
        <w:t>由</w:t>
      </w:r>
      <w:r>
        <w:rPr>
          <w:rFonts w:hint="eastAsia" w:asciiTheme="minorEastAsia" w:hAnsiTheme="minorEastAsia" w:eastAsiaTheme="minorEastAsia" w:cstheme="minorEastAsia"/>
          <w:color w:val="auto"/>
          <w:sz w:val="24"/>
          <w:szCs w:val="24"/>
          <w:highlight w:val="none"/>
          <w:lang w:val="en-US" w:eastAsia="zh-CN"/>
        </w:rPr>
        <w:t>三角乡人民政府</w:t>
      </w:r>
      <w:r>
        <w:rPr>
          <w:rFonts w:hint="eastAsia" w:asciiTheme="minorEastAsia" w:hAnsiTheme="minorEastAsia" w:eastAsiaTheme="minorEastAsia" w:cstheme="minorEastAsia"/>
          <w:sz w:val="24"/>
          <w:szCs w:val="24"/>
          <w:highlight w:val="none"/>
          <w:lang w:val="en-US" w:eastAsia="zh-CN"/>
        </w:rPr>
        <w:t>支付</w:t>
      </w:r>
      <w:r>
        <w:rPr>
          <w:rFonts w:hint="eastAsia" w:asciiTheme="minorEastAsia" w:hAnsiTheme="minorEastAsia" w:eastAsiaTheme="minorEastAsia" w:cstheme="minorEastAsia"/>
          <w:sz w:val="24"/>
          <w:szCs w:val="24"/>
          <w:highlight w:val="none"/>
        </w:rPr>
        <w:t>给个人或承包经营者。</w:t>
      </w:r>
    </w:p>
    <w:p>
      <w:pPr>
        <w:keepNext w:val="0"/>
        <w:keepLines w:val="0"/>
        <w:pageBreakBefore w:val="0"/>
        <w:widowControl w:val="0"/>
        <w:kinsoku/>
        <w:wordWrap/>
        <w:overflowPunct/>
        <w:topLinePunct w:val="0"/>
        <w:autoSpaceDE/>
        <w:autoSpaceDN/>
        <w:bidi w:val="0"/>
        <w:adjustRightInd/>
        <w:spacing w:line="480" w:lineRule="auto"/>
        <w:ind w:firstLine="360" w:firstLineChars="150"/>
        <w:jc w:val="both"/>
        <w:textAlignment w:val="auto"/>
        <w:outlineLvl w:val="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（三）支付方式</w:t>
      </w:r>
    </w:p>
    <w:p>
      <w:pPr>
        <w:pStyle w:val="6"/>
        <w:keepNext w:val="0"/>
        <w:keepLines w:val="0"/>
        <w:pageBreakBefore w:val="0"/>
        <w:widowControl w:val="0"/>
        <w:kinsoku/>
        <w:wordWrap/>
        <w:overflowPunct/>
        <w:topLinePunct w:val="0"/>
        <w:autoSpaceDE/>
        <w:autoSpaceDN/>
        <w:bidi w:val="0"/>
        <w:adjustRightInd/>
        <w:spacing w:after="0" w:line="480" w:lineRule="auto"/>
        <w:ind w:left="0" w:leftChars="0"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所有费用以转账方式线上支付。</w:t>
      </w:r>
    </w:p>
    <w:p>
      <w:pPr>
        <w:pStyle w:val="6"/>
        <w:keepNext w:val="0"/>
        <w:keepLines w:val="0"/>
        <w:pageBreakBefore w:val="0"/>
        <w:widowControl w:val="0"/>
        <w:kinsoku/>
        <w:wordWrap/>
        <w:overflowPunct/>
        <w:topLinePunct w:val="0"/>
        <w:autoSpaceDE/>
        <w:autoSpaceDN/>
        <w:bidi w:val="0"/>
        <w:adjustRightInd/>
        <w:spacing w:after="0" w:line="480" w:lineRule="auto"/>
        <w:ind w:left="0" w:leftChars="0"/>
        <w:jc w:val="both"/>
        <w:textAlignment w:val="auto"/>
        <w:outlineLvl w:val="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rPr>
        <w:t xml:space="preserve">   （四）支付期限</w:t>
      </w:r>
    </w:p>
    <w:p>
      <w:pPr>
        <w:pStyle w:val="6"/>
        <w:keepNext w:val="0"/>
        <w:keepLines w:val="0"/>
        <w:pageBreakBefore w:val="0"/>
        <w:widowControl w:val="0"/>
        <w:kinsoku/>
        <w:wordWrap/>
        <w:overflowPunct/>
        <w:topLinePunct w:val="0"/>
        <w:autoSpaceDE/>
        <w:autoSpaceDN/>
        <w:bidi w:val="0"/>
        <w:adjustRightInd/>
        <w:spacing w:after="0" w:line="480" w:lineRule="auto"/>
        <w:ind w:left="0" w:leftChars="0"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上述费用应当在征收土地公告发布之日起60日内足额支付。对个别未达成征地补偿安置协议的，支付期限自征收土地补偿安置决定作出之日起计算，即作出补偿安置决定之日起60日之内支付。</w:t>
      </w:r>
    </w:p>
    <w:p>
      <w:pPr>
        <w:pStyle w:val="6"/>
        <w:keepNext w:val="0"/>
        <w:keepLines w:val="0"/>
        <w:pageBreakBefore w:val="0"/>
        <w:widowControl w:val="0"/>
        <w:kinsoku/>
        <w:wordWrap/>
        <w:overflowPunct/>
        <w:topLinePunct w:val="0"/>
        <w:autoSpaceDE/>
        <w:autoSpaceDN/>
        <w:bidi w:val="0"/>
        <w:adjustRightInd/>
        <w:spacing w:after="0" w:line="480" w:lineRule="auto"/>
        <w:ind w:left="0" w:leftChars="0"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其他安置方式的期限按协议约定执行。</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trike w:val="0"/>
          <w:dstrike w:val="0"/>
          <w:sz w:val="24"/>
          <w:szCs w:val="24"/>
          <w:highlight w:val="none"/>
        </w:rPr>
      </w:pPr>
      <w:r>
        <w:rPr>
          <w:rFonts w:hint="eastAsia" w:asciiTheme="minorEastAsia" w:hAnsiTheme="minorEastAsia" w:eastAsiaTheme="minorEastAsia" w:cstheme="minorEastAsia"/>
          <w:strike w:val="0"/>
          <w:dstrike w:val="0"/>
          <w:sz w:val="24"/>
          <w:szCs w:val="24"/>
          <w:highlight w:val="none"/>
        </w:rPr>
        <w:t xml:space="preserve"> 五、社保安置</w:t>
      </w:r>
    </w:p>
    <w:p>
      <w:pPr>
        <w:keepNext w:val="0"/>
        <w:keepLines w:val="0"/>
        <w:pageBreakBefore w:val="0"/>
        <w:widowControl w:val="0"/>
        <w:kinsoku/>
        <w:wordWrap/>
        <w:overflowPunct/>
        <w:topLinePunct w:val="0"/>
        <w:autoSpaceDE/>
        <w:autoSpaceDN/>
        <w:bidi w:val="0"/>
        <w:adjustRightInd/>
        <w:spacing w:line="480" w:lineRule="auto"/>
        <w:ind w:firstLine="480"/>
        <w:jc w:val="both"/>
        <w:textAlignment w:val="auto"/>
        <w:outlineLvl w:val="0"/>
        <w:rPr>
          <w:rFonts w:hint="eastAsia" w:asciiTheme="minorEastAsia" w:hAnsiTheme="minorEastAsia" w:eastAsiaTheme="minorEastAsia" w:cstheme="minorEastAsia"/>
          <w:strike w:val="0"/>
          <w:dstrike w:val="0"/>
          <w:sz w:val="24"/>
          <w:szCs w:val="24"/>
          <w:highlight w:val="none"/>
        </w:rPr>
      </w:pPr>
      <w:r>
        <w:rPr>
          <w:rFonts w:hint="eastAsia" w:asciiTheme="minorEastAsia" w:hAnsiTheme="minorEastAsia" w:eastAsiaTheme="minorEastAsia" w:cstheme="minorEastAsia"/>
          <w:strike w:val="0"/>
          <w:dstrike w:val="0"/>
          <w:sz w:val="24"/>
          <w:szCs w:val="24"/>
          <w:highlight w:val="none"/>
        </w:rPr>
        <w:t xml:space="preserve"> 对符合《江西省人民政府办公厅转发省人社厅等部门关于进一步完善被征地农民基本养老保险政策意见的通知》（赣府厅发〔2014〕 12号）、《江西省人民政府办公厅关于切实做好被征地农民参加基本养老保险相关工作的通知》（赣府厅字〔2022〕 56号）等有关政策规定的，给予社保安置。经初步核定，本次</w:t>
      </w:r>
      <w:r>
        <w:rPr>
          <w:rFonts w:hint="eastAsia" w:asciiTheme="minorEastAsia" w:hAnsiTheme="minorEastAsia" w:eastAsiaTheme="minorEastAsia" w:cstheme="minorEastAsia"/>
          <w:strike w:val="0"/>
          <w:dstrike w:val="0"/>
          <w:sz w:val="24"/>
          <w:szCs w:val="24"/>
          <w:highlight w:val="none"/>
          <w:lang w:val="en-US" w:eastAsia="zh-CN"/>
        </w:rPr>
        <w:t>无</w:t>
      </w:r>
      <w:r>
        <w:rPr>
          <w:rFonts w:hint="eastAsia" w:asciiTheme="minorEastAsia" w:hAnsiTheme="minorEastAsia" w:eastAsiaTheme="minorEastAsia" w:cstheme="minorEastAsia"/>
          <w:strike w:val="0"/>
          <w:dstrike w:val="0"/>
          <w:sz w:val="24"/>
          <w:szCs w:val="24"/>
          <w:highlight w:val="none"/>
        </w:rPr>
        <w:t>符合参加基本养老保险条件人员。</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六</w:t>
      </w:r>
      <w:r>
        <w:rPr>
          <w:rFonts w:hint="eastAsia" w:asciiTheme="minorEastAsia" w:hAnsiTheme="minorEastAsia" w:eastAsiaTheme="minorEastAsia" w:cstheme="minorEastAsia"/>
          <w:sz w:val="24"/>
          <w:szCs w:val="24"/>
          <w:highlight w:val="none"/>
        </w:rPr>
        <w:t>、公告期限</w:t>
      </w:r>
      <w:bookmarkEnd w:id="10"/>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本公告期限自</w:t>
      </w:r>
      <w:r>
        <w:rPr>
          <w:rFonts w:hint="eastAsia" w:asciiTheme="minorEastAsia" w:hAnsiTheme="minorEastAsia" w:eastAsiaTheme="minorEastAsia" w:cstheme="minorEastAsia"/>
          <w:color w:val="auto"/>
          <w:sz w:val="24"/>
          <w:szCs w:val="24"/>
          <w:highlight w:val="none"/>
          <w:u w:val="single"/>
          <w:lang w:val="en-US" w:eastAsia="zh-CN"/>
        </w:rPr>
        <w:t>2024</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lang w:val="en-US" w:eastAsia="zh-CN"/>
        </w:rPr>
        <w:t>4</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lang w:val="en-US" w:eastAsia="zh-CN"/>
        </w:rPr>
        <w:t>30</w:t>
      </w:r>
      <w:r>
        <w:rPr>
          <w:rFonts w:hint="eastAsia" w:asciiTheme="minorEastAsia" w:hAnsiTheme="minorEastAsia" w:eastAsiaTheme="minorEastAsia" w:cstheme="minorEastAsia"/>
          <w:color w:val="auto"/>
          <w:sz w:val="24"/>
          <w:szCs w:val="24"/>
          <w:highlight w:val="none"/>
        </w:rPr>
        <w:t>日至</w:t>
      </w:r>
      <w:r>
        <w:rPr>
          <w:rFonts w:hint="eastAsia" w:asciiTheme="minorEastAsia" w:hAnsiTheme="minorEastAsia" w:eastAsiaTheme="minorEastAsia" w:cstheme="minorEastAsia"/>
          <w:color w:val="auto"/>
          <w:sz w:val="24"/>
          <w:szCs w:val="24"/>
          <w:highlight w:val="none"/>
          <w:u w:val="single"/>
          <w:lang w:val="en-US" w:eastAsia="zh-CN"/>
        </w:rPr>
        <w:t>2024</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lang w:val="en-US" w:eastAsia="zh-CN"/>
        </w:rPr>
        <w:t>29</w:t>
      </w:r>
      <w:r>
        <w:rPr>
          <w:rFonts w:hint="eastAsia" w:asciiTheme="minorEastAsia" w:hAnsiTheme="minorEastAsia" w:eastAsiaTheme="minorEastAsia" w:cstheme="minorEastAsia"/>
          <w:color w:val="auto"/>
          <w:sz w:val="24"/>
          <w:szCs w:val="24"/>
          <w:highlight w:val="none"/>
        </w:rPr>
        <w:t>日。（公告时间不少于三十日）。本公告</w:t>
      </w:r>
      <w:r>
        <w:rPr>
          <w:rFonts w:hint="eastAsia" w:asciiTheme="minorEastAsia" w:hAnsiTheme="minorEastAsia" w:eastAsiaTheme="minorEastAsia" w:cstheme="minorEastAsia"/>
          <w:color w:val="auto"/>
          <w:sz w:val="24"/>
          <w:szCs w:val="24"/>
          <w:highlight w:val="none"/>
          <w:lang w:val="en-US" w:eastAsia="zh-CN"/>
        </w:rPr>
        <w:t>同时</w:t>
      </w: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val="en-US" w:eastAsia="zh-CN"/>
        </w:rPr>
        <w:t>永修县政府网</w:t>
      </w:r>
      <w:r>
        <w:rPr>
          <w:rFonts w:hint="eastAsia" w:asciiTheme="minorEastAsia" w:hAnsiTheme="minorEastAsia" w:eastAsiaTheme="minorEastAsia" w:cstheme="minorEastAsia"/>
          <w:color w:val="auto"/>
          <w:sz w:val="24"/>
          <w:szCs w:val="24"/>
          <w:highlight w:val="none"/>
        </w:rPr>
        <w:t>网站公告，网址：https://www.yongxiu.gov.cn/zrzyj/02/05/10/202305/t20230508_6025127.html</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color w:val="auto"/>
          <w:sz w:val="24"/>
          <w:szCs w:val="24"/>
          <w:highlight w:val="none"/>
        </w:rPr>
      </w:pPr>
      <w:bookmarkStart w:id="14" w:name="_Toc109029784"/>
      <w:bookmarkStart w:id="15" w:name="_Toc109029681"/>
      <w:r>
        <w:rPr>
          <w:rFonts w:hint="eastAsia" w:asciiTheme="minorEastAsia" w:hAnsiTheme="minorEastAsia" w:eastAsiaTheme="minorEastAsia" w:cstheme="minorEastAsia"/>
          <w:color w:val="auto"/>
          <w:sz w:val="24"/>
          <w:szCs w:val="24"/>
          <w:highlight w:val="none"/>
          <w:lang w:val="en-US" w:eastAsia="zh-CN"/>
        </w:rPr>
        <w:t>七</w:t>
      </w:r>
      <w:r>
        <w:rPr>
          <w:rFonts w:hint="eastAsia" w:asciiTheme="minorEastAsia" w:hAnsiTheme="minorEastAsia" w:eastAsiaTheme="minorEastAsia" w:cstheme="minorEastAsia"/>
          <w:color w:val="auto"/>
          <w:sz w:val="24"/>
          <w:szCs w:val="24"/>
          <w:highlight w:val="none"/>
        </w:rPr>
        <w:t>、补偿登记</w:t>
      </w:r>
      <w:bookmarkEnd w:id="14"/>
      <w:bookmarkEnd w:id="15"/>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自公告发布后，被征收土地所有权人、使用权人请于</w:t>
      </w:r>
      <w:r>
        <w:rPr>
          <w:rFonts w:hint="eastAsia" w:asciiTheme="minorEastAsia" w:hAnsiTheme="minorEastAsia" w:eastAsiaTheme="minorEastAsia" w:cstheme="minorEastAsia"/>
          <w:color w:val="auto"/>
          <w:sz w:val="24"/>
          <w:szCs w:val="24"/>
          <w:highlight w:val="none"/>
          <w:lang w:val="en-US" w:eastAsia="zh-CN"/>
        </w:rPr>
        <w:t>2024</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29</w:t>
      </w:r>
      <w:r>
        <w:rPr>
          <w:rFonts w:hint="eastAsia" w:asciiTheme="minorEastAsia" w:hAnsiTheme="minorEastAsia" w:eastAsiaTheme="minorEastAsia" w:cstheme="minorEastAsia"/>
          <w:color w:val="auto"/>
          <w:sz w:val="24"/>
          <w:szCs w:val="24"/>
          <w:highlight w:val="none"/>
        </w:rPr>
        <w:t>日前（本公告期满前），持不动产权属证明材料前往</w:t>
      </w:r>
      <w:r>
        <w:rPr>
          <w:rFonts w:hint="eastAsia" w:asciiTheme="minorEastAsia" w:hAnsiTheme="minorEastAsia" w:eastAsiaTheme="minorEastAsia" w:cstheme="minorEastAsia"/>
          <w:color w:val="auto"/>
          <w:sz w:val="24"/>
          <w:szCs w:val="24"/>
          <w:highlight w:val="none"/>
          <w:lang w:val="en-US" w:eastAsia="zh-CN"/>
        </w:rPr>
        <w:t>三角乡人民政府</w:t>
      </w:r>
      <w:r>
        <w:rPr>
          <w:rFonts w:hint="eastAsia" w:asciiTheme="minorEastAsia" w:hAnsiTheme="minorEastAsia" w:eastAsiaTheme="minorEastAsia" w:cstheme="minorEastAsia"/>
          <w:color w:val="auto"/>
          <w:sz w:val="24"/>
          <w:szCs w:val="24"/>
          <w:highlight w:val="none"/>
        </w:rPr>
        <w:t>办理补偿登记（或书面委托他人办理补偿登记），未在规定期限内办理补偿登记的，</w:t>
      </w:r>
      <w:r>
        <w:rPr>
          <w:rFonts w:hint="eastAsia" w:asciiTheme="minorEastAsia" w:hAnsiTheme="minorEastAsia" w:eastAsiaTheme="minorEastAsia" w:cstheme="minorEastAsia"/>
          <w:color w:val="auto"/>
          <w:sz w:val="24"/>
          <w:szCs w:val="24"/>
          <w:highlight w:val="none"/>
          <w:lang w:val="en-US" w:eastAsia="zh-CN"/>
        </w:rPr>
        <w:t>其补偿内容</w:t>
      </w:r>
      <w:r>
        <w:rPr>
          <w:rFonts w:hint="eastAsia" w:asciiTheme="minorEastAsia" w:hAnsiTheme="minorEastAsia" w:eastAsiaTheme="minorEastAsia" w:cstheme="minorEastAsia"/>
          <w:color w:val="auto"/>
          <w:sz w:val="24"/>
          <w:szCs w:val="24"/>
          <w:highlight w:val="none"/>
        </w:rPr>
        <w:t>按照土地现状调查公示结果确定。</w:t>
      </w:r>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color w:val="auto"/>
          <w:sz w:val="24"/>
          <w:szCs w:val="24"/>
          <w:highlight w:val="none"/>
        </w:rPr>
      </w:pPr>
      <w:bookmarkStart w:id="16" w:name="_Toc109029785"/>
      <w:bookmarkStart w:id="17" w:name="_Toc109029682"/>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 xml:space="preserve">   八</w:t>
      </w:r>
      <w:r>
        <w:rPr>
          <w:rFonts w:hint="eastAsia" w:asciiTheme="minorEastAsia" w:hAnsiTheme="minorEastAsia" w:eastAsiaTheme="minorEastAsia" w:cstheme="minorEastAsia"/>
          <w:color w:val="auto"/>
          <w:sz w:val="24"/>
          <w:szCs w:val="24"/>
          <w:highlight w:val="none"/>
        </w:rPr>
        <w:t>、听证事项</w:t>
      </w:r>
      <w:bookmarkEnd w:id="16"/>
      <w:bookmarkEnd w:id="17"/>
    </w:p>
    <w:p>
      <w:pPr>
        <w:keepNext w:val="0"/>
        <w:keepLines w:val="0"/>
        <w:pageBreakBefore w:val="0"/>
        <w:widowControl w:val="0"/>
        <w:kinsoku/>
        <w:wordWrap/>
        <w:overflowPunct/>
        <w:topLinePunct w:val="0"/>
        <w:autoSpaceDE/>
        <w:autoSpaceDN/>
        <w:bidi w:val="0"/>
        <w:adjustRightInd/>
        <w:spacing w:line="480" w:lineRule="auto"/>
        <w:ind w:firstLine="720" w:firstLineChars="3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auto"/>
          <w:sz w:val="24"/>
          <w:szCs w:val="24"/>
          <w:highlight w:val="none"/>
        </w:rPr>
        <w:t>按照《自然资源听证规定》规定，</w:t>
      </w:r>
      <w:r>
        <w:rPr>
          <w:rFonts w:hint="eastAsia" w:asciiTheme="minorEastAsia" w:hAnsiTheme="minorEastAsia" w:eastAsiaTheme="minorEastAsia" w:cstheme="minorEastAsia"/>
          <w:bCs/>
          <w:color w:val="auto"/>
          <w:sz w:val="24"/>
          <w:szCs w:val="24"/>
          <w:highlight w:val="none"/>
        </w:rPr>
        <w:t>拟</w:t>
      </w:r>
      <w:r>
        <w:rPr>
          <w:rFonts w:hint="eastAsia" w:asciiTheme="minorEastAsia" w:hAnsiTheme="minorEastAsia" w:eastAsiaTheme="minorEastAsia" w:cstheme="minorEastAsia"/>
          <w:color w:val="auto"/>
          <w:sz w:val="24"/>
          <w:szCs w:val="24"/>
          <w:highlight w:val="none"/>
        </w:rPr>
        <w:t>被征地农村集体经济组织及成员应</w:t>
      </w:r>
      <w:r>
        <w:rPr>
          <w:rFonts w:hint="eastAsia" w:asciiTheme="minorEastAsia" w:hAnsiTheme="minorEastAsia" w:eastAsiaTheme="minorEastAsia" w:cstheme="minorEastAsia"/>
          <w:color w:val="auto"/>
          <w:sz w:val="24"/>
          <w:szCs w:val="24"/>
          <w:highlight w:val="none"/>
          <w:u w:val="none"/>
        </w:rPr>
        <w:t>在收到听证告知书之日起5个工作日内</w:t>
      </w:r>
      <w:r>
        <w:rPr>
          <w:rFonts w:hint="eastAsia" w:asciiTheme="minorEastAsia" w:hAnsiTheme="minorEastAsia" w:eastAsiaTheme="minorEastAsia" w:cstheme="minorEastAsia"/>
          <w:color w:val="auto"/>
          <w:sz w:val="24"/>
          <w:szCs w:val="24"/>
          <w:highlight w:val="none"/>
        </w:rPr>
        <w:t>提出书面申请</w:t>
      </w:r>
      <w:r>
        <w:rPr>
          <w:rFonts w:hint="eastAsia" w:asciiTheme="minorEastAsia" w:hAnsiTheme="minorEastAsia" w:eastAsiaTheme="minorEastAsia" w:cstheme="minorEastAsia"/>
          <w:color w:val="auto"/>
          <w:sz w:val="24"/>
          <w:szCs w:val="24"/>
          <w:highlight w:val="none"/>
          <w:lang w:val="en"/>
        </w:rPr>
        <w:t>，</w:t>
      </w:r>
      <w:r>
        <w:rPr>
          <w:rFonts w:hint="eastAsia" w:asciiTheme="minorEastAsia" w:hAnsiTheme="minorEastAsia" w:eastAsiaTheme="minorEastAsia" w:cstheme="minorEastAsia"/>
          <w:color w:val="auto"/>
          <w:sz w:val="24"/>
          <w:szCs w:val="24"/>
          <w:highlight w:val="none"/>
        </w:rPr>
        <w:t>逾期未提出的</w:t>
      </w:r>
      <w:r>
        <w:rPr>
          <w:rFonts w:hint="eastAsia" w:asciiTheme="minorEastAsia" w:hAnsiTheme="minorEastAsia" w:eastAsiaTheme="minorEastAsia" w:cstheme="minorEastAsia"/>
          <w:color w:val="auto"/>
          <w:sz w:val="24"/>
          <w:szCs w:val="24"/>
          <w:highlight w:val="none"/>
          <w:lang w:val="en"/>
        </w:rPr>
        <w:t>，</w:t>
      </w:r>
      <w:r>
        <w:rPr>
          <w:rFonts w:hint="eastAsia" w:asciiTheme="minorEastAsia" w:hAnsiTheme="minorEastAsia" w:eastAsiaTheme="minorEastAsia" w:cstheme="minorEastAsia"/>
          <w:color w:val="auto"/>
          <w:sz w:val="24"/>
          <w:szCs w:val="24"/>
          <w:highlight w:val="none"/>
        </w:rPr>
        <w:t>视为放弃听证。超半数农村集体经济组织成员对方案提出异议的，</w:t>
      </w:r>
      <w:r>
        <w:rPr>
          <w:rFonts w:hint="eastAsia" w:asciiTheme="minorEastAsia" w:hAnsiTheme="minorEastAsia" w:eastAsiaTheme="minorEastAsia" w:cstheme="minorEastAsia"/>
          <w:color w:val="auto"/>
          <w:sz w:val="24"/>
          <w:szCs w:val="24"/>
          <w:highlight w:val="none"/>
          <w:lang w:val="en-US" w:eastAsia="zh-CN"/>
        </w:rPr>
        <w:t>县</w:t>
      </w:r>
      <w:r>
        <w:rPr>
          <w:rFonts w:hint="eastAsia" w:asciiTheme="minorEastAsia" w:hAnsiTheme="minorEastAsia" w:eastAsiaTheme="minorEastAsia" w:cstheme="minorEastAsia"/>
          <w:color w:val="auto"/>
          <w:sz w:val="24"/>
          <w:szCs w:val="24"/>
          <w:highlight w:val="none"/>
        </w:rPr>
        <w:t>人民政</w:t>
      </w:r>
      <w:r>
        <w:rPr>
          <w:rFonts w:hint="eastAsia" w:asciiTheme="minorEastAsia" w:hAnsiTheme="minorEastAsia" w:eastAsiaTheme="minorEastAsia" w:cstheme="minorEastAsia"/>
          <w:sz w:val="24"/>
          <w:szCs w:val="24"/>
          <w:highlight w:val="none"/>
        </w:rPr>
        <w:t>府将依法组织召开听证会，</w:t>
      </w:r>
      <w:r>
        <w:rPr>
          <w:rFonts w:hint="eastAsia" w:asciiTheme="minorEastAsia" w:hAnsiTheme="minorEastAsia" w:eastAsiaTheme="minorEastAsia" w:cstheme="minorEastAsia"/>
          <w:sz w:val="24"/>
          <w:szCs w:val="24"/>
          <w:highlight w:val="none"/>
          <w:lang w:val="en-US" w:eastAsia="zh-CN"/>
        </w:rPr>
        <w:t>相关事项</w:t>
      </w:r>
      <w:r>
        <w:rPr>
          <w:rFonts w:hint="eastAsia" w:asciiTheme="minorEastAsia" w:hAnsiTheme="minorEastAsia" w:eastAsiaTheme="minorEastAsia" w:cstheme="minorEastAsia"/>
          <w:sz w:val="24"/>
          <w:szCs w:val="24"/>
          <w:highlight w:val="none"/>
        </w:rPr>
        <w:t>另行通知。</w:t>
      </w:r>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sz w:val="24"/>
          <w:szCs w:val="24"/>
          <w:highlight w:val="none"/>
        </w:rPr>
      </w:pPr>
      <w:bookmarkStart w:id="18" w:name="_Toc109029786"/>
      <w:bookmarkStart w:id="19" w:name="_Toc109029683"/>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九</w:t>
      </w:r>
      <w:r>
        <w:rPr>
          <w:rFonts w:hint="eastAsia" w:asciiTheme="minorEastAsia" w:hAnsiTheme="minorEastAsia" w:eastAsiaTheme="minorEastAsia" w:cstheme="minorEastAsia"/>
          <w:sz w:val="24"/>
          <w:szCs w:val="24"/>
          <w:highlight w:val="none"/>
        </w:rPr>
        <w:t>、异议反馈与处理</w:t>
      </w:r>
      <w:bookmarkEnd w:id="18"/>
      <w:bookmarkEnd w:id="19"/>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拟征收土地范围内的土地所有权人、使用权人对补偿安置方案有异议的，在本公告期内提出。本政府将结合异议反馈和听证情况，适时修改补偿安置方案并再次公告。</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p>
    <w:p>
      <w:pPr>
        <w:keepNext w:val="0"/>
        <w:keepLines w:val="0"/>
        <w:pageBreakBefore w:val="0"/>
        <w:widowControl w:val="0"/>
        <w:kinsoku/>
        <w:wordWrap/>
        <w:overflowPunct/>
        <w:topLinePunct w:val="0"/>
        <w:autoSpaceDE/>
        <w:autoSpaceDN/>
        <w:bidi w:val="0"/>
        <w:adjustRightInd/>
        <w:spacing w:line="480" w:lineRule="auto"/>
        <w:ind w:firstLine="470" w:firstLineChars="196"/>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sz w:val="24"/>
          <w:szCs w:val="24"/>
          <w:highlight w:val="none"/>
        </w:rPr>
        <w:t>附件：</w:t>
      </w:r>
      <w:bookmarkStart w:id="20" w:name="_Hlk104452745"/>
      <w:r>
        <w:rPr>
          <w:rFonts w:hint="eastAsia" w:asciiTheme="minorEastAsia" w:hAnsiTheme="minorEastAsia" w:eastAsiaTheme="minorEastAsia" w:cstheme="minorEastAsia"/>
          <w:bCs/>
          <w:sz w:val="24"/>
          <w:szCs w:val="24"/>
          <w:highlight w:val="none"/>
        </w:rPr>
        <w:t>1.</w:t>
      </w:r>
      <w:r>
        <w:rPr>
          <w:rFonts w:hint="eastAsia" w:asciiTheme="minorEastAsia" w:hAnsiTheme="minorEastAsia" w:eastAsiaTheme="minorEastAsia" w:cstheme="minorEastAsia"/>
          <w:sz w:val="24"/>
          <w:szCs w:val="24"/>
          <w:highlight w:val="none"/>
        </w:rPr>
        <w:t>土地权属调查确认图</w:t>
      </w:r>
    </w:p>
    <w:p>
      <w:pPr>
        <w:keepNext w:val="0"/>
        <w:keepLines w:val="0"/>
        <w:pageBreakBefore w:val="0"/>
        <w:widowControl w:val="0"/>
        <w:kinsoku/>
        <w:wordWrap/>
        <w:overflowPunct/>
        <w:topLinePunct w:val="0"/>
        <w:autoSpaceDE/>
        <w:autoSpaceDN/>
        <w:bidi w:val="0"/>
        <w:adjustRightInd/>
        <w:spacing w:line="480" w:lineRule="auto"/>
        <w:ind w:firstLine="1190" w:firstLineChars="496"/>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2.土地补偿标准及补偿费用表</w:t>
      </w:r>
    </w:p>
    <w:p>
      <w:pPr>
        <w:keepNext w:val="0"/>
        <w:keepLines w:val="0"/>
        <w:pageBreakBefore w:val="0"/>
        <w:widowControl w:val="0"/>
        <w:kinsoku/>
        <w:wordWrap/>
        <w:overflowPunct/>
        <w:topLinePunct w:val="0"/>
        <w:autoSpaceDE/>
        <w:autoSpaceDN/>
        <w:bidi w:val="0"/>
        <w:adjustRightInd/>
        <w:spacing w:line="480" w:lineRule="auto"/>
        <w:ind w:firstLine="1190" w:firstLineChars="496"/>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3.青苗、果树、树木等补偿标准及补偿费用表</w:t>
      </w:r>
    </w:p>
    <w:bookmarkEnd w:id="20"/>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联系单位：</w:t>
      </w:r>
      <w:r>
        <w:rPr>
          <w:rFonts w:hint="eastAsia" w:asciiTheme="minorEastAsia" w:hAnsiTheme="minorEastAsia" w:eastAsiaTheme="minorEastAsia" w:cstheme="minorEastAsia"/>
          <w:sz w:val="24"/>
          <w:szCs w:val="24"/>
          <w:highlight w:val="none"/>
          <w:lang w:val="en-US" w:eastAsia="zh-CN"/>
        </w:rPr>
        <w:t>三角乡人民政府</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联系地点：</w:t>
      </w:r>
      <w:r>
        <w:rPr>
          <w:rFonts w:hint="eastAsia" w:asciiTheme="minorEastAsia" w:hAnsiTheme="minorEastAsia" w:eastAsiaTheme="minorEastAsia" w:cstheme="minorEastAsia"/>
          <w:sz w:val="24"/>
          <w:szCs w:val="24"/>
          <w:highlight w:val="none"/>
          <w:lang w:val="en-US" w:eastAsia="zh-CN"/>
        </w:rPr>
        <w:t>三角乡人民政府</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联系人员：</w:t>
      </w:r>
      <w:r>
        <w:rPr>
          <w:rFonts w:hint="eastAsia" w:asciiTheme="minorEastAsia" w:hAnsiTheme="minorEastAsia" w:eastAsiaTheme="minorEastAsia" w:cstheme="minorEastAsia"/>
          <w:sz w:val="24"/>
          <w:szCs w:val="24"/>
          <w:highlight w:val="none"/>
          <w:lang w:val="en-US" w:eastAsia="zh-CN"/>
        </w:rPr>
        <w:t>戴波</w:t>
      </w:r>
    </w:p>
    <w:p>
      <w:pPr>
        <w:keepNext w:val="0"/>
        <w:keepLines w:val="0"/>
        <w:pageBreakBefore w:val="0"/>
        <w:widowControl w:val="0"/>
        <w:kinsoku/>
        <w:wordWrap/>
        <w:overflowPunct/>
        <w:topLinePunct w:val="0"/>
        <w:autoSpaceDE/>
        <w:autoSpaceDN/>
        <w:bidi w:val="0"/>
        <w:adjustRightInd/>
        <w:spacing w:line="480" w:lineRule="auto"/>
        <w:ind w:firstLine="480" w:firstLineChars="200"/>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联系电话：</w:t>
      </w:r>
      <w:r>
        <w:rPr>
          <w:rFonts w:hint="eastAsia" w:asciiTheme="minorEastAsia" w:hAnsiTheme="minorEastAsia" w:eastAsiaTheme="minorEastAsia" w:cstheme="minorEastAsia"/>
          <w:b w:val="0"/>
          <w:bCs w:val="0"/>
          <w:sz w:val="24"/>
          <w:szCs w:val="24"/>
          <w:highlight w:val="none"/>
          <w:lang w:val="en-US" w:eastAsia="zh-CN"/>
        </w:rPr>
        <w:t>13870280526</w:t>
      </w:r>
    </w:p>
    <w:p>
      <w:pPr>
        <w:keepNext w:val="0"/>
        <w:keepLines w:val="0"/>
        <w:pageBreakBefore w:val="0"/>
        <w:widowControl w:val="0"/>
        <w:kinsoku/>
        <w:wordWrap/>
        <w:overflowPunct/>
        <w:topLinePunct w:val="0"/>
        <w:autoSpaceDE/>
        <w:autoSpaceDN/>
        <w:bidi w:val="0"/>
        <w:adjustRightInd/>
        <w:spacing w:line="480" w:lineRule="auto"/>
        <w:ind w:firstLine="470" w:firstLineChars="196"/>
        <w:jc w:val="both"/>
        <w:textAlignment w:val="auto"/>
        <w:outlineLvl w:val="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pacing w:line="480" w:lineRule="auto"/>
        <w:ind w:firstLine="470" w:firstLineChars="196"/>
        <w:jc w:val="both"/>
        <w:textAlignment w:val="auto"/>
        <w:outlineLvl w:val="0"/>
        <w:rPr>
          <w:rFonts w:hint="eastAsia" w:asciiTheme="minorEastAsia" w:hAnsiTheme="minorEastAsia" w:eastAsiaTheme="minorEastAsia" w:cstheme="minorEastAsia"/>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pacing w:line="480" w:lineRule="auto"/>
        <w:ind w:firstLine="470" w:firstLineChars="196"/>
        <w:jc w:val="both"/>
        <w:textAlignment w:val="auto"/>
        <w:outlineLvl w:val="0"/>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sz w:val="24"/>
          <w:szCs w:val="24"/>
          <w:highlight w:val="none"/>
          <w:lang w:val="en-US" w:eastAsia="zh-CN"/>
        </w:rPr>
        <w:t xml:space="preserve">                                                                          永修县</w:t>
      </w:r>
      <w:r>
        <w:rPr>
          <w:rFonts w:hint="eastAsia" w:asciiTheme="minorEastAsia" w:hAnsiTheme="minorEastAsia" w:eastAsiaTheme="minorEastAsia" w:cstheme="minorEastAsia"/>
          <w:sz w:val="24"/>
          <w:szCs w:val="24"/>
          <w:highlight w:val="none"/>
        </w:rPr>
        <w:t>人民政府</w:t>
      </w:r>
    </w:p>
    <w:p>
      <w:pPr>
        <w:keepNext w:val="0"/>
        <w:keepLines w:val="0"/>
        <w:pageBreakBefore w:val="0"/>
        <w:widowControl w:val="0"/>
        <w:kinsoku/>
        <w:wordWrap/>
        <w:overflowPunct/>
        <w:topLinePunct w:val="0"/>
        <w:autoSpaceDE/>
        <w:autoSpaceDN/>
        <w:bidi w:val="0"/>
        <w:adjustRightInd/>
        <w:spacing w:line="480" w:lineRule="auto"/>
        <w:jc w:val="both"/>
        <w:textAlignment w:val="auto"/>
        <w:outlineLvl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2024</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日</w:t>
      </w: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附件1：</w:t>
      </w: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土地权属调查确认图</w:t>
      </w: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sz w:val="24"/>
          <w:szCs w:val="24"/>
          <w:highlight w:val="none"/>
          <w:lang w:eastAsia="zh-CN"/>
        </w:rPr>
        <w:drawing>
          <wp:inline distT="0" distB="0" distL="114300" distR="114300">
            <wp:extent cx="8743950" cy="6165215"/>
            <wp:effectExtent l="0" t="0" r="0" b="6985"/>
            <wp:docPr id="1" name="图片 1" descr="03485f93c24333f9cc46ab45125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485f93c24333f9cc46ab451255883"/>
                    <pic:cNvPicPr>
                      <a:picLocks noChangeAspect="1"/>
                    </pic:cNvPicPr>
                  </pic:nvPicPr>
                  <pic:blipFill>
                    <a:blip r:embed="rId5"/>
                    <a:stretch>
                      <a:fillRect/>
                    </a:stretch>
                  </pic:blipFill>
                  <pic:spPr>
                    <a:xfrm>
                      <a:off x="0" y="0"/>
                      <a:ext cx="8743950" cy="6165215"/>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val="0"/>
          <w:bCs w:val="0"/>
          <w:sz w:val="24"/>
          <w:szCs w:val="24"/>
          <w:highlight w:val="none"/>
          <w:lang w:val="en-US" w:eastAsia="zh-CN"/>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附件2：</w:t>
      </w:r>
    </w:p>
    <w:tbl>
      <w:tblPr>
        <w:tblStyle w:val="12"/>
        <w:tblpPr w:leftFromText="180" w:rightFromText="180" w:vertAnchor="text" w:horzAnchor="page" w:tblpX="1697" w:tblpY="1414"/>
        <w:tblOverlap w:val="never"/>
        <w:tblW w:w="136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2355"/>
        <w:gridCol w:w="1170"/>
        <w:gridCol w:w="1530"/>
        <w:gridCol w:w="1245"/>
        <w:gridCol w:w="1485"/>
        <w:gridCol w:w="1605"/>
        <w:gridCol w:w="1605"/>
        <w:gridCol w:w="1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635" w:type="dxa"/>
            <w:gridSpan w:val="9"/>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sz w:val="24"/>
                <w:szCs w:val="24"/>
                <w:highlight w:val="none"/>
              </w:rPr>
              <w:t>土地补偿标准及补偿费用表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108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2355"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土地权属单位</w:t>
            </w:r>
          </w:p>
        </w:tc>
        <w:tc>
          <w:tcPr>
            <w:tcW w:w="543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地类面积</w:t>
            </w:r>
          </w:p>
        </w:tc>
        <w:tc>
          <w:tcPr>
            <w:tcW w:w="1605"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补偿标准  （元/亩）</w:t>
            </w:r>
          </w:p>
        </w:tc>
        <w:tc>
          <w:tcPr>
            <w:tcW w:w="1605"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补偿金额 （元）</w:t>
            </w:r>
          </w:p>
        </w:tc>
        <w:tc>
          <w:tcPr>
            <w:tcW w:w="156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10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p>
        </w:tc>
        <w:tc>
          <w:tcPr>
            <w:tcW w:w="235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水田面积（亩）</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其他农用地面积（亩）</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建设用地（亩）</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总面积  （亩）</w:t>
            </w:r>
          </w:p>
        </w:tc>
        <w:tc>
          <w:tcPr>
            <w:tcW w:w="160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p>
        </w:tc>
        <w:tc>
          <w:tcPr>
            <w:tcW w:w="160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p>
        </w:tc>
        <w:tc>
          <w:tcPr>
            <w:tcW w:w="156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三角乡白沙村仓下组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0.17</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lang w:val="en-US"/>
              </w:rPr>
            </w:pPr>
            <w:r>
              <w:rPr>
                <w:rFonts w:hint="eastAsia" w:asciiTheme="minorEastAsia" w:hAnsiTheme="minorEastAsia" w:eastAsiaTheme="minorEastAsia" w:cstheme="minorEastAsia"/>
                <w:i w:val="0"/>
                <w:iCs w:val="0"/>
                <w:color w:val="000000"/>
                <w:kern w:val="0"/>
                <w:sz w:val="24"/>
                <w:szCs w:val="24"/>
                <w:u w:val="none"/>
                <w:lang w:val="en-US" w:eastAsia="zh-CN" w:bidi="ar"/>
              </w:rPr>
              <w:t>11.0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11.17</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520522</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三角乡建华村六组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1.89</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0.61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2.5</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47200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118000</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3</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三角乡鄱湖村</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4.56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4.56</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212496</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4</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三角乡鄱湖村永善组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1.54</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4.28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5.82</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271212</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5</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三角乡树下村</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3.64</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10.24</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477184</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6</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三角乡树下村沙湖组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0.71</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1.14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1.85</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86210</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7</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三角乡树下村树下组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1.53</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3.59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5.12</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238592</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8</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三角乡树下村周家湖组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1.57</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3.13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0.78</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5.48</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255368</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9</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三角乡水产场</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2.68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2.68</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124888</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10</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三角乡五星村管头组、新基组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1.04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0.25</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1.29</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60114</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11</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三角乡五星村棋杆组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1.32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1.32</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61512</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12</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三角乡五星村五房组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1.44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1.44</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67104</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13</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三角乡永丰村</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6.63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0.45</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7.08</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329928</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14</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三角乡永丰村井里王家组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3.86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3.86</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179876</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15</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三角乡永丰村闵家组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6.42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6.42</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46600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299172</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16</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三角乡周坊村、一组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0.78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1.78</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47200</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84016</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43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12.05</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59.08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1.48</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72.61</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3386194</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附件3:</w:t>
      </w: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sz w:val="24"/>
          <w:szCs w:val="24"/>
          <w:highlight w:val="none"/>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青苗、果树、树木等补偿标准及补偿费用表</w:t>
      </w:r>
    </w:p>
    <w:tbl>
      <w:tblPr>
        <w:tblStyle w:val="12"/>
        <w:tblpPr w:leftFromText="180" w:rightFromText="180" w:vertAnchor="text" w:horzAnchor="page" w:tblpX="1638" w:tblpY="584"/>
        <w:tblOverlap w:val="never"/>
        <w:tblW w:w="139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3"/>
        <w:gridCol w:w="2442"/>
        <w:gridCol w:w="3103"/>
        <w:gridCol w:w="2544"/>
        <w:gridCol w:w="1986"/>
        <w:gridCol w:w="1911"/>
        <w:gridCol w:w="1132"/>
      </w:tblGrid>
      <w:tr>
        <w:tblPrEx>
          <w:tblCellMar>
            <w:top w:w="0" w:type="dxa"/>
            <w:left w:w="108" w:type="dxa"/>
            <w:bottom w:w="0" w:type="dxa"/>
            <w:right w:w="108" w:type="dxa"/>
          </w:tblCellMar>
        </w:tblPrEx>
        <w:trPr>
          <w:trHeight w:val="650" w:hRule="atLeast"/>
        </w:trPr>
        <w:tc>
          <w:tcPr>
            <w:tcW w:w="13941" w:type="dxa"/>
            <w:gridSpan w:val="7"/>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三角吴罗线养龙虾报地红线征地面积表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序号</w:t>
            </w:r>
          </w:p>
        </w:tc>
        <w:tc>
          <w:tcPr>
            <w:tcW w:w="2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姓名/村名</w:t>
            </w:r>
          </w:p>
        </w:tc>
        <w:tc>
          <w:tcPr>
            <w:tcW w:w="3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报地红线面积（平方米）</w:t>
            </w:r>
          </w:p>
        </w:tc>
        <w:tc>
          <w:tcPr>
            <w:tcW w:w="2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（亩）</w:t>
            </w:r>
          </w:p>
        </w:tc>
        <w:tc>
          <w:tcPr>
            <w:tcW w:w="1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单价（元）</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总价（元）</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2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树下村树下组</w:t>
            </w:r>
          </w:p>
        </w:tc>
        <w:tc>
          <w:tcPr>
            <w:tcW w:w="3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1021.07</w:t>
            </w:r>
          </w:p>
        </w:tc>
        <w:tc>
          <w:tcPr>
            <w:tcW w:w="2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1.53</w:t>
            </w:r>
          </w:p>
        </w:tc>
        <w:tc>
          <w:tcPr>
            <w:tcW w:w="1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5814</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2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树下村</w:t>
            </w:r>
          </w:p>
        </w:tc>
        <w:tc>
          <w:tcPr>
            <w:tcW w:w="3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1023.58</w:t>
            </w:r>
          </w:p>
        </w:tc>
        <w:tc>
          <w:tcPr>
            <w:tcW w:w="2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1.54</w:t>
            </w:r>
          </w:p>
        </w:tc>
        <w:tc>
          <w:tcPr>
            <w:tcW w:w="1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5852</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2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树下村沙湖组</w:t>
            </w:r>
          </w:p>
        </w:tc>
        <w:tc>
          <w:tcPr>
            <w:tcW w:w="3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475.27</w:t>
            </w:r>
          </w:p>
        </w:tc>
        <w:tc>
          <w:tcPr>
            <w:tcW w:w="2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0.71</w:t>
            </w:r>
          </w:p>
        </w:tc>
        <w:tc>
          <w:tcPr>
            <w:tcW w:w="1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2698</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2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树下村老徐</w:t>
            </w:r>
          </w:p>
        </w:tc>
        <w:tc>
          <w:tcPr>
            <w:tcW w:w="3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1401.68</w:t>
            </w:r>
          </w:p>
        </w:tc>
        <w:tc>
          <w:tcPr>
            <w:tcW w:w="2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2.10</w:t>
            </w:r>
          </w:p>
        </w:tc>
        <w:tc>
          <w:tcPr>
            <w:tcW w:w="1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7980</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2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树下村周湖组</w:t>
            </w:r>
          </w:p>
        </w:tc>
        <w:tc>
          <w:tcPr>
            <w:tcW w:w="3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887.18</w:t>
            </w:r>
          </w:p>
        </w:tc>
        <w:tc>
          <w:tcPr>
            <w:tcW w:w="2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1.33</w:t>
            </w:r>
          </w:p>
        </w:tc>
        <w:tc>
          <w:tcPr>
            <w:tcW w:w="1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3800</w:t>
            </w: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5054</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26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合计</w:t>
            </w:r>
          </w:p>
        </w:tc>
        <w:tc>
          <w:tcPr>
            <w:tcW w:w="3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4808.78</w:t>
            </w:r>
          </w:p>
        </w:tc>
        <w:tc>
          <w:tcPr>
            <w:tcW w:w="2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7.21</w:t>
            </w:r>
          </w:p>
        </w:tc>
        <w:tc>
          <w:tcPr>
            <w:tcW w:w="19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27398</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38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6"/>
        <w:gridCol w:w="1204"/>
        <w:gridCol w:w="626"/>
        <w:gridCol w:w="1158"/>
        <w:gridCol w:w="686"/>
        <w:gridCol w:w="811"/>
        <w:gridCol w:w="700"/>
        <w:gridCol w:w="717"/>
        <w:gridCol w:w="982"/>
        <w:gridCol w:w="566"/>
        <w:gridCol w:w="566"/>
        <w:gridCol w:w="825"/>
        <w:gridCol w:w="1093"/>
        <w:gridCol w:w="828"/>
        <w:gridCol w:w="1102"/>
        <w:gridCol w:w="14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3899" w:type="dxa"/>
            <w:gridSpan w:val="1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固定资产--构筑物及其他辅助设施评估明细表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3899" w:type="dxa"/>
            <w:gridSpan w:val="16"/>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5111" w:type="dxa"/>
            <w:gridSpan w:val="6"/>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产权持有单位：江西省九江市永修县三角乡树下村民委员会</w:t>
            </w:r>
          </w:p>
        </w:tc>
        <w:tc>
          <w:tcPr>
            <w:tcW w:w="7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1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8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6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6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2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9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2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511"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0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构筑物名称</w:t>
            </w:r>
          </w:p>
        </w:tc>
        <w:tc>
          <w:tcPr>
            <w:tcW w:w="62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结构</w:t>
            </w:r>
          </w:p>
        </w:tc>
        <w:tc>
          <w:tcPr>
            <w:tcW w:w="115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建成年月</w:t>
            </w:r>
          </w:p>
        </w:tc>
        <w:tc>
          <w:tcPr>
            <w:tcW w:w="68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长度（M）</w:t>
            </w:r>
          </w:p>
        </w:tc>
        <w:tc>
          <w:tcPr>
            <w:tcW w:w="81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宽度（M）</w:t>
            </w:r>
          </w:p>
        </w:tc>
        <w:tc>
          <w:tcPr>
            <w:tcW w:w="7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7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计量单位</w:t>
            </w:r>
          </w:p>
        </w:tc>
        <w:tc>
          <w:tcPr>
            <w:tcW w:w="9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工程量</w:t>
            </w:r>
          </w:p>
        </w:tc>
        <w:tc>
          <w:tcPr>
            <w:tcW w:w="1132" w:type="dxa"/>
            <w:gridSpan w:val="2"/>
            <w:tcBorders>
              <w:top w:val="single" w:color="000000" w:sz="4" w:space="0"/>
              <w:left w:val="single" w:color="000000" w:sz="4" w:space="0"/>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账面价值</w:t>
            </w:r>
          </w:p>
        </w:tc>
        <w:tc>
          <w:tcPr>
            <w:tcW w:w="3848"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40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62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0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2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5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1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8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原值</w:t>
            </w: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成新率%</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140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沥青路</w:t>
            </w:r>
          </w:p>
        </w:tc>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63</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7.5</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m²</w:t>
            </w: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472.50</w:t>
            </w: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75.00</w:t>
            </w: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35,437.50</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33,666.00</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路沿石</w:t>
            </w:r>
          </w:p>
        </w:tc>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0.7</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0.15</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0.25</w:t>
            </w: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116.00</w:t>
            </w: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70.00</w:t>
            </w: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8,120.00</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7,714.00</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橡胶止退器</w:t>
            </w:r>
          </w:p>
        </w:tc>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30.00</w:t>
            </w: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30.00</w:t>
            </w: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900.00</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87</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783.00</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水泥地面</w:t>
            </w:r>
          </w:p>
        </w:tc>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m²</w:t>
            </w: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91.00</w:t>
            </w: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105.00</w:t>
            </w: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9,555.00</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9,077.00</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456"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计（结果取整）</w:t>
            </w:r>
          </w:p>
        </w:tc>
        <w:tc>
          <w:tcPr>
            <w:tcW w:w="11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709.50</w:t>
            </w:r>
          </w:p>
        </w:tc>
        <w:tc>
          <w:tcPr>
            <w:tcW w:w="566"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54,012.50</w:t>
            </w:r>
          </w:p>
        </w:tc>
        <w:tc>
          <w:tcPr>
            <w:tcW w:w="8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51,240.00</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39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4"/>
        <w:gridCol w:w="1323"/>
        <w:gridCol w:w="1177"/>
        <w:gridCol w:w="941"/>
        <w:gridCol w:w="941"/>
        <w:gridCol w:w="868"/>
        <w:gridCol w:w="911"/>
        <w:gridCol w:w="765"/>
        <w:gridCol w:w="882"/>
        <w:gridCol w:w="868"/>
        <w:gridCol w:w="1265"/>
        <w:gridCol w:w="1279"/>
        <w:gridCol w:w="1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3939"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939"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84"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产权持有人：三角乡树下村</w:t>
            </w:r>
          </w:p>
        </w:tc>
        <w:tc>
          <w:tcPr>
            <w:tcW w:w="132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7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1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6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6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7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35" w:type="dxa"/>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8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32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603"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8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8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544"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2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8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冠幅（CM）</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88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12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32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117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30-34</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w:t>
            </w:r>
          </w:p>
        </w:tc>
        <w:tc>
          <w:tcPr>
            <w:tcW w:w="1265"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320.00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10,880.00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32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117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36-38</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w:t>
            </w:r>
          </w:p>
        </w:tc>
        <w:tc>
          <w:tcPr>
            <w:tcW w:w="1265"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370.00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17,390.00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32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117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40-44</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w:t>
            </w:r>
          </w:p>
        </w:tc>
        <w:tc>
          <w:tcPr>
            <w:tcW w:w="1265"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840.00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38,640.00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杨树 </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w:t>
            </w:r>
          </w:p>
        </w:tc>
        <w:tc>
          <w:tcPr>
            <w:tcW w:w="12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1,040.00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29,120.00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杨树 </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54</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w:t>
            </w:r>
          </w:p>
        </w:tc>
        <w:tc>
          <w:tcPr>
            <w:tcW w:w="12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1,080.00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31,320.00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红叶石楠球</w:t>
            </w:r>
          </w:p>
        </w:tc>
        <w:tc>
          <w:tcPr>
            <w:tcW w:w="1177"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160-199</w:t>
            </w: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265"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125.00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1,500.00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桂花 </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12-15</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w:t>
            </w:r>
          </w:p>
        </w:tc>
        <w:tc>
          <w:tcPr>
            <w:tcW w:w="12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800.00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31,200.00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桂花 </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1965</w:t>
            </w:r>
          </w:p>
        </w:tc>
        <w:tc>
          <w:tcPr>
            <w:tcW w:w="12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5.00 </w:t>
            </w: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9,825.00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80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2200</w:t>
            </w:r>
          </w:p>
        </w:tc>
        <w:tc>
          <w:tcPr>
            <w:tcW w:w="12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169,875.00 </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4"/>
        <w:gridCol w:w="1218"/>
        <w:gridCol w:w="771"/>
        <w:gridCol w:w="989"/>
        <w:gridCol w:w="812"/>
        <w:gridCol w:w="684"/>
        <w:gridCol w:w="700"/>
        <w:gridCol w:w="650"/>
        <w:gridCol w:w="1116"/>
        <w:gridCol w:w="817"/>
        <w:gridCol w:w="667"/>
        <w:gridCol w:w="1000"/>
        <w:gridCol w:w="1033"/>
        <w:gridCol w:w="967"/>
        <w:gridCol w:w="1350"/>
        <w:gridCol w:w="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14178" w:type="dxa"/>
            <w:gridSpan w:val="1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固定资产--构筑物及其他辅助设施评估明细表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4178" w:type="dxa"/>
            <w:gridSpan w:val="16"/>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5078" w:type="dxa"/>
            <w:gridSpan w:val="6"/>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产权持有单位：江西省九江市永修县三角乡鄱湖村民委员会</w:t>
            </w:r>
          </w:p>
        </w:tc>
        <w:tc>
          <w:tcPr>
            <w:tcW w:w="7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5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1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1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6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6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150"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1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构筑物名称</w:t>
            </w:r>
          </w:p>
        </w:tc>
        <w:tc>
          <w:tcPr>
            <w:tcW w:w="77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结构</w:t>
            </w:r>
          </w:p>
        </w:tc>
        <w:tc>
          <w:tcPr>
            <w:tcW w:w="9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建成年月</w:t>
            </w:r>
          </w:p>
        </w:tc>
        <w:tc>
          <w:tcPr>
            <w:tcW w:w="8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长度（M）</w:t>
            </w:r>
          </w:p>
        </w:tc>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宽度（M）</w:t>
            </w:r>
          </w:p>
        </w:tc>
        <w:tc>
          <w:tcPr>
            <w:tcW w:w="7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计量单位</w:t>
            </w:r>
          </w:p>
        </w:tc>
        <w:tc>
          <w:tcPr>
            <w:tcW w:w="11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工程量</w:t>
            </w:r>
          </w:p>
        </w:tc>
        <w:tc>
          <w:tcPr>
            <w:tcW w:w="1484" w:type="dxa"/>
            <w:gridSpan w:val="2"/>
            <w:tcBorders>
              <w:top w:val="single" w:color="000000" w:sz="4" w:space="0"/>
              <w:left w:val="single" w:color="000000" w:sz="4" w:space="0"/>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账面价值</w:t>
            </w:r>
          </w:p>
        </w:tc>
        <w:tc>
          <w:tcPr>
            <w:tcW w:w="4350"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60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1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71"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1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原值</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成新率%</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沥青路</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w:t>
            </w: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m²</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216.00</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75.00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16,200.00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15,390.00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橡胶止退器</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16.00</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480.00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418.00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护坡</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石头</w:t>
            </w: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32</w:t>
            </w: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0.6</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0.8</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m³</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15.36</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380.00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5,836.80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5,662.00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停车砖</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吸水砖</w:t>
            </w: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m²</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250.00</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115.00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28,750.00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27,313.00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挡土墙</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0.3</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0.8</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m³</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9.60</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650.00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6,240.00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6,053.00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广告牌</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m²</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4,560.00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3,967.00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路沿石</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0.7</w:t>
            </w: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0.15</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0.25</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10.00</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700.00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665.00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路灯</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1,500.00</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1,500.00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1,350.00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59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计（结果取整）</w:t>
            </w: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565.96</w:t>
            </w:r>
          </w:p>
        </w:tc>
        <w:tc>
          <w:tcPr>
            <w:tcW w:w="817"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64,266.80</w:t>
            </w:r>
          </w:p>
        </w:tc>
        <w:tc>
          <w:tcPr>
            <w:tcW w:w="9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60,818.00</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5"/>
        <w:gridCol w:w="1116"/>
        <w:gridCol w:w="932"/>
        <w:gridCol w:w="918"/>
        <w:gridCol w:w="948"/>
        <w:gridCol w:w="872"/>
        <w:gridCol w:w="872"/>
        <w:gridCol w:w="842"/>
        <w:gridCol w:w="737"/>
        <w:gridCol w:w="1038"/>
        <w:gridCol w:w="1429"/>
        <w:gridCol w:w="1033"/>
        <w:gridCol w:w="1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160"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60"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385"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产权持有人：三角乡鄱湖村</w:t>
            </w:r>
          </w:p>
        </w:tc>
        <w:tc>
          <w:tcPr>
            <w:tcW w:w="111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1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7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7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4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2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8" w:type="dxa"/>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38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1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383"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7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10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462"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0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38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1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冠幅（CM）</w:t>
            </w:r>
          </w:p>
        </w:tc>
        <w:tc>
          <w:tcPr>
            <w:tcW w:w="8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103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116"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32"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20-24</w:t>
            </w:r>
          </w:p>
        </w:tc>
        <w:tc>
          <w:tcPr>
            <w:tcW w:w="91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w:t>
            </w:r>
          </w:p>
        </w:tc>
        <w:tc>
          <w:tcPr>
            <w:tcW w:w="142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220.00 </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6,160.00 </w:t>
            </w: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116"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32"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26-28</w:t>
            </w:r>
          </w:p>
        </w:tc>
        <w:tc>
          <w:tcPr>
            <w:tcW w:w="91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142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270.00 </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5,940.00 </w:t>
            </w: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116"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32"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30-34</w:t>
            </w:r>
          </w:p>
        </w:tc>
        <w:tc>
          <w:tcPr>
            <w:tcW w:w="91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w:t>
            </w:r>
          </w:p>
        </w:tc>
        <w:tc>
          <w:tcPr>
            <w:tcW w:w="142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320.00 </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10,880.00 </w:t>
            </w: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红叶石楠球</w:t>
            </w:r>
          </w:p>
        </w:tc>
        <w:tc>
          <w:tcPr>
            <w:tcW w:w="93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4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160-199</w:t>
            </w: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42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125.00 </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1,500.00 </w:t>
            </w: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桂花</w:t>
            </w:r>
          </w:p>
        </w:tc>
        <w:tc>
          <w:tcPr>
            <w:tcW w:w="93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6-8</w:t>
            </w:r>
          </w:p>
        </w:tc>
        <w:tc>
          <w:tcPr>
            <w:tcW w:w="94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7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42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105.00 </w:t>
            </w: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1,470.00 </w:t>
            </w: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0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9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110</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25,950.00 </w:t>
            </w: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8"/>
        <w:gridCol w:w="1138"/>
        <w:gridCol w:w="587"/>
        <w:gridCol w:w="955"/>
        <w:gridCol w:w="601"/>
        <w:gridCol w:w="614"/>
        <w:gridCol w:w="641"/>
        <w:gridCol w:w="650"/>
        <w:gridCol w:w="772"/>
        <w:gridCol w:w="765"/>
        <w:gridCol w:w="668"/>
        <w:gridCol w:w="1029"/>
        <w:gridCol w:w="1183"/>
        <w:gridCol w:w="1108"/>
        <w:gridCol w:w="1618"/>
        <w:gridCol w:w="13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4175" w:type="dxa"/>
            <w:gridSpan w:val="1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ind w:firstLine="1205" w:firstLineChars="500"/>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固定资产--构筑物及其他辅助设施评估明细表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14175" w:type="dxa"/>
            <w:gridSpan w:val="16"/>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5044" w:type="dxa"/>
            <w:gridSpan w:val="7"/>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产权持有单位：江西省九江市永修县三角乡白沙村民委员会</w:t>
            </w:r>
          </w:p>
        </w:tc>
        <w:tc>
          <w:tcPr>
            <w:tcW w:w="65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7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6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2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8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0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956"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1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构筑物名称</w:t>
            </w:r>
          </w:p>
        </w:tc>
        <w:tc>
          <w:tcPr>
            <w:tcW w:w="58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结构</w:t>
            </w:r>
          </w:p>
        </w:tc>
        <w:tc>
          <w:tcPr>
            <w:tcW w:w="95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建成年月</w:t>
            </w:r>
          </w:p>
        </w:tc>
        <w:tc>
          <w:tcPr>
            <w:tcW w:w="6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长度（M）</w:t>
            </w:r>
          </w:p>
        </w:tc>
        <w:tc>
          <w:tcPr>
            <w:tcW w:w="61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宽度（M）</w:t>
            </w:r>
          </w:p>
        </w:tc>
        <w:tc>
          <w:tcPr>
            <w:tcW w:w="64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计量单位</w:t>
            </w:r>
          </w:p>
        </w:tc>
        <w:tc>
          <w:tcPr>
            <w:tcW w:w="77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工程量</w:t>
            </w:r>
          </w:p>
        </w:tc>
        <w:tc>
          <w:tcPr>
            <w:tcW w:w="1433" w:type="dxa"/>
            <w:gridSpan w:val="2"/>
            <w:tcBorders>
              <w:top w:val="single" w:color="000000" w:sz="4" w:space="0"/>
              <w:left w:val="single" w:color="000000" w:sz="4" w:space="0"/>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账面价值</w:t>
            </w:r>
          </w:p>
        </w:tc>
        <w:tc>
          <w:tcPr>
            <w:tcW w:w="4938"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3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0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87"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1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4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7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原值</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成新率%</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133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沥青路</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w:t>
            </w: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m²</w:t>
            </w: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174.00</w:t>
            </w: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75.00</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13,050.00</w:t>
            </w: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12,398.00</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路沿石</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0.7</w:t>
            </w: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0.15</w:t>
            </w: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0.25</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56.00</w:t>
            </w: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70.00</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3,920.00</w:t>
            </w: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3,724.00</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橡胶止退器</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22.00</w:t>
            </w: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30.00</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660.00</w:t>
            </w: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87</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574.00</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路灯</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4.00</w:t>
            </w: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1,500.00</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6,000.00</w:t>
            </w: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90</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5,400.00</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223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计（结果取整）</w:t>
            </w:r>
          </w:p>
        </w:tc>
        <w:tc>
          <w:tcPr>
            <w:tcW w:w="9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256.00</w:t>
            </w:r>
          </w:p>
        </w:tc>
        <w:tc>
          <w:tcPr>
            <w:tcW w:w="765"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23,630.00</w:t>
            </w:r>
          </w:p>
        </w:tc>
        <w:tc>
          <w:tcPr>
            <w:tcW w:w="11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22,096.00</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8"/>
        <w:gridCol w:w="1897"/>
        <w:gridCol w:w="1015"/>
        <w:gridCol w:w="985"/>
        <w:gridCol w:w="1000"/>
        <w:gridCol w:w="824"/>
        <w:gridCol w:w="1074"/>
        <w:gridCol w:w="842"/>
        <w:gridCol w:w="737"/>
        <w:gridCol w:w="1038"/>
        <w:gridCol w:w="1074"/>
        <w:gridCol w:w="1264"/>
        <w:gridCol w:w="1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145"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45"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45" w:type="dxa"/>
            <w:gridSpan w:val="2"/>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产权持有人：三角乡白沙村</w:t>
            </w:r>
          </w:p>
        </w:tc>
        <w:tc>
          <w:tcPr>
            <w:tcW w:w="101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8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2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7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4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7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411"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4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89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74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7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10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33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14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4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897"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冠幅（CM）</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7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114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89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1015"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30-34</w:t>
            </w:r>
          </w:p>
        </w:tc>
        <w:tc>
          <w:tcPr>
            <w:tcW w:w="98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7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61</w:t>
            </w:r>
          </w:p>
        </w:tc>
        <w:tc>
          <w:tcPr>
            <w:tcW w:w="107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320.00 </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19,520.00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89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1015"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36-38</w:t>
            </w:r>
          </w:p>
        </w:tc>
        <w:tc>
          <w:tcPr>
            <w:tcW w:w="98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7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w:t>
            </w:r>
          </w:p>
        </w:tc>
        <w:tc>
          <w:tcPr>
            <w:tcW w:w="107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370.00 </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11,100.00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8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红叶石楠球</w:t>
            </w:r>
          </w:p>
        </w:tc>
        <w:tc>
          <w:tcPr>
            <w:tcW w:w="101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8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00"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160-199</w:t>
            </w:r>
          </w:p>
        </w:tc>
        <w:tc>
          <w:tcPr>
            <w:tcW w:w="82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07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4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3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0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125.00 </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1,750.00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4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1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105</w:t>
            </w:r>
          </w:p>
        </w:tc>
        <w:tc>
          <w:tcPr>
            <w:tcW w:w="10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32,370.00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0"/>
        <w:gridCol w:w="1256"/>
        <w:gridCol w:w="650"/>
        <w:gridCol w:w="1142"/>
        <w:gridCol w:w="663"/>
        <w:gridCol w:w="750"/>
        <w:gridCol w:w="683"/>
        <w:gridCol w:w="684"/>
        <w:gridCol w:w="998"/>
        <w:gridCol w:w="570"/>
        <w:gridCol w:w="570"/>
        <w:gridCol w:w="744"/>
        <w:gridCol w:w="1103"/>
        <w:gridCol w:w="835"/>
        <w:gridCol w:w="1121"/>
        <w:gridCol w:w="17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14160" w:type="dxa"/>
            <w:gridSpan w:val="1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固定资产--构筑物及其他辅助设施评估明细表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160" w:type="dxa"/>
            <w:gridSpan w:val="16"/>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5111" w:type="dxa"/>
            <w:gridSpan w:val="6"/>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产权持有单位：江西省九江市永修县三角乡永丰村民委员会</w:t>
            </w:r>
          </w:p>
        </w:tc>
        <w:tc>
          <w:tcPr>
            <w:tcW w:w="68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9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7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7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4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0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3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862"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6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5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构筑物名称</w:t>
            </w:r>
          </w:p>
        </w:tc>
        <w:tc>
          <w:tcPr>
            <w:tcW w:w="6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结构</w:t>
            </w:r>
          </w:p>
        </w:tc>
        <w:tc>
          <w:tcPr>
            <w:tcW w:w="11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建成年月</w:t>
            </w:r>
          </w:p>
        </w:tc>
        <w:tc>
          <w:tcPr>
            <w:tcW w:w="66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长度（M）</w:t>
            </w:r>
          </w:p>
        </w:tc>
        <w:tc>
          <w:tcPr>
            <w:tcW w:w="7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宽度（M）</w:t>
            </w:r>
          </w:p>
        </w:tc>
        <w:tc>
          <w:tcPr>
            <w:tcW w:w="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计量单位</w:t>
            </w:r>
          </w:p>
        </w:tc>
        <w:tc>
          <w:tcPr>
            <w:tcW w:w="99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工程量</w:t>
            </w:r>
          </w:p>
        </w:tc>
        <w:tc>
          <w:tcPr>
            <w:tcW w:w="1140" w:type="dxa"/>
            <w:gridSpan w:val="2"/>
            <w:tcBorders>
              <w:top w:val="single" w:color="000000" w:sz="4" w:space="0"/>
              <w:left w:val="single" w:color="000000" w:sz="4" w:space="0"/>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账面价值</w:t>
            </w:r>
          </w:p>
        </w:tc>
        <w:tc>
          <w:tcPr>
            <w:tcW w:w="3803"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74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5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5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6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9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70" w:type="dxa"/>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原值</w:t>
            </w:r>
          </w:p>
        </w:tc>
        <w:tc>
          <w:tcPr>
            <w:tcW w:w="5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8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成新率%</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净值</w:t>
            </w:r>
          </w:p>
        </w:tc>
        <w:tc>
          <w:tcPr>
            <w:tcW w:w="174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沥青路</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m²</w:t>
            </w:r>
          </w:p>
        </w:tc>
        <w:tc>
          <w:tcPr>
            <w:tcW w:w="9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348.00</w:t>
            </w:r>
          </w:p>
        </w:tc>
        <w:tc>
          <w:tcPr>
            <w:tcW w:w="570"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75.00</w:t>
            </w:r>
          </w:p>
        </w:tc>
        <w:tc>
          <w:tcPr>
            <w:tcW w:w="1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26,100.00</w:t>
            </w:r>
          </w:p>
        </w:tc>
        <w:tc>
          <w:tcPr>
            <w:tcW w:w="8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24,795.00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路沿石</w:t>
            </w: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2023年</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0.7</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0.15</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0.25</w:t>
            </w: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9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76.00</w:t>
            </w:r>
          </w:p>
        </w:tc>
        <w:tc>
          <w:tcPr>
            <w:tcW w:w="570"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70.00</w:t>
            </w:r>
          </w:p>
        </w:tc>
        <w:tc>
          <w:tcPr>
            <w:tcW w:w="1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5,320.00</w:t>
            </w:r>
          </w:p>
        </w:tc>
        <w:tc>
          <w:tcPr>
            <w:tcW w:w="8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5,054.00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2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2556"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计（结果取整）</w:t>
            </w:r>
          </w:p>
        </w:tc>
        <w:tc>
          <w:tcPr>
            <w:tcW w:w="11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424.00</w:t>
            </w:r>
          </w:p>
        </w:tc>
        <w:tc>
          <w:tcPr>
            <w:tcW w:w="570" w:type="dxa"/>
            <w:tcBorders>
              <w:top w:val="single" w:color="000000" w:sz="4" w:space="0"/>
              <w:left w:val="nil"/>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31,420.00</w:t>
            </w:r>
          </w:p>
        </w:tc>
        <w:tc>
          <w:tcPr>
            <w:tcW w:w="8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29,849.00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66"/>
        <w:gridCol w:w="1206"/>
        <w:gridCol w:w="1044"/>
        <w:gridCol w:w="926"/>
        <w:gridCol w:w="971"/>
        <w:gridCol w:w="897"/>
        <w:gridCol w:w="824"/>
        <w:gridCol w:w="911"/>
        <w:gridCol w:w="780"/>
        <w:gridCol w:w="970"/>
        <w:gridCol w:w="1339"/>
        <w:gridCol w:w="1191"/>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175"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75"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72" w:type="dxa"/>
            <w:gridSpan w:val="2"/>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产权持有人：三角乡永丰村</w:t>
            </w:r>
          </w:p>
        </w:tc>
        <w:tc>
          <w:tcPr>
            <w:tcW w:w="104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2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7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2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1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8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7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33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441"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86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0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573"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97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53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86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0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冠幅（CM）</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1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06"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10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40-44</w:t>
            </w:r>
          </w:p>
        </w:tc>
        <w:tc>
          <w:tcPr>
            <w:tcW w:w="926"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7"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33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840.00 </w:t>
            </w:r>
          </w:p>
        </w:tc>
        <w:tc>
          <w:tcPr>
            <w:tcW w:w="11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12,600.00 </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06"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10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46-48</w:t>
            </w:r>
          </w:p>
        </w:tc>
        <w:tc>
          <w:tcPr>
            <w:tcW w:w="926"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7"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73</w:t>
            </w:r>
          </w:p>
        </w:tc>
        <w:tc>
          <w:tcPr>
            <w:tcW w:w="133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940.00 </w:t>
            </w:r>
          </w:p>
        </w:tc>
        <w:tc>
          <w:tcPr>
            <w:tcW w:w="11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68,620.00 </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2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杨树 </w:t>
            </w:r>
          </w:p>
        </w:tc>
        <w:tc>
          <w:tcPr>
            <w:tcW w:w="10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9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9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53</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1,000.00 </w:t>
            </w:r>
          </w:p>
        </w:tc>
        <w:tc>
          <w:tcPr>
            <w:tcW w:w="11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53,000.00 </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2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红叶石楠球</w:t>
            </w:r>
          </w:p>
        </w:tc>
        <w:tc>
          <w:tcPr>
            <w:tcW w:w="104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26"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1"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160-199</w:t>
            </w:r>
          </w:p>
        </w:tc>
        <w:tc>
          <w:tcPr>
            <w:tcW w:w="897"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2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1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133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125.00 </w:t>
            </w:r>
          </w:p>
        </w:tc>
        <w:tc>
          <w:tcPr>
            <w:tcW w:w="11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2,750.00 </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72"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10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163</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1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136,970.00 </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46"/>
        <w:gridCol w:w="964"/>
        <w:gridCol w:w="952"/>
        <w:gridCol w:w="937"/>
        <w:gridCol w:w="959"/>
        <w:gridCol w:w="886"/>
        <w:gridCol w:w="896"/>
        <w:gridCol w:w="831"/>
        <w:gridCol w:w="733"/>
        <w:gridCol w:w="1017"/>
        <w:gridCol w:w="1418"/>
        <w:gridCol w:w="1210"/>
        <w:gridCol w:w="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160"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60"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446"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产权持有人：三角乡水产场</w:t>
            </w:r>
          </w:p>
        </w:tc>
        <w:tc>
          <w:tcPr>
            <w:tcW w:w="96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3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1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1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121"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4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96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46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7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10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62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91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4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6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9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冠幅（M）</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7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2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91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96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2"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40-44</w:t>
            </w:r>
          </w:p>
        </w:tc>
        <w:tc>
          <w:tcPr>
            <w:tcW w:w="937"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9"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6"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6"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3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1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1418"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840.00 </w:t>
            </w:r>
          </w:p>
        </w:tc>
        <w:tc>
          <w:tcPr>
            <w:tcW w:w="12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18,480.00 </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1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22</w:t>
            </w:r>
          </w:p>
        </w:tc>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18,480.00 </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8"/>
        <w:gridCol w:w="944"/>
        <w:gridCol w:w="954"/>
        <w:gridCol w:w="941"/>
        <w:gridCol w:w="970"/>
        <w:gridCol w:w="893"/>
        <w:gridCol w:w="892"/>
        <w:gridCol w:w="862"/>
        <w:gridCol w:w="754"/>
        <w:gridCol w:w="1063"/>
        <w:gridCol w:w="1463"/>
        <w:gridCol w:w="947"/>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116"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16"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398"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产权持有人：三角乡建华村</w:t>
            </w:r>
          </w:p>
        </w:tc>
        <w:tc>
          <w:tcPr>
            <w:tcW w:w="94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7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6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5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6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6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982"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39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94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512"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41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0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39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9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冠幅（M）</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10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4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880.00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880.00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920.00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1,840.00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4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300.00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600.00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4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840.00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840.00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9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4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260.00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260.00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9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4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180.00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180.00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9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4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360.00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1,080.00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9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4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340.00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340.00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9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4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240.00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240.00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94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4"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20-24</w:t>
            </w:r>
          </w:p>
        </w:tc>
        <w:tc>
          <w:tcPr>
            <w:tcW w:w="94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70"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3"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62"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4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220.00 </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1,540.00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42"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9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20</w:t>
            </w:r>
          </w:p>
        </w:tc>
        <w:tc>
          <w:tcPr>
            <w:tcW w:w="14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7,800.00 </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1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47"/>
        <w:gridCol w:w="963"/>
        <w:gridCol w:w="952"/>
        <w:gridCol w:w="938"/>
        <w:gridCol w:w="959"/>
        <w:gridCol w:w="886"/>
        <w:gridCol w:w="896"/>
        <w:gridCol w:w="831"/>
        <w:gridCol w:w="733"/>
        <w:gridCol w:w="1017"/>
        <w:gridCol w:w="1419"/>
        <w:gridCol w:w="1214"/>
        <w:gridCol w:w="11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116"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16"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447"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产权持有人：三角乡五星村</w:t>
            </w:r>
          </w:p>
        </w:tc>
        <w:tc>
          <w:tcPr>
            <w:tcW w:w="96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6"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3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1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1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379"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4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96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324"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7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63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9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47"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6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9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冠幅（M）</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9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963"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52"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40-44</w:t>
            </w:r>
          </w:p>
        </w:tc>
        <w:tc>
          <w:tcPr>
            <w:tcW w:w="938"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59"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6"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96"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3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1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w:t>
            </w:r>
          </w:p>
        </w:tc>
        <w:tc>
          <w:tcPr>
            <w:tcW w:w="1419"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840.00 </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27,720.00 </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1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9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33</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2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27,720.00 </w:t>
            </w:r>
          </w:p>
        </w:tc>
        <w:tc>
          <w:tcPr>
            <w:tcW w:w="9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tbl>
      <w:tblPr>
        <w:tblStyle w:val="12"/>
        <w:tblW w:w="144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4"/>
        <w:gridCol w:w="942"/>
        <w:gridCol w:w="947"/>
        <w:gridCol w:w="931"/>
        <w:gridCol w:w="964"/>
        <w:gridCol w:w="885"/>
        <w:gridCol w:w="885"/>
        <w:gridCol w:w="855"/>
        <w:gridCol w:w="749"/>
        <w:gridCol w:w="1055"/>
        <w:gridCol w:w="1451"/>
        <w:gridCol w:w="1037"/>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425" w:type="dxa"/>
            <w:gridSpan w:val="1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生物性资产--园林绿化苗木资产评估明细表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425" w:type="dxa"/>
            <w:gridSpan w:val="13"/>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评估基准日：2024年4月7日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394"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产权持有人：三角乡周坊村</w:t>
            </w:r>
          </w:p>
        </w:tc>
        <w:tc>
          <w:tcPr>
            <w:tcW w:w="94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6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5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4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5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5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2367"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金额单位：人民币元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39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942"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种类名称</w:t>
            </w:r>
          </w:p>
        </w:tc>
        <w:tc>
          <w:tcPr>
            <w:tcW w:w="5467"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w:t>
            </w:r>
          </w:p>
        </w:tc>
        <w:tc>
          <w:tcPr>
            <w:tcW w:w="7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计量</w:t>
            </w:r>
            <w:r>
              <w:rPr>
                <w:rFonts w:hint="eastAsia" w:asciiTheme="minorEastAsia" w:hAnsiTheme="minorEastAsia" w:eastAsiaTheme="minorEastAsia" w:cstheme="minorEastAsia"/>
                <w:b/>
                <w:bCs/>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105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248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评估价值</w:t>
            </w:r>
          </w:p>
        </w:tc>
        <w:tc>
          <w:tcPr>
            <w:tcW w:w="13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394"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2"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胸径（㎝）</w:t>
            </w:r>
          </w:p>
        </w:tc>
        <w:tc>
          <w:tcPr>
            <w:tcW w:w="9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地径（㎝）</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冠幅（M）</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高度（M）</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树龄（年）</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其他</w:t>
            </w:r>
          </w:p>
        </w:tc>
        <w:tc>
          <w:tcPr>
            <w:tcW w:w="7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w:t>
            </w:r>
          </w:p>
        </w:tc>
        <w:tc>
          <w:tcPr>
            <w:tcW w:w="10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w:t>
            </w:r>
          </w:p>
        </w:tc>
        <w:tc>
          <w:tcPr>
            <w:tcW w:w="13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3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942"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杨树</w:t>
            </w:r>
          </w:p>
        </w:tc>
        <w:tc>
          <w:tcPr>
            <w:tcW w:w="947"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46-48</w:t>
            </w:r>
          </w:p>
        </w:tc>
        <w:tc>
          <w:tcPr>
            <w:tcW w:w="931"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964"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8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855" w:type="dxa"/>
            <w:tcBorders>
              <w:top w:val="single" w:color="000000" w:sz="4" w:space="0"/>
              <w:left w:val="single" w:color="000000" w:sz="4" w:space="0"/>
              <w:bottom w:val="nil"/>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棵</w:t>
            </w:r>
          </w:p>
        </w:tc>
        <w:tc>
          <w:tcPr>
            <w:tcW w:w="1055"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451" w:type="dxa"/>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940.00 </w:t>
            </w:r>
          </w:p>
        </w:tc>
        <w:tc>
          <w:tcPr>
            <w:tcW w:w="10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13,160.00 </w:t>
            </w:r>
          </w:p>
        </w:tc>
        <w:tc>
          <w:tcPr>
            <w:tcW w:w="13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合  计</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9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14</w:t>
            </w:r>
          </w:p>
        </w:tc>
        <w:tc>
          <w:tcPr>
            <w:tcW w:w="14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c>
          <w:tcPr>
            <w:tcW w:w="10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80" w:lineRule="auto"/>
              <w:jc w:val="both"/>
              <w:textAlignment w:val="center"/>
              <w:outlineLvl w:val="0"/>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 xml:space="preserve">13,160.00 </w:t>
            </w:r>
          </w:p>
        </w:tc>
        <w:tc>
          <w:tcPr>
            <w:tcW w:w="13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i w:val="0"/>
                <w:iCs w:val="0"/>
                <w:color w:val="000000"/>
                <w:sz w:val="24"/>
                <w:szCs w:val="24"/>
                <w:u w:val="none"/>
              </w:rPr>
            </w:pPr>
          </w:p>
        </w:tc>
      </w:tr>
    </w:tbl>
    <w:p>
      <w:pPr>
        <w:pStyle w:val="2"/>
        <w:keepNext w:val="0"/>
        <w:keepLines w:val="0"/>
        <w:pageBreakBefore w:val="0"/>
        <w:kinsoku/>
        <w:wordWrap/>
        <w:overflowPunct/>
        <w:topLinePunct w:val="0"/>
        <w:autoSpaceDE/>
        <w:autoSpaceDN/>
        <w:bidi w:val="0"/>
        <w:adjustRightInd/>
        <w:spacing w:line="480" w:lineRule="auto"/>
        <w:jc w:val="both"/>
        <w:outlineLvl w:val="0"/>
        <w:rPr>
          <w:rFonts w:hint="eastAsia" w:asciiTheme="minorEastAsia" w:hAnsiTheme="minorEastAsia" w:eastAsiaTheme="minorEastAsia" w:cstheme="minorEastAsia"/>
          <w:b/>
          <w:bCs/>
          <w:sz w:val="24"/>
          <w:szCs w:val="24"/>
          <w:highlight w:val="none"/>
          <w:lang w:val="en-US" w:eastAsia="zh-CN"/>
        </w:rPr>
      </w:pPr>
    </w:p>
    <w:sectPr>
      <w:headerReference r:id="rId3" w:type="default"/>
      <w:pgSz w:w="16838" w:h="23811"/>
      <w:pgMar w:top="2098" w:right="1531" w:bottom="1984" w:left="1531"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x.漀吀">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Cambria">
    <w:panose1 w:val="02040503050406030204"/>
    <w:charset w:val="00"/>
    <w:family w:val="auto"/>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65BDD5"/>
    <w:multiLevelType w:val="multilevel"/>
    <w:tmpl w:val="9065BDD5"/>
    <w:lvl w:ilvl="0" w:tentative="0">
      <w:start w:val="1"/>
      <w:numFmt w:val="chineseCounting"/>
      <w:pStyle w:val="91"/>
      <w:suff w:val="space"/>
      <w:lvlText w:val="附件%1"/>
      <w:lvlJc w:val="left"/>
      <w:pPr>
        <w:tabs>
          <w:tab w:val="left" w:pos="420"/>
        </w:tabs>
        <w:ind w:left="0" w:firstLine="0"/>
      </w:pPr>
      <w:rPr>
        <w:rFonts w:hint="eastAsia" w:ascii="宋体" w:hAnsi="宋体" w:eastAsia="宋体" w:cs="宋体"/>
      </w:rPr>
    </w:lvl>
    <w:lvl w:ilvl="1" w:tentative="0">
      <w:start w:val="1"/>
      <w:numFmt w:val="decimal"/>
      <w:suff w:val="space"/>
      <w:lvlText w:val="附件%2"/>
      <w:lvlJc w:val="left"/>
      <w:pPr>
        <w:tabs>
          <w:tab w:val="left" w:pos="420"/>
        </w:tabs>
        <w:ind w:left="0" w:firstLine="0"/>
      </w:pPr>
      <w:rPr>
        <w:rFonts w:hint="eastAsia" w:ascii="宋体" w:hAnsi="宋体" w:eastAsia="宋体" w:cs="宋体"/>
      </w:rPr>
    </w:lvl>
    <w:lvl w:ilvl="2" w:tentative="0">
      <w:start w:val="1"/>
      <w:numFmt w:val="decimal"/>
      <w:pStyle w:val="90"/>
      <w:suff w:val="space"/>
      <w:lvlText w:val="附件（%3）"/>
      <w:lvlJc w:val="left"/>
      <w:pPr>
        <w:tabs>
          <w:tab w:val="left" w:pos="420"/>
        </w:tabs>
        <w:ind w:left="0" w:firstLine="0"/>
      </w:pPr>
      <w:rPr>
        <w:rFonts w:hint="eastAsia" w:ascii="宋体" w:hAnsi="宋体" w:eastAsia="宋体" w:cs="宋体"/>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3MzkyNjY2ZWJmNDM5MDY3YTI3ZDFmNWE0MWUwNGYifQ=="/>
  </w:docVars>
  <w:rsids>
    <w:rsidRoot w:val="00610840"/>
    <w:rsid w:val="001B129C"/>
    <w:rsid w:val="001B2450"/>
    <w:rsid w:val="001C43F7"/>
    <w:rsid w:val="00256634"/>
    <w:rsid w:val="00284370"/>
    <w:rsid w:val="00287C8D"/>
    <w:rsid w:val="002971AA"/>
    <w:rsid w:val="003342E4"/>
    <w:rsid w:val="003438C7"/>
    <w:rsid w:val="00356B92"/>
    <w:rsid w:val="00403374"/>
    <w:rsid w:val="004B712A"/>
    <w:rsid w:val="004C72F8"/>
    <w:rsid w:val="004E6C84"/>
    <w:rsid w:val="00506A56"/>
    <w:rsid w:val="005B0B5F"/>
    <w:rsid w:val="005C77E1"/>
    <w:rsid w:val="00610840"/>
    <w:rsid w:val="006400FA"/>
    <w:rsid w:val="00640ED8"/>
    <w:rsid w:val="00714D77"/>
    <w:rsid w:val="00746971"/>
    <w:rsid w:val="007845D6"/>
    <w:rsid w:val="007E11C9"/>
    <w:rsid w:val="008234E5"/>
    <w:rsid w:val="00912178"/>
    <w:rsid w:val="00964343"/>
    <w:rsid w:val="00974B71"/>
    <w:rsid w:val="00A32325"/>
    <w:rsid w:val="00AC517A"/>
    <w:rsid w:val="00BD40F0"/>
    <w:rsid w:val="00C05CF4"/>
    <w:rsid w:val="00C93AD9"/>
    <w:rsid w:val="00CB3C55"/>
    <w:rsid w:val="00CF374B"/>
    <w:rsid w:val="00E60C72"/>
    <w:rsid w:val="00EE2951"/>
    <w:rsid w:val="00F340E8"/>
    <w:rsid w:val="00F9109E"/>
    <w:rsid w:val="00FD0031"/>
    <w:rsid w:val="01DD2C5C"/>
    <w:rsid w:val="0204742C"/>
    <w:rsid w:val="022A5367"/>
    <w:rsid w:val="0246322B"/>
    <w:rsid w:val="02EC3D8A"/>
    <w:rsid w:val="02FEF800"/>
    <w:rsid w:val="05DB1BC2"/>
    <w:rsid w:val="063E2A53"/>
    <w:rsid w:val="06C24AFE"/>
    <w:rsid w:val="070C4DB2"/>
    <w:rsid w:val="0733430F"/>
    <w:rsid w:val="073A38EF"/>
    <w:rsid w:val="07C9122F"/>
    <w:rsid w:val="07F54946"/>
    <w:rsid w:val="081E6D6D"/>
    <w:rsid w:val="08420CAE"/>
    <w:rsid w:val="087370B9"/>
    <w:rsid w:val="0A5151D8"/>
    <w:rsid w:val="0ACC2B9A"/>
    <w:rsid w:val="0B7FCDC8"/>
    <w:rsid w:val="0BA94BA0"/>
    <w:rsid w:val="0C1E7E05"/>
    <w:rsid w:val="0D024E06"/>
    <w:rsid w:val="0D0577E9"/>
    <w:rsid w:val="0D7C417F"/>
    <w:rsid w:val="0D7D85F0"/>
    <w:rsid w:val="0DADDCD0"/>
    <w:rsid w:val="0DAF0B93"/>
    <w:rsid w:val="0DB37F58"/>
    <w:rsid w:val="0DC17F91"/>
    <w:rsid w:val="0DC932D7"/>
    <w:rsid w:val="0DDE9402"/>
    <w:rsid w:val="0E751F97"/>
    <w:rsid w:val="0EA63619"/>
    <w:rsid w:val="0EAA7549"/>
    <w:rsid w:val="0EFD76E5"/>
    <w:rsid w:val="0F3E9067"/>
    <w:rsid w:val="0F911629"/>
    <w:rsid w:val="0FC226D4"/>
    <w:rsid w:val="0FFB5763"/>
    <w:rsid w:val="10B65D95"/>
    <w:rsid w:val="113B0990"/>
    <w:rsid w:val="119A56B6"/>
    <w:rsid w:val="12687612"/>
    <w:rsid w:val="127F85F1"/>
    <w:rsid w:val="13837FB7"/>
    <w:rsid w:val="139B0557"/>
    <w:rsid w:val="13B65092"/>
    <w:rsid w:val="145B1858"/>
    <w:rsid w:val="14CF9239"/>
    <w:rsid w:val="16AF0E7C"/>
    <w:rsid w:val="16BFB3E0"/>
    <w:rsid w:val="16FEFEFC"/>
    <w:rsid w:val="1703638C"/>
    <w:rsid w:val="171657DF"/>
    <w:rsid w:val="1719A750"/>
    <w:rsid w:val="17236EA9"/>
    <w:rsid w:val="17EF7121"/>
    <w:rsid w:val="184243B2"/>
    <w:rsid w:val="187A78C5"/>
    <w:rsid w:val="18B32A58"/>
    <w:rsid w:val="18B9C125"/>
    <w:rsid w:val="18DB2FE9"/>
    <w:rsid w:val="19221875"/>
    <w:rsid w:val="198C1D89"/>
    <w:rsid w:val="19D05965"/>
    <w:rsid w:val="19FF958B"/>
    <w:rsid w:val="1A76607C"/>
    <w:rsid w:val="1AB62E35"/>
    <w:rsid w:val="1AC7356B"/>
    <w:rsid w:val="1B2373A8"/>
    <w:rsid w:val="1B376CBD"/>
    <w:rsid w:val="1B522B5E"/>
    <w:rsid w:val="1BFEB63E"/>
    <w:rsid w:val="1BFFDD3C"/>
    <w:rsid w:val="1C0D53FF"/>
    <w:rsid w:val="1C542906"/>
    <w:rsid w:val="1CD83537"/>
    <w:rsid w:val="1D7E40DE"/>
    <w:rsid w:val="1D8E3BF5"/>
    <w:rsid w:val="1DA82F09"/>
    <w:rsid w:val="1DBF3F17"/>
    <w:rsid w:val="1DCFE8E3"/>
    <w:rsid w:val="1DD58132"/>
    <w:rsid w:val="1DF78A32"/>
    <w:rsid w:val="1E7F40F6"/>
    <w:rsid w:val="1E95914F"/>
    <w:rsid w:val="1E9FC61F"/>
    <w:rsid w:val="1EA27958"/>
    <w:rsid w:val="1EC80A89"/>
    <w:rsid w:val="1ECA45C8"/>
    <w:rsid w:val="1ECD2E93"/>
    <w:rsid w:val="1ED815CC"/>
    <w:rsid w:val="1EF1EFF4"/>
    <w:rsid w:val="1EFE1522"/>
    <w:rsid w:val="1EFEBD99"/>
    <w:rsid w:val="1F1E8CA6"/>
    <w:rsid w:val="1F1F71FB"/>
    <w:rsid w:val="1F5BB194"/>
    <w:rsid w:val="1F5E297D"/>
    <w:rsid w:val="1F6B41EE"/>
    <w:rsid w:val="1F6CBA42"/>
    <w:rsid w:val="1F7DCA23"/>
    <w:rsid w:val="1F7F8A3F"/>
    <w:rsid w:val="1F8359DC"/>
    <w:rsid w:val="1FBFDD7F"/>
    <w:rsid w:val="1FD8E057"/>
    <w:rsid w:val="1FE7A765"/>
    <w:rsid w:val="1FEBCB63"/>
    <w:rsid w:val="20AA1D6D"/>
    <w:rsid w:val="21234FB5"/>
    <w:rsid w:val="212B3A41"/>
    <w:rsid w:val="22047AC6"/>
    <w:rsid w:val="227968ED"/>
    <w:rsid w:val="22E76C29"/>
    <w:rsid w:val="234C52B1"/>
    <w:rsid w:val="24030E99"/>
    <w:rsid w:val="242D6792"/>
    <w:rsid w:val="245D6B87"/>
    <w:rsid w:val="248D10AB"/>
    <w:rsid w:val="24975894"/>
    <w:rsid w:val="24B623B0"/>
    <w:rsid w:val="255B365A"/>
    <w:rsid w:val="256BB83F"/>
    <w:rsid w:val="25C56370"/>
    <w:rsid w:val="26760726"/>
    <w:rsid w:val="26EA0A6E"/>
    <w:rsid w:val="27010436"/>
    <w:rsid w:val="277A3BB6"/>
    <w:rsid w:val="27ADEE32"/>
    <w:rsid w:val="27E03392"/>
    <w:rsid w:val="27FFDFD4"/>
    <w:rsid w:val="28520641"/>
    <w:rsid w:val="28FB3B69"/>
    <w:rsid w:val="291A689B"/>
    <w:rsid w:val="29B9F0F9"/>
    <w:rsid w:val="29E21176"/>
    <w:rsid w:val="2A295228"/>
    <w:rsid w:val="2A8400F0"/>
    <w:rsid w:val="2ABC0B66"/>
    <w:rsid w:val="2B9B798D"/>
    <w:rsid w:val="2BBBF7ED"/>
    <w:rsid w:val="2BC25ADE"/>
    <w:rsid w:val="2BEFF095"/>
    <w:rsid w:val="2BFADC70"/>
    <w:rsid w:val="2C385DA0"/>
    <w:rsid w:val="2C7A1F15"/>
    <w:rsid w:val="2C7F6DBF"/>
    <w:rsid w:val="2C861430"/>
    <w:rsid w:val="2C8D7E9A"/>
    <w:rsid w:val="2CA376BD"/>
    <w:rsid w:val="2CDD58E0"/>
    <w:rsid w:val="2CFF9A41"/>
    <w:rsid w:val="2D9B4260"/>
    <w:rsid w:val="2DD7BD6E"/>
    <w:rsid w:val="2DE338E9"/>
    <w:rsid w:val="2DF72E6F"/>
    <w:rsid w:val="2DFA00B9"/>
    <w:rsid w:val="2DFCBAE7"/>
    <w:rsid w:val="2E59A192"/>
    <w:rsid w:val="2EABDF83"/>
    <w:rsid w:val="2EE255B7"/>
    <w:rsid w:val="2EFA5A97"/>
    <w:rsid w:val="2EFF5786"/>
    <w:rsid w:val="2F3B2A6E"/>
    <w:rsid w:val="2F4E2E71"/>
    <w:rsid w:val="2F6DD517"/>
    <w:rsid w:val="2F6F0A7D"/>
    <w:rsid w:val="2F79D34B"/>
    <w:rsid w:val="2F7C65EB"/>
    <w:rsid w:val="2F843AFF"/>
    <w:rsid w:val="2FA26492"/>
    <w:rsid w:val="2FB361F0"/>
    <w:rsid w:val="2FBBA391"/>
    <w:rsid w:val="2FE5CD90"/>
    <w:rsid w:val="2FEC63AF"/>
    <w:rsid w:val="2FF9D141"/>
    <w:rsid w:val="2FFF51AE"/>
    <w:rsid w:val="2FFF6875"/>
    <w:rsid w:val="305CA707"/>
    <w:rsid w:val="30B44BEB"/>
    <w:rsid w:val="30BFE19D"/>
    <w:rsid w:val="30DC17B7"/>
    <w:rsid w:val="31044F7C"/>
    <w:rsid w:val="31B05E08"/>
    <w:rsid w:val="31FADC5E"/>
    <w:rsid w:val="32472899"/>
    <w:rsid w:val="32BBF52D"/>
    <w:rsid w:val="32EFE8FB"/>
    <w:rsid w:val="33166A3A"/>
    <w:rsid w:val="33457507"/>
    <w:rsid w:val="33BFA049"/>
    <w:rsid w:val="33CA3782"/>
    <w:rsid w:val="33DD71C3"/>
    <w:rsid w:val="34174BA7"/>
    <w:rsid w:val="34711E4F"/>
    <w:rsid w:val="34864545"/>
    <w:rsid w:val="3500786E"/>
    <w:rsid w:val="357E93EB"/>
    <w:rsid w:val="35DFCFC6"/>
    <w:rsid w:val="365FAC45"/>
    <w:rsid w:val="366A4A15"/>
    <w:rsid w:val="36769EC7"/>
    <w:rsid w:val="368C6ABB"/>
    <w:rsid w:val="36DF2C43"/>
    <w:rsid w:val="36F67DA3"/>
    <w:rsid w:val="37387FE4"/>
    <w:rsid w:val="377CAEBA"/>
    <w:rsid w:val="379B7950"/>
    <w:rsid w:val="379C0E5D"/>
    <w:rsid w:val="37B524E8"/>
    <w:rsid w:val="37BC56A9"/>
    <w:rsid w:val="37BD32D1"/>
    <w:rsid w:val="37BF2B1C"/>
    <w:rsid w:val="37DEB27E"/>
    <w:rsid w:val="37F730C1"/>
    <w:rsid w:val="37F7EE43"/>
    <w:rsid w:val="37FCFD97"/>
    <w:rsid w:val="37FE811A"/>
    <w:rsid w:val="37FFA089"/>
    <w:rsid w:val="3810372D"/>
    <w:rsid w:val="38325D99"/>
    <w:rsid w:val="396FE8CB"/>
    <w:rsid w:val="397FC81D"/>
    <w:rsid w:val="39FDAC0B"/>
    <w:rsid w:val="39FEBC42"/>
    <w:rsid w:val="39FFDD2D"/>
    <w:rsid w:val="3A076584"/>
    <w:rsid w:val="3A100401"/>
    <w:rsid w:val="3AAD846D"/>
    <w:rsid w:val="3AB21AFF"/>
    <w:rsid w:val="3AF97FB8"/>
    <w:rsid w:val="3AF9D420"/>
    <w:rsid w:val="3AFD48BC"/>
    <w:rsid w:val="3B2FA25A"/>
    <w:rsid w:val="3B462F04"/>
    <w:rsid w:val="3B4B164C"/>
    <w:rsid w:val="3B5E2A01"/>
    <w:rsid w:val="3B7E83F1"/>
    <w:rsid w:val="3BA84A83"/>
    <w:rsid w:val="3BAB2992"/>
    <w:rsid w:val="3BB6A980"/>
    <w:rsid w:val="3BBB0959"/>
    <w:rsid w:val="3BFB5339"/>
    <w:rsid w:val="3BFFF065"/>
    <w:rsid w:val="3C025A83"/>
    <w:rsid w:val="3C430545"/>
    <w:rsid w:val="3C7B3AF2"/>
    <w:rsid w:val="3CBEDAB9"/>
    <w:rsid w:val="3CDD8B4D"/>
    <w:rsid w:val="3CFD237F"/>
    <w:rsid w:val="3CFF5860"/>
    <w:rsid w:val="3D361E88"/>
    <w:rsid w:val="3D531193"/>
    <w:rsid w:val="3D68DE3B"/>
    <w:rsid w:val="3D6D8976"/>
    <w:rsid w:val="3D7385D2"/>
    <w:rsid w:val="3D7B2FB8"/>
    <w:rsid w:val="3D7E4195"/>
    <w:rsid w:val="3DDBF24C"/>
    <w:rsid w:val="3DEA15FA"/>
    <w:rsid w:val="3DEFA64B"/>
    <w:rsid w:val="3DFDF0EA"/>
    <w:rsid w:val="3DFE3AF6"/>
    <w:rsid w:val="3E2F03C8"/>
    <w:rsid w:val="3E3848A9"/>
    <w:rsid w:val="3E7F66A8"/>
    <w:rsid w:val="3E8D7AEF"/>
    <w:rsid w:val="3ED5420C"/>
    <w:rsid w:val="3EDDACA9"/>
    <w:rsid w:val="3EDFC494"/>
    <w:rsid w:val="3EF1DDB5"/>
    <w:rsid w:val="3EFD73B5"/>
    <w:rsid w:val="3F075CC4"/>
    <w:rsid w:val="3F3E2CB8"/>
    <w:rsid w:val="3F49147B"/>
    <w:rsid w:val="3F691676"/>
    <w:rsid w:val="3F6FD919"/>
    <w:rsid w:val="3F752CA0"/>
    <w:rsid w:val="3F778CBB"/>
    <w:rsid w:val="3F7F0D57"/>
    <w:rsid w:val="3F7FCB70"/>
    <w:rsid w:val="3F8FF6CF"/>
    <w:rsid w:val="3F9925BB"/>
    <w:rsid w:val="3FB05F21"/>
    <w:rsid w:val="3FB8FD08"/>
    <w:rsid w:val="3FBD8CC8"/>
    <w:rsid w:val="3FC68E2B"/>
    <w:rsid w:val="3FCA7860"/>
    <w:rsid w:val="3FCBA81D"/>
    <w:rsid w:val="3FD3F6D7"/>
    <w:rsid w:val="3FD7A9DB"/>
    <w:rsid w:val="3FDB660E"/>
    <w:rsid w:val="3FDB9566"/>
    <w:rsid w:val="3FDC4120"/>
    <w:rsid w:val="3FDDEB47"/>
    <w:rsid w:val="3FEC6627"/>
    <w:rsid w:val="3FECE5A9"/>
    <w:rsid w:val="3FEDF9A0"/>
    <w:rsid w:val="3FEEC32E"/>
    <w:rsid w:val="3FEED155"/>
    <w:rsid w:val="3FEFC064"/>
    <w:rsid w:val="3FF3931C"/>
    <w:rsid w:val="3FF72CC0"/>
    <w:rsid w:val="3FF89AD9"/>
    <w:rsid w:val="3FFC0B88"/>
    <w:rsid w:val="3FFC5A86"/>
    <w:rsid w:val="3FFD0809"/>
    <w:rsid w:val="3FFEE762"/>
    <w:rsid w:val="3FFF1BE2"/>
    <w:rsid w:val="3FFF51F3"/>
    <w:rsid w:val="3FFFF945"/>
    <w:rsid w:val="3FFFFAFA"/>
    <w:rsid w:val="40356427"/>
    <w:rsid w:val="408A4503"/>
    <w:rsid w:val="4137BA03"/>
    <w:rsid w:val="415F7A57"/>
    <w:rsid w:val="41CB651A"/>
    <w:rsid w:val="4218584E"/>
    <w:rsid w:val="423F183D"/>
    <w:rsid w:val="4250579A"/>
    <w:rsid w:val="425F59DD"/>
    <w:rsid w:val="428811B4"/>
    <w:rsid w:val="42F37631"/>
    <w:rsid w:val="432E6F98"/>
    <w:rsid w:val="442B74D7"/>
    <w:rsid w:val="44355D30"/>
    <w:rsid w:val="446903A9"/>
    <w:rsid w:val="44782D86"/>
    <w:rsid w:val="450F36EA"/>
    <w:rsid w:val="4533080F"/>
    <w:rsid w:val="45505AB1"/>
    <w:rsid w:val="459800E9"/>
    <w:rsid w:val="45B679CC"/>
    <w:rsid w:val="45C959E9"/>
    <w:rsid w:val="45F3E9A0"/>
    <w:rsid w:val="46D83FB0"/>
    <w:rsid w:val="475164CF"/>
    <w:rsid w:val="475EA5DB"/>
    <w:rsid w:val="480A63EB"/>
    <w:rsid w:val="48240555"/>
    <w:rsid w:val="48561630"/>
    <w:rsid w:val="48790E7B"/>
    <w:rsid w:val="48987EA8"/>
    <w:rsid w:val="49C66341"/>
    <w:rsid w:val="49F67D1D"/>
    <w:rsid w:val="49F93532"/>
    <w:rsid w:val="49FB423D"/>
    <w:rsid w:val="4A51487A"/>
    <w:rsid w:val="4A7A7858"/>
    <w:rsid w:val="4A8D5D5F"/>
    <w:rsid w:val="4A900F08"/>
    <w:rsid w:val="4AB34B18"/>
    <w:rsid w:val="4AFDD33F"/>
    <w:rsid w:val="4B07CE19"/>
    <w:rsid w:val="4B2325F2"/>
    <w:rsid w:val="4B8F7333"/>
    <w:rsid w:val="4BEE392E"/>
    <w:rsid w:val="4C191367"/>
    <w:rsid w:val="4D5FA2FD"/>
    <w:rsid w:val="4D97EB21"/>
    <w:rsid w:val="4DCF143C"/>
    <w:rsid w:val="4DE47AF5"/>
    <w:rsid w:val="4DEB281B"/>
    <w:rsid w:val="4DFD74EE"/>
    <w:rsid w:val="4E0647D8"/>
    <w:rsid w:val="4EB0FDF7"/>
    <w:rsid w:val="4EF54E4C"/>
    <w:rsid w:val="4EFE917D"/>
    <w:rsid w:val="4EFF657E"/>
    <w:rsid w:val="4F52F326"/>
    <w:rsid w:val="4F6FFE0A"/>
    <w:rsid w:val="4F7F460C"/>
    <w:rsid w:val="4F944E3F"/>
    <w:rsid w:val="4F9C1887"/>
    <w:rsid w:val="4F9E1330"/>
    <w:rsid w:val="4FDEB0ED"/>
    <w:rsid w:val="4FDFB90A"/>
    <w:rsid w:val="4FF57980"/>
    <w:rsid w:val="4FFAF0F8"/>
    <w:rsid w:val="4FFBCFC3"/>
    <w:rsid w:val="4FFDA2D8"/>
    <w:rsid w:val="4FFDD39E"/>
    <w:rsid w:val="4FFFCA24"/>
    <w:rsid w:val="509E1112"/>
    <w:rsid w:val="50BA3AD0"/>
    <w:rsid w:val="511E0023"/>
    <w:rsid w:val="51332793"/>
    <w:rsid w:val="51CF29A5"/>
    <w:rsid w:val="51DB8E1F"/>
    <w:rsid w:val="5209326F"/>
    <w:rsid w:val="525D7095"/>
    <w:rsid w:val="52734456"/>
    <w:rsid w:val="53BBFC9A"/>
    <w:rsid w:val="53C2401E"/>
    <w:rsid w:val="53E72E90"/>
    <w:rsid w:val="53F501FF"/>
    <w:rsid w:val="53FBB2B8"/>
    <w:rsid w:val="54396EFD"/>
    <w:rsid w:val="54E6ABAE"/>
    <w:rsid w:val="54E87019"/>
    <w:rsid w:val="54E94821"/>
    <w:rsid w:val="557B2061"/>
    <w:rsid w:val="55BB27D3"/>
    <w:rsid w:val="567B5D6A"/>
    <w:rsid w:val="568EB31A"/>
    <w:rsid w:val="56F99630"/>
    <w:rsid w:val="56FF0835"/>
    <w:rsid w:val="573C5F32"/>
    <w:rsid w:val="573F8E24"/>
    <w:rsid w:val="575C2A42"/>
    <w:rsid w:val="576F5FEC"/>
    <w:rsid w:val="57754D28"/>
    <w:rsid w:val="57956B74"/>
    <w:rsid w:val="57BF2DDE"/>
    <w:rsid w:val="57CF4B5B"/>
    <w:rsid w:val="57EF4CB8"/>
    <w:rsid w:val="583A1DF4"/>
    <w:rsid w:val="58515970"/>
    <w:rsid w:val="58535244"/>
    <w:rsid w:val="5856692C"/>
    <w:rsid w:val="58727DC0"/>
    <w:rsid w:val="58A41F44"/>
    <w:rsid w:val="58C36A96"/>
    <w:rsid w:val="58FF9584"/>
    <w:rsid w:val="596F2364"/>
    <w:rsid w:val="59CF04C9"/>
    <w:rsid w:val="59F86633"/>
    <w:rsid w:val="59FEF03B"/>
    <w:rsid w:val="5ABFE078"/>
    <w:rsid w:val="5AE14D89"/>
    <w:rsid w:val="5AE541C5"/>
    <w:rsid w:val="5B57A611"/>
    <w:rsid w:val="5BBF8E48"/>
    <w:rsid w:val="5BDD9B01"/>
    <w:rsid w:val="5BE7CF59"/>
    <w:rsid w:val="5BEF3D2A"/>
    <w:rsid w:val="5BF6580F"/>
    <w:rsid w:val="5BF7BF92"/>
    <w:rsid w:val="5BF911BE"/>
    <w:rsid w:val="5BF9CBA0"/>
    <w:rsid w:val="5BFB1401"/>
    <w:rsid w:val="5BFEF5D2"/>
    <w:rsid w:val="5BFF309F"/>
    <w:rsid w:val="5BFF7099"/>
    <w:rsid w:val="5C394D25"/>
    <w:rsid w:val="5C4D10B3"/>
    <w:rsid w:val="5C57756F"/>
    <w:rsid w:val="5C655FFC"/>
    <w:rsid w:val="5C74BC64"/>
    <w:rsid w:val="5C77695D"/>
    <w:rsid w:val="5CA249EC"/>
    <w:rsid w:val="5CBFF005"/>
    <w:rsid w:val="5CE76453"/>
    <w:rsid w:val="5CF29A56"/>
    <w:rsid w:val="5CF746AA"/>
    <w:rsid w:val="5D478087"/>
    <w:rsid w:val="5D7F5CEC"/>
    <w:rsid w:val="5DE142EE"/>
    <w:rsid w:val="5DF6A487"/>
    <w:rsid w:val="5DFA477C"/>
    <w:rsid w:val="5E205C74"/>
    <w:rsid w:val="5E6F78BB"/>
    <w:rsid w:val="5E8BD5C1"/>
    <w:rsid w:val="5EA22243"/>
    <w:rsid w:val="5EEC6870"/>
    <w:rsid w:val="5EEDD1BF"/>
    <w:rsid w:val="5EF50904"/>
    <w:rsid w:val="5EFF2751"/>
    <w:rsid w:val="5EFFCC4C"/>
    <w:rsid w:val="5EFFEAF8"/>
    <w:rsid w:val="5F086911"/>
    <w:rsid w:val="5F37A245"/>
    <w:rsid w:val="5F3D4028"/>
    <w:rsid w:val="5F443B39"/>
    <w:rsid w:val="5F7799A0"/>
    <w:rsid w:val="5F7B2E60"/>
    <w:rsid w:val="5F8736D1"/>
    <w:rsid w:val="5F9BA6CD"/>
    <w:rsid w:val="5FBF45BD"/>
    <w:rsid w:val="5FC2255D"/>
    <w:rsid w:val="5FCFC5C5"/>
    <w:rsid w:val="5FD7D6AF"/>
    <w:rsid w:val="5FDB37E7"/>
    <w:rsid w:val="5FDBCB45"/>
    <w:rsid w:val="5FDEB61D"/>
    <w:rsid w:val="5FDFA74C"/>
    <w:rsid w:val="5FEBC058"/>
    <w:rsid w:val="5FED2992"/>
    <w:rsid w:val="5FEEB73F"/>
    <w:rsid w:val="5FEFDCBD"/>
    <w:rsid w:val="5FF594B2"/>
    <w:rsid w:val="5FF60514"/>
    <w:rsid w:val="5FF767E7"/>
    <w:rsid w:val="5FFBC9F8"/>
    <w:rsid w:val="5FFDA797"/>
    <w:rsid w:val="5FFF0D50"/>
    <w:rsid w:val="5FFF14A5"/>
    <w:rsid w:val="5FFF29C3"/>
    <w:rsid w:val="5FFFA035"/>
    <w:rsid w:val="6006023B"/>
    <w:rsid w:val="60161979"/>
    <w:rsid w:val="609E6129"/>
    <w:rsid w:val="60B47F4B"/>
    <w:rsid w:val="613A51F3"/>
    <w:rsid w:val="614D41AE"/>
    <w:rsid w:val="61A20572"/>
    <w:rsid w:val="61BE84C1"/>
    <w:rsid w:val="6256605D"/>
    <w:rsid w:val="62D2704E"/>
    <w:rsid w:val="62EF70CE"/>
    <w:rsid w:val="636FC772"/>
    <w:rsid w:val="637D8511"/>
    <w:rsid w:val="637FA911"/>
    <w:rsid w:val="63D8D9C6"/>
    <w:rsid w:val="63ECB2FC"/>
    <w:rsid w:val="63F23BEA"/>
    <w:rsid w:val="63F66857"/>
    <w:rsid w:val="63FD7734"/>
    <w:rsid w:val="63FF57A2"/>
    <w:rsid w:val="643C1C29"/>
    <w:rsid w:val="643F933A"/>
    <w:rsid w:val="64CA17B6"/>
    <w:rsid w:val="64DF7262"/>
    <w:rsid w:val="65A7A815"/>
    <w:rsid w:val="65C72CA3"/>
    <w:rsid w:val="65FEEED4"/>
    <w:rsid w:val="661A1A97"/>
    <w:rsid w:val="6691E34A"/>
    <w:rsid w:val="66AF4409"/>
    <w:rsid w:val="66EBF6DF"/>
    <w:rsid w:val="66FE44E1"/>
    <w:rsid w:val="66FF83BC"/>
    <w:rsid w:val="672CD713"/>
    <w:rsid w:val="675DACE5"/>
    <w:rsid w:val="67B30889"/>
    <w:rsid w:val="67B7463B"/>
    <w:rsid w:val="67BB629A"/>
    <w:rsid w:val="67BC554A"/>
    <w:rsid w:val="67BD93E5"/>
    <w:rsid w:val="67D30536"/>
    <w:rsid w:val="67D672F6"/>
    <w:rsid w:val="67DF6B10"/>
    <w:rsid w:val="67DFE499"/>
    <w:rsid w:val="67E0EAD0"/>
    <w:rsid w:val="687B0876"/>
    <w:rsid w:val="68BC2F85"/>
    <w:rsid w:val="69578BE1"/>
    <w:rsid w:val="69B018C1"/>
    <w:rsid w:val="69C3253F"/>
    <w:rsid w:val="69FF8E75"/>
    <w:rsid w:val="6A1323C3"/>
    <w:rsid w:val="6A3F3FD6"/>
    <w:rsid w:val="6A66663F"/>
    <w:rsid w:val="6AA13C3F"/>
    <w:rsid w:val="6AFB7A98"/>
    <w:rsid w:val="6B1FC532"/>
    <w:rsid w:val="6B3F6FD4"/>
    <w:rsid w:val="6B7EFACC"/>
    <w:rsid w:val="6B9D017F"/>
    <w:rsid w:val="6BAC3191"/>
    <w:rsid w:val="6BD74E43"/>
    <w:rsid w:val="6BDD3FC5"/>
    <w:rsid w:val="6BDE1BE2"/>
    <w:rsid w:val="6BDFDBB6"/>
    <w:rsid w:val="6BE7D49C"/>
    <w:rsid w:val="6BEFC864"/>
    <w:rsid w:val="6BFF8E82"/>
    <w:rsid w:val="6C33245E"/>
    <w:rsid w:val="6C6A4DA4"/>
    <w:rsid w:val="6CC16231"/>
    <w:rsid w:val="6CDFA959"/>
    <w:rsid w:val="6CFE0848"/>
    <w:rsid w:val="6D2C4635"/>
    <w:rsid w:val="6D375073"/>
    <w:rsid w:val="6D3A58A7"/>
    <w:rsid w:val="6D751B92"/>
    <w:rsid w:val="6D7FE543"/>
    <w:rsid w:val="6D88378A"/>
    <w:rsid w:val="6DAF57CA"/>
    <w:rsid w:val="6DBFE818"/>
    <w:rsid w:val="6DDD7968"/>
    <w:rsid w:val="6DE07122"/>
    <w:rsid w:val="6DEF366B"/>
    <w:rsid w:val="6DF3107D"/>
    <w:rsid w:val="6DF76934"/>
    <w:rsid w:val="6DFE92FA"/>
    <w:rsid w:val="6DFF2DBD"/>
    <w:rsid w:val="6E313E22"/>
    <w:rsid w:val="6E616877"/>
    <w:rsid w:val="6E6526A9"/>
    <w:rsid w:val="6E6E6939"/>
    <w:rsid w:val="6E7B3658"/>
    <w:rsid w:val="6EA6374F"/>
    <w:rsid w:val="6EAC4EBB"/>
    <w:rsid w:val="6EAF3E5F"/>
    <w:rsid w:val="6EB5A8B9"/>
    <w:rsid w:val="6ECF8531"/>
    <w:rsid w:val="6ED1ACD3"/>
    <w:rsid w:val="6EDF6F63"/>
    <w:rsid w:val="6EE3824C"/>
    <w:rsid w:val="6EEC2022"/>
    <w:rsid w:val="6EFBA576"/>
    <w:rsid w:val="6EFFC676"/>
    <w:rsid w:val="6F2E5B41"/>
    <w:rsid w:val="6F593630"/>
    <w:rsid w:val="6F5DFF49"/>
    <w:rsid w:val="6F6FE14F"/>
    <w:rsid w:val="6F6FF627"/>
    <w:rsid w:val="6F7BE963"/>
    <w:rsid w:val="6F7F034F"/>
    <w:rsid w:val="6F9266A1"/>
    <w:rsid w:val="6FA77663"/>
    <w:rsid w:val="6FADF10B"/>
    <w:rsid w:val="6FAF06E9"/>
    <w:rsid w:val="6FB19C28"/>
    <w:rsid w:val="6FBD75A9"/>
    <w:rsid w:val="6FBDB816"/>
    <w:rsid w:val="6FDB5CCF"/>
    <w:rsid w:val="6FDF3861"/>
    <w:rsid w:val="6FDF42C4"/>
    <w:rsid w:val="6FED25B7"/>
    <w:rsid w:val="6FEE589F"/>
    <w:rsid w:val="6FEF59CA"/>
    <w:rsid w:val="6FEFB552"/>
    <w:rsid w:val="6FEFC17E"/>
    <w:rsid w:val="6FF56761"/>
    <w:rsid w:val="6FF62A06"/>
    <w:rsid w:val="6FF73950"/>
    <w:rsid w:val="6FF9ED3D"/>
    <w:rsid w:val="6FFAA29B"/>
    <w:rsid w:val="6FFB5A49"/>
    <w:rsid w:val="6FFC11C2"/>
    <w:rsid w:val="6FFCFDE5"/>
    <w:rsid w:val="6FFD546D"/>
    <w:rsid w:val="6FFF0A7F"/>
    <w:rsid w:val="6FFF23AC"/>
    <w:rsid w:val="6FFF8EAA"/>
    <w:rsid w:val="6FFF8FBF"/>
    <w:rsid w:val="70113125"/>
    <w:rsid w:val="70454E9B"/>
    <w:rsid w:val="70FD715E"/>
    <w:rsid w:val="713F3D33"/>
    <w:rsid w:val="717F0DDF"/>
    <w:rsid w:val="71D84CE0"/>
    <w:rsid w:val="71E610EB"/>
    <w:rsid w:val="71F71F40"/>
    <w:rsid w:val="72144BF8"/>
    <w:rsid w:val="723B526F"/>
    <w:rsid w:val="72AB5F51"/>
    <w:rsid w:val="72CB65F3"/>
    <w:rsid w:val="72CF4132"/>
    <w:rsid w:val="731C6E4F"/>
    <w:rsid w:val="734D4DE5"/>
    <w:rsid w:val="735FF8A9"/>
    <w:rsid w:val="737F18AE"/>
    <w:rsid w:val="737FB9E9"/>
    <w:rsid w:val="73AD5CF9"/>
    <w:rsid w:val="73AF1A71"/>
    <w:rsid w:val="73EDB384"/>
    <w:rsid w:val="73F50EDE"/>
    <w:rsid w:val="73F9CD2C"/>
    <w:rsid w:val="73FF50AD"/>
    <w:rsid w:val="743EB84E"/>
    <w:rsid w:val="745254E7"/>
    <w:rsid w:val="74BF1805"/>
    <w:rsid w:val="74FAD9A7"/>
    <w:rsid w:val="74FF9791"/>
    <w:rsid w:val="751F19EB"/>
    <w:rsid w:val="753D9E00"/>
    <w:rsid w:val="755FA22F"/>
    <w:rsid w:val="759A2F18"/>
    <w:rsid w:val="75BA53BB"/>
    <w:rsid w:val="75BF4BE0"/>
    <w:rsid w:val="75CF721C"/>
    <w:rsid w:val="75D6CF1C"/>
    <w:rsid w:val="75FB8AA6"/>
    <w:rsid w:val="75FD6DFD"/>
    <w:rsid w:val="75FFAD47"/>
    <w:rsid w:val="762F83F5"/>
    <w:rsid w:val="763E42CA"/>
    <w:rsid w:val="767B14EC"/>
    <w:rsid w:val="76BF021D"/>
    <w:rsid w:val="76EBBFF0"/>
    <w:rsid w:val="76F72740"/>
    <w:rsid w:val="76F96793"/>
    <w:rsid w:val="76F98172"/>
    <w:rsid w:val="76FEA359"/>
    <w:rsid w:val="76FF9C6C"/>
    <w:rsid w:val="76FFF40F"/>
    <w:rsid w:val="772BD332"/>
    <w:rsid w:val="772FE0D7"/>
    <w:rsid w:val="773372B7"/>
    <w:rsid w:val="773B37C3"/>
    <w:rsid w:val="773F135E"/>
    <w:rsid w:val="774A5B84"/>
    <w:rsid w:val="775EDE0B"/>
    <w:rsid w:val="777E8BB4"/>
    <w:rsid w:val="77AF69AC"/>
    <w:rsid w:val="77BB89E4"/>
    <w:rsid w:val="77BD28A4"/>
    <w:rsid w:val="77BF8DF6"/>
    <w:rsid w:val="77BFE567"/>
    <w:rsid w:val="77E68BAF"/>
    <w:rsid w:val="77E6C7CA"/>
    <w:rsid w:val="77EAF0A9"/>
    <w:rsid w:val="77F33597"/>
    <w:rsid w:val="77F75962"/>
    <w:rsid w:val="77FB551F"/>
    <w:rsid w:val="77FD0ADA"/>
    <w:rsid w:val="77FDDE0F"/>
    <w:rsid w:val="77FDF8D2"/>
    <w:rsid w:val="77FE25B9"/>
    <w:rsid w:val="77FF06DA"/>
    <w:rsid w:val="77FF0821"/>
    <w:rsid w:val="77FFAC12"/>
    <w:rsid w:val="77FFC6F9"/>
    <w:rsid w:val="780A5F0F"/>
    <w:rsid w:val="78696D95"/>
    <w:rsid w:val="7872449F"/>
    <w:rsid w:val="78D73BD0"/>
    <w:rsid w:val="78DC3DFA"/>
    <w:rsid w:val="794013BD"/>
    <w:rsid w:val="795FCAA2"/>
    <w:rsid w:val="79639759"/>
    <w:rsid w:val="797F77A0"/>
    <w:rsid w:val="797FA181"/>
    <w:rsid w:val="799EDBEE"/>
    <w:rsid w:val="79CA8FD4"/>
    <w:rsid w:val="79DD1AFF"/>
    <w:rsid w:val="79DFC723"/>
    <w:rsid w:val="79FF0120"/>
    <w:rsid w:val="7A5D62B5"/>
    <w:rsid w:val="7A75F304"/>
    <w:rsid w:val="7A790DA9"/>
    <w:rsid w:val="7A7BCB9C"/>
    <w:rsid w:val="7ABB8884"/>
    <w:rsid w:val="7ACDEF0D"/>
    <w:rsid w:val="7AD9DF1E"/>
    <w:rsid w:val="7ADC795E"/>
    <w:rsid w:val="7AE779C8"/>
    <w:rsid w:val="7AE7A2A0"/>
    <w:rsid w:val="7AFF4AAD"/>
    <w:rsid w:val="7B007056"/>
    <w:rsid w:val="7B1B79EC"/>
    <w:rsid w:val="7B2C632E"/>
    <w:rsid w:val="7B6ED3C6"/>
    <w:rsid w:val="7B767E94"/>
    <w:rsid w:val="7BAFEEA5"/>
    <w:rsid w:val="7BB1BA8C"/>
    <w:rsid w:val="7BBF4752"/>
    <w:rsid w:val="7BD14C58"/>
    <w:rsid w:val="7BE7D498"/>
    <w:rsid w:val="7BE89867"/>
    <w:rsid w:val="7BEFC1A3"/>
    <w:rsid w:val="7BF5B8ED"/>
    <w:rsid w:val="7BF711FD"/>
    <w:rsid w:val="7BFC3D0B"/>
    <w:rsid w:val="7BFE4C07"/>
    <w:rsid w:val="7BFEBF3C"/>
    <w:rsid w:val="7BFF7128"/>
    <w:rsid w:val="7C3130C5"/>
    <w:rsid w:val="7C7B88F8"/>
    <w:rsid w:val="7C7BE789"/>
    <w:rsid w:val="7C907F65"/>
    <w:rsid w:val="7C9C6F0C"/>
    <w:rsid w:val="7CCB4BA1"/>
    <w:rsid w:val="7CCF1D10"/>
    <w:rsid w:val="7CDB4C36"/>
    <w:rsid w:val="7CDF8DF8"/>
    <w:rsid w:val="7CF516F1"/>
    <w:rsid w:val="7CFD4D16"/>
    <w:rsid w:val="7CFDC7BF"/>
    <w:rsid w:val="7D0F06DC"/>
    <w:rsid w:val="7D3F3B7C"/>
    <w:rsid w:val="7D5D89F3"/>
    <w:rsid w:val="7D5ED55D"/>
    <w:rsid w:val="7D66D74E"/>
    <w:rsid w:val="7D6C5B3B"/>
    <w:rsid w:val="7D77C073"/>
    <w:rsid w:val="7D7D601B"/>
    <w:rsid w:val="7D7F8E30"/>
    <w:rsid w:val="7DA7C5F1"/>
    <w:rsid w:val="7DAFA592"/>
    <w:rsid w:val="7DBFCF8D"/>
    <w:rsid w:val="7DC425BD"/>
    <w:rsid w:val="7DD35894"/>
    <w:rsid w:val="7DD77EC4"/>
    <w:rsid w:val="7DD7C7E9"/>
    <w:rsid w:val="7DDB744E"/>
    <w:rsid w:val="7DDE0B2C"/>
    <w:rsid w:val="7DDEF548"/>
    <w:rsid w:val="7DDF6D53"/>
    <w:rsid w:val="7DF5BEE7"/>
    <w:rsid w:val="7DF72574"/>
    <w:rsid w:val="7DF7764D"/>
    <w:rsid w:val="7DF89995"/>
    <w:rsid w:val="7DFBA5D2"/>
    <w:rsid w:val="7DFCD285"/>
    <w:rsid w:val="7DFE9FFE"/>
    <w:rsid w:val="7DFF1ABB"/>
    <w:rsid w:val="7DFF666F"/>
    <w:rsid w:val="7DFF95FC"/>
    <w:rsid w:val="7DFFEC0E"/>
    <w:rsid w:val="7E074257"/>
    <w:rsid w:val="7E26F0BB"/>
    <w:rsid w:val="7E2F4712"/>
    <w:rsid w:val="7E345AF9"/>
    <w:rsid w:val="7E365700"/>
    <w:rsid w:val="7E5F69FE"/>
    <w:rsid w:val="7E7F003A"/>
    <w:rsid w:val="7E8C8296"/>
    <w:rsid w:val="7EB02B41"/>
    <w:rsid w:val="7EB33787"/>
    <w:rsid w:val="7ED61C0F"/>
    <w:rsid w:val="7ED9EEE1"/>
    <w:rsid w:val="7EDF41DF"/>
    <w:rsid w:val="7EEB9C97"/>
    <w:rsid w:val="7EEE14B6"/>
    <w:rsid w:val="7EF135C5"/>
    <w:rsid w:val="7EF8F681"/>
    <w:rsid w:val="7EFEB148"/>
    <w:rsid w:val="7EFF07D5"/>
    <w:rsid w:val="7EFF7C46"/>
    <w:rsid w:val="7F172035"/>
    <w:rsid w:val="7F1DA9A8"/>
    <w:rsid w:val="7F1F6204"/>
    <w:rsid w:val="7F4E0C52"/>
    <w:rsid w:val="7F56B7CC"/>
    <w:rsid w:val="7F5E352B"/>
    <w:rsid w:val="7F5FB055"/>
    <w:rsid w:val="7F6AEE1F"/>
    <w:rsid w:val="7F6B987E"/>
    <w:rsid w:val="7F6FE428"/>
    <w:rsid w:val="7F77AD91"/>
    <w:rsid w:val="7F79FA19"/>
    <w:rsid w:val="7F7B3D11"/>
    <w:rsid w:val="7F7D153A"/>
    <w:rsid w:val="7F7F0212"/>
    <w:rsid w:val="7F7F2DEA"/>
    <w:rsid w:val="7F7F59A4"/>
    <w:rsid w:val="7F7F97F0"/>
    <w:rsid w:val="7F8F9F97"/>
    <w:rsid w:val="7F9D358B"/>
    <w:rsid w:val="7F9D529B"/>
    <w:rsid w:val="7F9DA7FC"/>
    <w:rsid w:val="7FA74774"/>
    <w:rsid w:val="7FB33FC1"/>
    <w:rsid w:val="7FB77E99"/>
    <w:rsid w:val="7FBA1353"/>
    <w:rsid w:val="7FBADA73"/>
    <w:rsid w:val="7FBBD6B7"/>
    <w:rsid w:val="7FBBE9C0"/>
    <w:rsid w:val="7FBD4CC9"/>
    <w:rsid w:val="7FBDF623"/>
    <w:rsid w:val="7FBDF738"/>
    <w:rsid w:val="7FBE2569"/>
    <w:rsid w:val="7FBFF260"/>
    <w:rsid w:val="7FCC8B0E"/>
    <w:rsid w:val="7FCE409D"/>
    <w:rsid w:val="7FD72CC4"/>
    <w:rsid w:val="7FD77D8E"/>
    <w:rsid w:val="7FD94722"/>
    <w:rsid w:val="7FDB1CDA"/>
    <w:rsid w:val="7FDBC8A9"/>
    <w:rsid w:val="7FDDDCAA"/>
    <w:rsid w:val="7FDF05D2"/>
    <w:rsid w:val="7FDF1963"/>
    <w:rsid w:val="7FDF38CD"/>
    <w:rsid w:val="7FDF497F"/>
    <w:rsid w:val="7FDFCDC1"/>
    <w:rsid w:val="7FDFD8CB"/>
    <w:rsid w:val="7FE3C354"/>
    <w:rsid w:val="7FE608FF"/>
    <w:rsid w:val="7FE6F860"/>
    <w:rsid w:val="7FE95DC2"/>
    <w:rsid w:val="7FEB47DB"/>
    <w:rsid w:val="7FECC1D3"/>
    <w:rsid w:val="7FEF5935"/>
    <w:rsid w:val="7FEF62C3"/>
    <w:rsid w:val="7FEF8408"/>
    <w:rsid w:val="7FEF9932"/>
    <w:rsid w:val="7FEFEE88"/>
    <w:rsid w:val="7FF24D46"/>
    <w:rsid w:val="7FF28730"/>
    <w:rsid w:val="7FF358CC"/>
    <w:rsid w:val="7FF6049E"/>
    <w:rsid w:val="7FF64D6F"/>
    <w:rsid w:val="7FF768C1"/>
    <w:rsid w:val="7FF7942E"/>
    <w:rsid w:val="7FF7D2F0"/>
    <w:rsid w:val="7FF7D838"/>
    <w:rsid w:val="7FF91BF2"/>
    <w:rsid w:val="7FF9A591"/>
    <w:rsid w:val="7FF9F340"/>
    <w:rsid w:val="7FFAB7A9"/>
    <w:rsid w:val="7FFC80A4"/>
    <w:rsid w:val="7FFC947C"/>
    <w:rsid w:val="7FFD2A5C"/>
    <w:rsid w:val="7FFD9F1A"/>
    <w:rsid w:val="7FFE366F"/>
    <w:rsid w:val="7FFE46D6"/>
    <w:rsid w:val="7FFE474B"/>
    <w:rsid w:val="7FFE9CC3"/>
    <w:rsid w:val="7FFEBEE1"/>
    <w:rsid w:val="7FFF0A5B"/>
    <w:rsid w:val="7FFF1267"/>
    <w:rsid w:val="7FFF183A"/>
    <w:rsid w:val="7FFF3BA2"/>
    <w:rsid w:val="7FFF3C91"/>
    <w:rsid w:val="7FFF3D34"/>
    <w:rsid w:val="7FFF426D"/>
    <w:rsid w:val="7FFF532B"/>
    <w:rsid w:val="7FFF70BD"/>
    <w:rsid w:val="7FFF9648"/>
    <w:rsid w:val="7FFFD8A4"/>
    <w:rsid w:val="7FFFE27E"/>
    <w:rsid w:val="81D9DA3A"/>
    <w:rsid w:val="826D3406"/>
    <w:rsid w:val="84FE7763"/>
    <w:rsid w:val="85FBCC10"/>
    <w:rsid w:val="863D0F8D"/>
    <w:rsid w:val="87BBA1F1"/>
    <w:rsid w:val="8B6A0DF8"/>
    <w:rsid w:val="8BFDA782"/>
    <w:rsid w:val="8BFF3428"/>
    <w:rsid w:val="8EFEC27A"/>
    <w:rsid w:val="8F5BBEE2"/>
    <w:rsid w:val="8FB36FEE"/>
    <w:rsid w:val="8FFB0BE2"/>
    <w:rsid w:val="91EF393A"/>
    <w:rsid w:val="91F9C186"/>
    <w:rsid w:val="935FAE8C"/>
    <w:rsid w:val="937738F9"/>
    <w:rsid w:val="95FFFFB0"/>
    <w:rsid w:val="974CD68D"/>
    <w:rsid w:val="997EF91F"/>
    <w:rsid w:val="9AED481D"/>
    <w:rsid w:val="9B2FE3A3"/>
    <w:rsid w:val="9BB91D26"/>
    <w:rsid w:val="9BF345D1"/>
    <w:rsid w:val="9CFF5CEC"/>
    <w:rsid w:val="9D9A6825"/>
    <w:rsid w:val="9DF7CAA3"/>
    <w:rsid w:val="9EA67525"/>
    <w:rsid w:val="9EF763C2"/>
    <w:rsid w:val="9F1F5754"/>
    <w:rsid w:val="9F788E99"/>
    <w:rsid w:val="9FBC2AB8"/>
    <w:rsid w:val="9FF78070"/>
    <w:rsid w:val="9FF7961A"/>
    <w:rsid w:val="9FF7D6C5"/>
    <w:rsid w:val="9FFB0D55"/>
    <w:rsid w:val="9FFB8194"/>
    <w:rsid w:val="A34F52CC"/>
    <w:rsid w:val="A679E848"/>
    <w:rsid w:val="A7B67600"/>
    <w:rsid w:val="A7DF18ED"/>
    <w:rsid w:val="A7EFA18F"/>
    <w:rsid w:val="A9FFE9BA"/>
    <w:rsid w:val="AADFAAA7"/>
    <w:rsid w:val="AB5356E0"/>
    <w:rsid w:val="AB77C8FB"/>
    <w:rsid w:val="ABC79B9A"/>
    <w:rsid w:val="ABD75D43"/>
    <w:rsid w:val="ABF18948"/>
    <w:rsid w:val="ABF51146"/>
    <w:rsid w:val="AC7E9969"/>
    <w:rsid w:val="ACFFAC60"/>
    <w:rsid w:val="AD7DE967"/>
    <w:rsid w:val="ADBD6D60"/>
    <w:rsid w:val="ADDD530D"/>
    <w:rsid w:val="ADFF003D"/>
    <w:rsid w:val="ADFF51B8"/>
    <w:rsid w:val="AE4F80B9"/>
    <w:rsid w:val="AE9D95AF"/>
    <w:rsid w:val="AE9F2F5D"/>
    <w:rsid w:val="AEB5B366"/>
    <w:rsid w:val="AEB620E2"/>
    <w:rsid w:val="AED3E04F"/>
    <w:rsid w:val="AF3F7B77"/>
    <w:rsid w:val="AF7D10D9"/>
    <w:rsid w:val="AF7F49B8"/>
    <w:rsid w:val="AF7FC159"/>
    <w:rsid w:val="AFBD8A88"/>
    <w:rsid w:val="AFBED5C2"/>
    <w:rsid w:val="AFD9E5DF"/>
    <w:rsid w:val="AFDE98AB"/>
    <w:rsid w:val="AFF7441F"/>
    <w:rsid w:val="AFF94284"/>
    <w:rsid w:val="AFFB4C97"/>
    <w:rsid w:val="AFFFF529"/>
    <w:rsid w:val="B0BF82C0"/>
    <w:rsid w:val="B23F08F8"/>
    <w:rsid w:val="B35BCB84"/>
    <w:rsid w:val="B36BB7FF"/>
    <w:rsid w:val="B38F6CB0"/>
    <w:rsid w:val="B3EF3947"/>
    <w:rsid w:val="B55BEA35"/>
    <w:rsid w:val="B59F1EDD"/>
    <w:rsid w:val="B5BFBDCF"/>
    <w:rsid w:val="B65FDD8B"/>
    <w:rsid w:val="B6BB54EF"/>
    <w:rsid w:val="B7779CBC"/>
    <w:rsid w:val="B7CFF755"/>
    <w:rsid w:val="B7DF6513"/>
    <w:rsid w:val="B7DF705E"/>
    <w:rsid w:val="B7EFEA4D"/>
    <w:rsid w:val="B7FB1E04"/>
    <w:rsid w:val="B8F7DE22"/>
    <w:rsid w:val="B9FFAF31"/>
    <w:rsid w:val="BA699107"/>
    <w:rsid w:val="BA7FB2D1"/>
    <w:rsid w:val="BABBD122"/>
    <w:rsid w:val="BAF7C8D5"/>
    <w:rsid w:val="BAFF9A48"/>
    <w:rsid w:val="BB5D90BD"/>
    <w:rsid w:val="BBAB9FAF"/>
    <w:rsid w:val="BBB3725C"/>
    <w:rsid w:val="BBBEFF9E"/>
    <w:rsid w:val="BBDC8FDB"/>
    <w:rsid w:val="BBDE65CA"/>
    <w:rsid w:val="BBDF52CB"/>
    <w:rsid w:val="BBE70F2E"/>
    <w:rsid w:val="BBFB5681"/>
    <w:rsid w:val="BBFF2B2D"/>
    <w:rsid w:val="BBFF316D"/>
    <w:rsid w:val="BBFF7E42"/>
    <w:rsid w:val="BD7E1104"/>
    <w:rsid w:val="BDB975B7"/>
    <w:rsid w:val="BDD97C31"/>
    <w:rsid w:val="BDFD8E0C"/>
    <w:rsid w:val="BDFFAB2F"/>
    <w:rsid w:val="BE3F4CEA"/>
    <w:rsid w:val="BE5A5DBA"/>
    <w:rsid w:val="BE6FAA6C"/>
    <w:rsid w:val="BE7603C5"/>
    <w:rsid w:val="BE8DA64C"/>
    <w:rsid w:val="BEDDE0F5"/>
    <w:rsid w:val="BEEDDB46"/>
    <w:rsid w:val="BEEE02A0"/>
    <w:rsid w:val="BEFAFE7C"/>
    <w:rsid w:val="BEFD6C82"/>
    <w:rsid w:val="BEFF0265"/>
    <w:rsid w:val="BF1663FA"/>
    <w:rsid w:val="BF34AFC4"/>
    <w:rsid w:val="BF5B8DD6"/>
    <w:rsid w:val="BF5F28F6"/>
    <w:rsid w:val="BF676D79"/>
    <w:rsid w:val="BF7A5A0D"/>
    <w:rsid w:val="BF7B3CEC"/>
    <w:rsid w:val="BF7F3329"/>
    <w:rsid w:val="BF7FAA9A"/>
    <w:rsid w:val="BF8AB18A"/>
    <w:rsid w:val="BF9F219F"/>
    <w:rsid w:val="BFBB3349"/>
    <w:rsid w:val="BFBF274A"/>
    <w:rsid w:val="BFC79741"/>
    <w:rsid w:val="BFC80BB8"/>
    <w:rsid w:val="BFCF2542"/>
    <w:rsid w:val="BFD3941D"/>
    <w:rsid w:val="BFDDC29D"/>
    <w:rsid w:val="BFDE729B"/>
    <w:rsid w:val="BFE6B290"/>
    <w:rsid w:val="BFEAF478"/>
    <w:rsid w:val="BFF71C70"/>
    <w:rsid w:val="BFFCC55C"/>
    <w:rsid w:val="BFFE2543"/>
    <w:rsid w:val="BFFEC77C"/>
    <w:rsid w:val="C0BB1538"/>
    <w:rsid w:val="C1F11393"/>
    <w:rsid w:val="C2F3A681"/>
    <w:rsid w:val="C2FF7CD7"/>
    <w:rsid w:val="C3BD61DD"/>
    <w:rsid w:val="C3EA199B"/>
    <w:rsid w:val="C6B34CFE"/>
    <w:rsid w:val="C6DF8F09"/>
    <w:rsid w:val="C6E48359"/>
    <w:rsid w:val="C6EF95CD"/>
    <w:rsid w:val="C7B3C6A1"/>
    <w:rsid w:val="C927FB54"/>
    <w:rsid w:val="C9AF702C"/>
    <w:rsid w:val="C9B80753"/>
    <w:rsid w:val="C9BB5C78"/>
    <w:rsid w:val="CA6E41CF"/>
    <w:rsid w:val="CABFAB5F"/>
    <w:rsid w:val="CACF167E"/>
    <w:rsid w:val="CAFE3661"/>
    <w:rsid w:val="CBEF4602"/>
    <w:rsid w:val="CBF79D29"/>
    <w:rsid w:val="CBF7D703"/>
    <w:rsid w:val="CBFDD3DC"/>
    <w:rsid w:val="CBFF0A33"/>
    <w:rsid w:val="CBFF1B61"/>
    <w:rsid w:val="CC363C02"/>
    <w:rsid w:val="CCE5464B"/>
    <w:rsid w:val="CDA69656"/>
    <w:rsid w:val="CDAFC9D0"/>
    <w:rsid w:val="CDFFF2F7"/>
    <w:rsid w:val="CDFFFA50"/>
    <w:rsid w:val="CEFE2E42"/>
    <w:rsid w:val="CEFFF12E"/>
    <w:rsid w:val="CF174086"/>
    <w:rsid w:val="CF3BBA49"/>
    <w:rsid w:val="CF6E7ADD"/>
    <w:rsid w:val="CF7FCBEF"/>
    <w:rsid w:val="CF8FC82A"/>
    <w:rsid w:val="CF979E01"/>
    <w:rsid w:val="CFD60BAA"/>
    <w:rsid w:val="CFEE949B"/>
    <w:rsid w:val="CFF5F9CE"/>
    <w:rsid w:val="CFF7D48B"/>
    <w:rsid w:val="CFFA8DAB"/>
    <w:rsid w:val="CFFF6658"/>
    <w:rsid w:val="D1A424E3"/>
    <w:rsid w:val="D36D2169"/>
    <w:rsid w:val="D3BD22B5"/>
    <w:rsid w:val="D3BF8240"/>
    <w:rsid w:val="D3CF2E8D"/>
    <w:rsid w:val="D3EF682F"/>
    <w:rsid w:val="D3F7D76D"/>
    <w:rsid w:val="D41F8E77"/>
    <w:rsid w:val="D45E87C3"/>
    <w:rsid w:val="D52F97F9"/>
    <w:rsid w:val="D5F2454F"/>
    <w:rsid w:val="D6DF30D1"/>
    <w:rsid w:val="D6EF3E25"/>
    <w:rsid w:val="D6FBCD10"/>
    <w:rsid w:val="D6FBF171"/>
    <w:rsid w:val="D7659459"/>
    <w:rsid w:val="D77CC5A0"/>
    <w:rsid w:val="D77E257D"/>
    <w:rsid w:val="D77F4D7A"/>
    <w:rsid w:val="D7D6C04D"/>
    <w:rsid w:val="D7DF1BA2"/>
    <w:rsid w:val="D7FE0788"/>
    <w:rsid w:val="D87C5022"/>
    <w:rsid w:val="D9331A55"/>
    <w:rsid w:val="D9D3563F"/>
    <w:rsid w:val="DA5A604E"/>
    <w:rsid w:val="DAB15C80"/>
    <w:rsid w:val="DAE6961E"/>
    <w:rsid w:val="DAF7A386"/>
    <w:rsid w:val="DAFE2356"/>
    <w:rsid w:val="DAFF9F87"/>
    <w:rsid w:val="DB6AAD1E"/>
    <w:rsid w:val="DB784AEB"/>
    <w:rsid w:val="DB7FFF98"/>
    <w:rsid w:val="DBF3C55E"/>
    <w:rsid w:val="DBFE7EB1"/>
    <w:rsid w:val="DCEFC9FD"/>
    <w:rsid w:val="DCFE42BF"/>
    <w:rsid w:val="DDEC57A3"/>
    <w:rsid w:val="DDFDD81F"/>
    <w:rsid w:val="DE6F446D"/>
    <w:rsid w:val="DE7684FB"/>
    <w:rsid w:val="DE7E69B5"/>
    <w:rsid w:val="DEB17340"/>
    <w:rsid w:val="DED5923F"/>
    <w:rsid w:val="DED7CCEA"/>
    <w:rsid w:val="DEDC93B5"/>
    <w:rsid w:val="DEE57A7C"/>
    <w:rsid w:val="DEF71823"/>
    <w:rsid w:val="DEFBB573"/>
    <w:rsid w:val="DF23A0C5"/>
    <w:rsid w:val="DF4953B1"/>
    <w:rsid w:val="DF6F4567"/>
    <w:rsid w:val="DFBF9CCF"/>
    <w:rsid w:val="DFBFB9EE"/>
    <w:rsid w:val="DFD6C6B3"/>
    <w:rsid w:val="DFDD6F64"/>
    <w:rsid w:val="DFDE517E"/>
    <w:rsid w:val="DFDEB247"/>
    <w:rsid w:val="DFDFE656"/>
    <w:rsid w:val="DFE7E010"/>
    <w:rsid w:val="DFF4F316"/>
    <w:rsid w:val="DFF68BB4"/>
    <w:rsid w:val="DFF8B670"/>
    <w:rsid w:val="DFFE04B9"/>
    <w:rsid w:val="DFFF6C9F"/>
    <w:rsid w:val="DFFF8880"/>
    <w:rsid w:val="DFFF912B"/>
    <w:rsid w:val="E3ED5943"/>
    <w:rsid w:val="E3F71A56"/>
    <w:rsid w:val="E3FF6856"/>
    <w:rsid w:val="E4BDBD33"/>
    <w:rsid w:val="E4FF4B3D"/>
    <w:rsid w:val="E56BB1F2"/>
    <w:rsid w:val="E56DC816"/>
    <w:rsid w:val="E5B9842E"/>
    <w:rsid w:val="E5FD5D4A"/>
    <w:rsid w:val="E66B2D67"/>
    <w:rsid w:val="E6DBCC94"/>
    <w:rsid w:val="E6DE4234"/>
    <w:rsid w:val="E72F63DE"/>
    <w:rsid w:val="E7ACFD59"/>
    <w:rsid w:val="E7AF657F"/>
    <w:rsid w:val="E7F3517C"/>
    <w:rsid w:val="E7FB78A5"/>
    <w:rsid w:val="E7FE140B"/>
    <w:rsid w:val="E7FF2C7B"/>
    <w:rsid w:val="E8DA3FB4"/>
    <w:rsid w:val="E8FFFE39"/>
    <w:rsid w:val="E9BDEF1B"/>
    <w:rsid w:val="E9F7D7B0"/>
    <w:rsid w:val="E9F9E997"/>
    <w:rsid w:val="EA3C0B67"/>
    <w:rsid w:val="EAAF884A"/>
    <w:rsid w:val="EAFD6A3A"/>
    <w:rsid w:val="EAFF2300"/>
    <w:rsid w:val="EB3F0D40"/>
    <w:rsid w:val="EBCFDCFB"/>
    <w:rsid w:val="EBD3362D"/>
    <w:rsid w:val="EBD7B411"/>
    <w:rsid w:val="EBEFF3FE"/>
    <w:rsid w:val="EBF9D978"/>
    <w:rsid w:val="EBFAC0B1"/>
    <w:rsid w:val="EBFE0606"/>
    <w:rsid w:val="EBFE3A40"/>
    <w:rsid w:val="EC5D886D"/>
    <w:rsid w:val="ED7390C2"/>
    <w:rsid w:val="ED774342"/>
    <w:rsid w:val="ED8F0D11"/>
    <w:rsid w:val="EDDEF9BF"/>
    <w:rsid w:val="EDDFF5C4"/>
    <w:rsid w:val="EDF799AA"/>
    <w:rsid w:val="EDF95AD0"/>
    <w:rsid w:val="EDFFD820"/>
    <w:rsid w:val="EE5FD289"/>
    <w:rsid w:val="EE6B9EBB"/>
    <w:rsid w:val="EE7DADEF"/>
    <w:rsid w:val="EEBE376E"/>
    <w:rsid w:val="EEDB295C"/>
    <w:rsid w:val="EEDF99E8"/>
    <w:rsid w:val="EEF796E6"/>
    <w:rsid w:val="EEFA98BB"/>
    <w:rsid w:val="EEFD0874"/>
    <w:rsid w:val="EEFF4EE7"/>
    <w:rsid w:val="EEFFD061"/>
    <w:rsid w:val="EF27C50D"/>
    <w:rsid w:val="EF33D6F9"/>
    <w:rsid w:val="EF3F17C9"/>
    <w:rsid w:val="EF3FB21A"/>
    <w:rsid w:val="EF572CCB"/>
    <w:rsid w:val="EF5FA112"/>
    <w:rsid w:val="EF663994"/>
    <w:rsid w:val="EF718886"/>
    <w:rsid w:val="EF7CA7F7"/>
    <w:rsid w:val="EF7DEC4B"/>
    <w:rsid w:val="EF7F693B"/>
    <w:rsid w:val="EF85128F"/>
    <w:rsid w:val="EF8B52B6"/>
    <w:rsid w:val="EF9FD04F"/>
    <w:rsid w:val="EFAE4CE0"/>
    <w:rsid w:val="EFAF2360"/>
    <w:rsid w:val="EFAF3E4E"/>
    <w:rsid w:val="EFB546EA"/>
    <w:rsid w:val="EFB94E3F"/>
    <w:rsid w:val="EFBFF01D"/>
    <w:rsid w:val="EFC598AC"/>
    <w:rsid w:val="EFCF5B34"/>
    <w:rsid w:val="EFD16699"/>
    <w:rsid w:val="EFD7DC33"/>
    <w:rsid w:val="EFD9B0F3"/>
    <w:rsid w:val="EFDDD98C"/>
    <w:rsid w:val="EFDF41A1"/>
    <w:rsid w:val="EFE788A1"/>
    <w:rsid w:val="EFF33330"/>
    <w:rsid w:val="EFF5C134"/>
    <w:rsid w:val="EFF5D969"/>
    <w:rsid w:val="EFF72013"/>
    <w:rsid w:val="EFF7B669"/>
    <w:rsid w:val="EFF96506"/>
    <w:rsid w:val="EFFBB6F0"/>
    <w:rsid w:val="EFFF19E9"/>
    <w:rsid w:val="EFFF4A68"/>
    <w:rsid w:val="EFFFC353"/>
    <w:rsid w:val="F0FF7CCB"/>
    <w:rsid w:val="F1F9D6B5"/>
    <w:rsid w:val="F27F7338"/>
    <w:rsid w:val="F3692D36"/>
    <w:rsid w:val="F3CDA2E3"/>
    <w:rsid w:val="F3D68F45"/>
    <w:rsid w:val="F3E428A8"/>
    <w:rsid w:val="F3ED90D5"/>
    <w:rsid w:val="F4140A77"/>
    <w:rsid w:val="F43A2633"/>
    <w:rsid w:val="F4DDC26F"/>
    <w:rsid w:val="F55EC508"/>
    <w:rsid w:val="F57F0704"/>
    <w:rsid w:val="F58D20D9"/>
    <w:rsid w:val="F5B721CA"/>
    <w:rsid w:val="F5BF9D57"/>
    <w:rsid w:val="F5CFC7F6"/>
    <w:rsid w:val="F5DE235D"/>
    <w:rsid w:val="F5F2448D"/>
    <w:rsid w:val="F5FAA831"/>
    <w:rsid w:val="F5FBABED"/>
    <w:rsid w:val="F5FE664D"/>
    <w:rsid w:val="F5FF04C0"/>
    <w:rsid w:val="F66E655C"/>
    <w:rsid w:val="F6771439"/>
    <w:rsid w:val="F67E8AF1"/>
    <w:rsid w:val="F69AF8E3"/>
    <w:rsid w:val="F6AF8884"/>
    <w:rsid w:val="F6B78655"/>
    <w:rsid w:val="F6BBC25E"/>
    <w:rsid w:val="F6FFE20D"/>
    <w:rsid w:val="F73FC809"/>
    <w:rsid w:val="F77622D9"/>
    <w:rsid w:val="F77FC612"/>
    <w:rsid w:val="F79E23EC"/>
    <w:rsid w:val="F7B35F33"/>
    <w:rsid w:val="F7BC91A6"/>
    <w:rsid w:val="F7DEB6CC"/>
    <w:rsid w:val="F7E61EAC"/>
    <w:rsid w:val="F7EB301D"/>
    <w:rsid w:val="F7EDC1A3"/>
    <w:rsid w:val="F7EECE58"/>
    <w:rsid w:val="F7F717FF"/>
    <w:rsid w:val="F7F74EC7"/>
    <w:rsid w:val="F7F78232"/>
    <w:rsid w:val="F7F7BC0D"/>
    <w:rsid w:val="F7F7EB9B"/>
    <w:rsid w:val="F7F906E8"/>
    <w:rsid w:val="F7FBBEB9"/>
    <w:rsid w:val="F7FD7E9B"/>
    <w:rsid w:val="F7FDCE9E"/>
    <w:rsid w:val="F7FE0F82"/>
    <w:rsid w:val="F7FEC439"/>
    <w:rsid w:val="F7FF7356"/>
    <w:rsid w:val="F7FFF452"/>
    <w:rsid w:val="F886F975"/>
    <w:rsid w:val="F8D76E47"/>
    <w:rsid w:val="F9ABBD4F"/>
    <w:rsid w:val="F9D10669"/>
    <w:rsid w:val="F9F717F1"/>
    <w:rsid w:val="F9FBA1E1"/>
    <w:rsid w:val="F9FEECF3"/>
    <w:rsid w:val="F9FF0EC8"/>
    <w:rsid w:val="F9FF3051"/>
    <w:rsid w:val="FA1B7BA6"/>
    <w:rsid w:val="FA3B3362"/>
    <w:rsid w:val="FA3FEBEE"/>
    <w:rsid w:val="FA7B662B"/>
    <w:rsid w:val="FA9B5E78"/>
    <w:rsid w:val="FABF971F"/>
    <w:rsid w:val="FAFBD02F"/>
    <w:rsid w:val="FAFD413F"/>
    <w:rsid w:val="FAFDFDAE"/>
    <w:rsid w:val="FAFF40FA"/>
    <w:rsid w:val="FAFFFAD6"/>
    <w:rsid w:val="FB3F6D73"/>
    <w:rsid w:val="FB45A2B2"/>
    <w:rsid w:val="FB5E9CCC"/>
    <w:rsid w:val="FB6A9131"/>
    <w:rsid w:val="FB700665"/>
    <w:rsid w:val="FB7928BB"/>
    <w:rsid w:val="FB9F74F1"/>
    <w:rsid w:val="FBB7606E"/>
    <w:rsid w:val="FBBBA47C"/>
    <w:rsid w:val="FBD7D8F9"/>
    <w:rsid w:val="FBDAF0A9"/>
    <w:rsid w:val="FBDCAC31"/>
    <w:rsid w:val="FBEF1D1C"/>
    <w:rsid w:val="FBF5F854"/>
    <w:rsid w:val="FBF75C3A"/>
    <w:rsid w:val="FBF77F3C"/>
    <w:rsid w:val="FBFB8B61"/>
    <w:rsid w:val="FBFD85DD"/>
    <w:rsid w:val="FBFDF14B"/>
    <w:rsid w:val="FBFE389F"/>
    <w:rsid w:val="FBFE3EF5"/>
    <w:rsid w:val="FBFE80E1"/>
    <w:rsid w:val="FBFEB5C8"/>
    <w:rsid w:val="FBFF8A6C"/>
    <w:rsid w:val="FBFFBB7B"/>
    <w:rsid w:val="FBFFFFC0"/>
    <w:rsid w:val="FC7AE9A3"/>
    <w:rsid w:val="FC7FEC8C"/>
    <w:rsid w:val="FC90A045"/>
    <w:rsid w:val="FCB0C09A"/>
    <w:rsid w:val="FCD827DD"/>
    <w:rsid w:val="FCEE7718"/>
    <w:rsid w:val="FCEFBE05"/>
    <w:rsid w:val="FCF36C30"/>
    <w:rsid w:val="FD13E6FD"/>
    <w:rsid w:val="FD3FC701"/>
    <w:rsid w:val="FD7F4646"/>
    <w:rsid w:val="FD9AA0C9"/>
    <w:rsid w:val="FD9BE919"/>
    <w:rsid w:val="FD9F4D01"/>
    <w:rsid w:val="FDB7E142"/>
    <w:rsid w:val="FDBD4D4A"/>
    <w:rsid w:val="FDBDC04E"/>
    <w:rsid w:val="FDBF1F19"/>
    <w:rsid w:val="FDBFAA97"/>
    <w:rsid w:val="FDBFD046"/>
    <w:rsid w:val="FDC700F5"/>
    <w:rsid w:val="FDC8E570"/>
    <w:rsid w:val="FDCE9641"/>
    <w:rsid w:val="FDD5C665"/>
    <w:rsid w:val="FDD5E8AF"/>
    <w:rsid w:val="FDD7E521"/>
    <w:rsid w:val="FDDD1ED7"/>
    <w:rsid w:val="FDE3A2E7"/>
    <w:rsid w:val="FDE906B8"/>
    <w:rsid w:val="FDEFB3BB"/>
    <w:rsid w:val="FDF25E1C"/>
    <w:rsid w:val="FDF54449"/>
    <w:rsid w:val="FDF580C1"/>
    <w:rsid w:val="FDF6A1F8"/>
    <w:rsid w:val="FDF737CE"/>
    <w:rsid w:val="FDFA725A"/>
    <w:rsid w:val="FDFAB761"/>
    <w:rsid w:val="FDFAD67E"/>
    <w:rsid w:val="FDFB4898"/>
    <w:rsid w:val="FDFBF668"/>
    <w:rsid w:val="FDFD3028"/>
    <w:rsid w:val="FDFF6088"/>
    <w:rsid w:val="FDFF6381"/>
    <w:rsid w:val="FDFF7026"/>
    <w:rsid w:val="FDFFD5F8"/>
    <w:rsid w:val="FE3F45CF"/>
    <w:rsid w:val="FE49FC20"/>
    <w:rsid w:val="FE4DC28A"/>
    <w:rsid w:val="FE6F16DD"/>
    <w:rsid w:val="FE785355"/>
    <w:rsid w:val="FE7F9E22"/>
    <w:rsid w:val="FE9729CD"/>
    <w:rsid w:val="FE9D3B9F"/>
    <w:rsid w:val="FE9F423F"/>
    <w:rsid w:val="FEB72236"/>
    <w:rsid w:val="FEB80FE9"/>
    <w:rsid w:val="FEBBB31B"/>
    <w:rsid w:val="FEBDE02A"/>
    <w:rsid w:val="FEBEDB42"/>
    <w:rsid w:val="FEBF2F2E"/>
    <w:rsid w:val="FEBFB7BD"/>
    <w:rsid w:val="FECF914A"/>
    <w:rsid w:val="FED79BD5"/>
    <w:rsid w:val="FEDB30EB"/>
    <w:rsid w:val="FEDDAF6F"/>
    <w:rsid w:val="FEE3696E"/>
    <w:rsid w:val="FEEAE0DC"/>
    <w:rsid w:val="FEF6B196"/>
    <w:rsid w:val="FEF74DD8"/>
    <w:rsid w:val="FEFB4B06"/>
    <w:rsid w:val="FEFD670C"/>
    <w:rsid w:val="FEFDE273"/>
    <w:rsid w:val="FEFF2A1D"/>
    <w:rsid w:val="FEFF46DF"/>
    <w:rsid w:val="FEFF6E1A"/>
    <w:rsid w:val="FEFFBF6D"/>
    <w:rsid w:val="FEFFFF51"/>
    <w:rsid w:val="FF2C0E66"/>
    <w:rsid w:val="FF39CD73"/>
    <w:rsid w:val="FF3F09E9"/>
    <w:rsid w:val="FF3FAD8E"/>
    <w:rsid w:val="FF41CF58"/>
    <w:rsid w:val="FF4ED85B"/>
    <w:rsid w:val="FF6FD770"/>
    <w:rsid w:val="FF6FDF1E"/>
    <w:rsid w:val="FF7725BA"/>
    <w:rsid w:val="FF7A311A"/>
    <w:rsid w:val="FF7A98F4"/>
    <w:rsid w:val="FF7B27C8"/>
    <w:rsid w:val="FF7B7CEE"/>
    <w:rsid w:val="FF7BDEC0"/>
    <w:rsid w:val="FF7E5F22"/>
    <w:rsid w:val="FF7F38AE"/>
    <w:rsid w:val="FF7FAFFE"/>
    <w:rsid w:val="FF7FF327"/>
    <w:rsid w:val="FF8972F0"/>
    <w:rsid w:val="FF8E7BAE"/>
    <w:rsid w:val="FF978F4F"/>
    <w:rsid w:val="FF99127E"/>
    <w:rsid w:val="FFAA416A"/>
    <w:rsid w:val="FFAAB7B3"/>
    <w:rsid w:val="FFB38E6A"/>
    <w:rsid w:val="FFB724D1"/>
    <w:rsid w:val="FFB79AA5"/>
    <w:rsid w:val="FFB7E494"/>
    <w:rsid w:val="FFB949E3"/>
    <w:rsid w:val="FFB9501A"/>
    <w:rsid w:val="FFB9E53B"/>
    <w:rsid w:val="FFBB8D27"/>
    <w:rsid w:val="FFBDAFDF"/>
    <w:rsid w:val="FFBF1B6D"/>
    <w:rsid w:val="FFBF858F"/>
    <w:rsid w:val="FFBF9831"/>
    <w:rsid w:val="FFCA3D01"/>
    <w:rsid w:val="FFCF4E74"/>
    <w:rsid w:val="FFD373F0"/>
    <w:rsid w:val="FFD3A579"/>
    <w:rsid w:val="FFD74477"/>
    <w:rsid w:val="FFD79244"/>
    <w:rsid w:val="FFD7A200"/>
    <w:rsid w:val="FFD902AA"/>
    <w:rsid w:val="FFD95003"/>
    <w:rsid w:val="FFD9DABE"/>
    <w:rsid w:val="FFDD05B8"/>
    <w:rsid w:val="FFDDCA9C"/>
    <w:rsid w:val="FFDECC55"/>
    <w:rsid w:val="FFDFB266"/>
    <w:rsid w:val="FFDFBBFB"/>
    <w:rsid w:val="FFE2F956"/>
    <w:rsid w:val="FFE3EDF5"/>
    <w:rsid w:val="FFE4E060"/>
    <w:rsid w:val="FFE57075"/>
    <w:rsid w:val="FFE70D4C"/>
    <w:rsid w:val="FFEBE3D1"/>
    <w:rsid w:val="FFEBE702"/>
    <w:rsid w:val="FFED92B3"/>
    <w:rsid w:val="FFF22525"/>
    <w:rsid w:val="FFF43826"/>
    <w:rsid w:val="FFF46094"/>
    <w:rsid w:val="FFF64E8A"/>
    <w:rsid w:val="FFF7251F"/>
    <w:rsid w:val="FFFA6BA7"/>
    <w:rsid w:val="FFFB27F8"/>
    <w:rsid w:val="FFFB699F"/>
    <w:rsid w:val="FFFB9B59"/>
    <w:rsid w:val="FFFBA048"/>
    <w:rsid w:val="FFFBB2DF"/>
    <w:rsid w:val="FFFBEE63"/>
    <w:rsid w:val="FFFC6554"/>
    <w:rsid w:val="FFFDB64B"/>
    <w:rsid w:val="FFFE2B2F"/>
    <w:rsid w:val="FFFE60CA"/>
    <w:rsid w:val="FFFF0738"/>
    <w:rsid w:val="FFFF0B10"/>
    <w:rsid w:val="FFFF381B"/>
    <w:rsid w:val="FFFF3CA6"/>
    <w:rsid w:val="FFFF4A02"/>
    <w:rsid w:val="FFFF8744"/>
    <w:rsid w:val="FFFF8AB8"/>
    <w:rsid w:val="FFFF8D6D"/>
    <w:rsid w:val="FFFF9F0D"/>
    <w:rsid w:val="FFFFC0AC"/>
    <w:rsid w:val="FFFFD0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Times New Roman" w:hAnsi="Times New Roman" w:eastAsia="Times New Roman" w:cs="Times New Roman"/>
      <w:kern w:val="2"/>
      <w:sz w:val="21"/>
      <w:szCs w:val="21"/>
      <w:lang w:val="en-US" w:eastAsia="zh-CN" w:bidi="ar-SA"/>
    </w:rPr>
  </w:style>
  <w:style w:type="paragraph" w:styleId="3">
    <w:name w:val="heading 1"/>
    <w:basedOn w:val="1"/>
    <w:next w:val="1"/>
    <w:link w:val="15"/>
    <w:autoRedefine/>
    <w:qFormat/>
    <w:uiPriority w:val="0"/>
    <w:pPr>
      <w:keepNext/>
      <w:keepLines/>
      <w:spacing w:before="340" w:after="330" w:line="576" w:lineRule="auto"/>
      <w:outlineLvl w:val="0"/>
    </w:pPr>
    <w:rPr>
      <w:b/>
      <w:kern w:val="44"/>
      <w:sz w:val="44"/>
    </w:rPr>
  </w:style>
  <w:style w:type="character" w:default="1" w:styleId="14">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2">
    <w:name w:val="footnote text"/>
    <w:basedOn w:val="1"/>
    <w:autoRedefine/>
    <w:unhideWhenUsed/>
    <w:qFormat/>
    <w:uiPriority w:val="99"/>
    <w:pPr>
      <w:snapToGrid w:val="0"/>
      <w:jc w:val="left"/>
    </w:pPr>
    <w:rPr>
      <w:sz w:val="18"/>
    </w:rPr>
  </w:style>
  <w:style w:type="paragraph" w:styleId="4">
    <w:name w:val="annotation text"/>
    <w:basedOn w:val="1"/>
    <w:autoRedefine/>
    <w:unhideWhenUsed/>
    <w:qFormat/>
    <w:uiPriority w:val="99"/>
    <w:pPr>
      <w:jc w:val="left"/>
    </w:pPr>
  </w:style>
  <w:style w:type="paragraph" w:styleId="5">
    <w:name w:val="Salutation"/>
    <w:basedOn w:val="1"/>
    <w:next w:val="1"/>
    <w:autoRedefine/>
    <w:qFormat/>
    <w:uiPriority w:val="0"/>
    <w:rPr>
      <w:rFonts w:eastAsia="仿宋_GB2312"/>
      <w:sz w:val="30"/>
      <w:szCs w:val="20"/>
      <w:lang w:val="zh-CN"/>
    </w:rPr>
  </w:style>
  <w:style w:type="paragraph" w:styleId="6">
    <w:name w:val="Body Text Indent"/>
    <w:basedOn w:val="1"/>
    <w:autoRedefine/>
    <w:unhideWhenUsed/>
    <w:qFormat/>
    <w:uiPriority w:val="0"/>
    <w:pPr>
      <w:spacing w:after="120"/>
      <w:ind w:left="420" w:leftChars="200"/>
    </w:pPr>
  </w:style>
  <w:style w:type="paragraph" w:styleId="7">
    <w:name w:val="Balloon Text"/>
    <w:basedOn w:val="1"/>
    <w:link w:val="16"/>
    <w:autoRedefine/>
    <w:qFormat/>
    <w:uiPriority w:val="99"/>
    <w:rPr>
      <w:sz w:val="18"/>
      <w:szCs w:val="18"/>
    </w:rPr>
  </w:style>
  <w:style w:type="paragraph" w:styleId="8">
    <w:name w:val="footer"/>
    <w:basedOn w:val="1"/>
    <w:link w:val="17"/>
    <w:autoRedefine/>
    <w:unhideWhenUsed/>
    <w:qFormat/>
    <w:uiPriority w:val="99"/>
    <w:pPr>
      <w:tabs>
        <w:tab w:val="center" w:pos="4153"/>
        <w:tab w:val="right" w:pos="8306"/>
      </w:tabs>
      <w:snapToGrid w:val="0"/>
    </w:pPr>
    <w:rPr>
      <w:sz w:val="18"/>
      <w:szCs w:val="18"/>
    </w:rPr>
  </w:style>
  <w:style w:type="paragraph" w:styleId="9">
    <w:name w:val="header"/>
    <w:basedOn w:val="1"/>
    <w:link w:val="1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style>
  <w:style w:type="paragraph" w:styleId="11">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Char"/>
    <w:basedOn w:val="14"/>
    <w:link w:val="3"/>
    <w:qFormat/>
    <w:uiPriority w:val="0"/>
    <w:rPr>
      <w:b/>
      <w:kern w:val="44"/>
      <w:sz w:val="44"/>
    </w:rPr>
  </w:style>
  <w:style w:type="character" w:customStyle="1" w:styleId="16">
    <w:name w:val="批注框文本 Char"/>
    <w:basedOn w:val="14"/>
    <w:link w:val="7"/>
    <w:qFormat/>
    <w:uiPriority w:val="99"/>
    <w:rPr>
      <w:rFonts w:ascii="Times New Roman" w:hAnsi="Times New Roman" w:eastAsia="Times New Roman" w:cs="Times New Roman"/>
      <w:sz w:val="18"/>
      <w:szCs w:val="18"/>
    </w:rPr>
  </w:style>
  <w:style w:type="character" w:customStyle="1" w:styleId="17">
    <w:name w:val="页脚 Char"/>
    <w:basedOn w:val="14"/>
    <w:link w:val="8"/>
    <w:qFormat/>
    <w:uiPriority w:val="99"/>
    <w:rPr>
      <w:rFonts w:ascii="Calibri" w:hAnsi="Calibri" w:eastAsia="仿宋_GB2312" w:cs="Arial"/>
      <w:kern w:val="0"/>
      <w:sz w:val="18"/>
      <w:szCs w:val="18"/>
    </w:rPr>
  </w:style>
  <w:style w:type="character" w:customStyle="1" w:styleId="18">
    <w:name w:val="页眉 Char"/>
    <w:basedOn w:val="14"/>
    <w:link w:val="9"/>
    <w:qFormat/>
    <w:uiPriority w:val="99"/>
    <w:rPr>
      <w:rFonts w:ascii="Calibri" w:hAnsi="Calibri" w:eastAsia="仿宋_GB2312" w:cs="Arial"/>
      <w:kern w:val="0"/>
      <w:sz w:val="18"/>
      <w:szCs w:val="18"/>
    </w:rPr>
  </w:style>
  <w:style w:type="paragraph" w:customStyle="1" w:styleId="19">
    <w:name w:val="CM39"/>
    <w:basedOn w:val="20"/>
    <w:next w:val="20"/>
    <w:unhideWhenUsed/>
    <w:qFormat/>
    <w:uiPriority w:val="99"/>
  </w:style>
  <w:style w:type="paragraph" w:customStyle="1" w:styleId="20">
    <w:name w:val="Default"/>
    <w:unhideWhenUsed/>
    <w:qFormat/>
    <w:uiPriority w:val="99"/>
    <w:pPr>
      <w:widowControl w:val="0"/>
      <w:autoSpaceDE w:val="0"/>
      <w:autoSpaceDN w:val="0"/>
      <w:adjustRightInd w:val="0"/>
    </w:pPr>
    <w:rPr>
      <w:rFonts w:ascii="宋体x.漀吀" w:hAnsi="宋体x.漀吀" w:eastAsia="宋体x.漀吀" w:cs="Times New Roman"/>
      <w:color w:val="000000"/>
      <w:sz w:val="24"/>
      <w:szCs w:val="24"/>
      <w:lang w:val="en-US" w:eastAsia="zh-CN" w:bidi="ar-SA"/>
    </w:rPr>
  </w:style>
  <w:style w:type="paragraph" w:customStyle="1" w:styleId="21">
    <w:name w:val="CM9"/>
    <w:basedOn w:val="20"/>
    <w:next w:val="20"/>
    <w:unhideWhenUsed/>
    <w:qFormat/>
    <w:uiPriority w:val="99"/>
  </w:style>
  <w:style w:type="paragraph" w:customStyle="1" w:styleId="22">
    <w:name w:val="CM34"/>
    <w:basedOn w:val="20"/>
    <w:next w:val="20"/>
    <w:unhideWhenUsed/>
    <w:qFormat/>
    <w:uiPriority w:val="99"/>
    <w:pPr>
      <w:spacing w:line="560" w:lineRule="atLeast"/>
    </w:pPr>
  </w:style>
  <w:style w:type="paragraph" w:customStyle="1" w:styleId="23">
    <w:name w:val="CM15"/>
    <w:basedOn w:val="20"/>
    <w:next w:val="20"/>
    <w:unhideWhenUsed/>
    <w:qFormat/>
    <w:uiPriority w:val="99"/>
    <w:pPr>
      <w:spacing w:line="623" w:lineRule="atLeast"/>
    </w:pPr>
  </w:style>
  <w:style w:type="paragraph" w:customStyle="1" w:styleId="24">
    <w:name w:val="CM56"/>
    <w:basedOn w:val="20"/>
    <w:next w:val="20"/>
    <w:unhideWhenUsed/>
    <w:qFormat/>
    <w:uiPriority w:val="99"/>
  </w:style>
  <w:style w:type="paragraph" w:customStyle="1" w:styleId="25">
    <w:name w:val="CM46"/>
    <w:basedOn w:val="20"/>
    <w:next w:val="20"/>
    <w:unhideWhenUsed/>
    <w:qFormat/>
    <w:uiPriority w:val="99"/>
  </w:style>
  <w:style w:type="paragraph" w:customStyle="1" w:styleId="26">
    <w:name w:val="CM57"/>
    <w:basedOn w:val="20"/>
    <w:next w:val="20"/>
    <w:unhideWhenUsed/>
    <w:qFormat/>
    <w:uiPriority w:val="99"/>
  </w:style>
  <w:style w:type="paragraph" w:customStyle="1" w:styleId="27">
    <w:name w:val="CM2"/>
    <w:basedOn w:val="20"/>
    <w:next w:val="20"/>
    <w:unhideWhenUsed/>
    <w:qFormat/>
    <w:uiPriority w:val="99"/>
    <w:pPr>
      <w:spacing w:line="618" w:lineRule="atLeast"/>
    </w:pPr>
  </w:style>
  <w:style w:type="paragraph" w:customStyle="1" w:styleId="28">
    <w:name w:val="CM19"/>
    <w:basedOn w:val="20"/>
    <w:next w:val="20"/>
    <w:unhideWhenUsed/>
    <w:qFormat/>
    <w:uiPriority w:val="99"/>
    <w:pPr>
      <w:spacing w:line="631" w:lineRule="atLeast"/>
    </w:pPr>
  </w:style>
  <w:style w:type="paragraph" w:customStyle="1" w:styleId="29">
    <w:name w:val="CM65"/>
    <w:basedOn w:val="20"/>
    <w:next w:val="20"/>
    <w:unhideWhenUsed/>
    <w:qFormat/>
    <w:uiPriority w:val="99"/>
  </w:style>
  <w:style w:type="paragraph" w:customStyle="1" w:styleId="30">
    <w:name w:val="CM68"/>
    <w:basedOn w:val="20"/>
    <w:next w:val="20"/>
    <w:unhideWhenUsed/>
    <w:qFormat/>
    <w:uiPriority w:val="99"/>
  </w:style>
  <w:style w:type="paragraph" w:customStyle="1" w:styleId="31">
    <w:name w:val="CM51"/>
    <w:basedOn w:val="20"/>
    <w:next w:val="20"/>
    <w:unhideWhenUsed/>
    <w:qFormat/>
    <w:uiPriority w:val="99"/>
  </w:style>
  <w:style w:type="paragraph" w:customStyle="1" w:styleId="32">
    <w:name w:val="CM32"/>
    <w:basedOn w:val="20"/>
    <w:next w:val="20"/>
    <w:unhideWhenUsed/>
    <w:qFormat/>
    <w:uiPriority w:val="99"/>
    <w:pPr>
      <w:spacing w:line="560" w:lineRule="atLeast"/>
    </w:pPr>
  </w:style>
  <w:style w:type="paragraph" w:customStyle="1" w:styleId="33">
    <w:name w:val="CM7"/>
    <w:basedOn w:val="20"/>
    <w:next w:val="20"/>
    <w:unhideWhenUsed/>
    <w:qFormat/>
    <w:uiPriority w:val="99"/>
  </w:style>
  <w:style w:type="paragraph" w:customStyle="1" w:styleId="34">
    <w:name w:val="CM18"/>
    <w:basedOn w:val="20"/>
    <w:next w:val="20"/>
    <w:unhideWhenUsed/>
    <w:qFormat/>
    <w:uiPriority w:val="99"/>
    <w:pPr>
      <w:spacing w:line="626" w:lineRule="atLeast"/>
    </w:pPr>
  </w:style>
  <w:style w:type="paragraph" w:customStyle="1" w:styleId="35">
    <w:name w:val="CM33"/>
    <w:basedOn w:val="20"/>
    <w:next w:val="20"/>
    <w:unhideWhenUsed/>
    <w:qFormat/>
    <w:uiPriority w:val="99"/>
    <w:pPr>
      <w:spacing w:line="558" w:lineRule="atLeast"/>
    </w:pPr>
  </w:style>
  <w:style w:type="paragraph" w:customStyle="1" w:styleId="36">
    <w:name w:val="CM35"/>
    <w:basedOn w:val="20"/>
    <w:next w:val="20"/>
    <w:unhideWhenUsed/>
    <w:qFormat/>
    <w:uiPriority w:val="99"/>
    <w:pPr>
      <w:spacing w:line="556" w:lineRule="atLeast"/>
    </w:pPr>
  </w:style>
  <w:style w:type="paragraph" w:customStyle="1" w:styleId="37">
    <w:name w:val="CM29"/>
    <w:basedOn w:val="20"/>
    <w:next w:val="20"/>
    <w:unhideWhenUsed/>
    <w:qFormat/>
    <w:uiPriority w:val="99"/>
  </w:style>
  <w:style w:type="paragraph" w:customStyle="1" w:styleId="38">
    <w:name w:val="CM54"/>
    <w:basedOn w:val="20"/>
    <w:next w:val="20"/>
    <w:unhideWhenUsed/>
    <w:qFormat/>
    <w:uiPriority w:val="99"/>
  </w:style>
  <w:style w:type="paragraph" w:customStyle="1" w:styleId="39">
    <w:name w:val="CM64"/>
    <w:basedOn w:val="20"/>
    <w:next w:val="20"/>
    <w:unhideWhenUsed/>
    <w:qFormat/>
    <w:uiPriority w:val="99"/>
  </w:style>
  <w:style w:type="paragraph" w:customStyle="1" w:styleId="40">
    <w:name w:val="CM69"/>
    <w:basedOn w:val="20"/>
    <w:next w:val="20"/>
    <w:unhideWhenUsed/>
    <w:qFormat/>
    <w:uiPriority w:val="99"/>
  </w:style>
  <w:style w:type="paragraph" w:customStyle="1" w:styleId="41">
    <w:name w:val="CM30"/>
    <w:basedOn w:val="20"/>
    <w:next w:val="20"/>
    <w:unhideWhenUsed/>
    <w:qFormat/>
    <w:uiPriority w:val="99"/>
    <w:pPr>
      <w:spacing w:line="560" w:lineRule="atLeast"/>
    </w:pPr>
  </w:style>
  <w:style w:type="paragraph" w:customStyle="1" w:styleId="42">
    <w:name w:val="CM37"/>
    <w:basedOn w:val="20"/>
    <w:next w:val="20"/>
    <w:unhideWhenUsed/>
    <w:qFormat/>
    <w:uiPriority w:val="99"/>
    <w:pPr>
      <w:spacing w:line="566" w:lineRule="atLeast"/>
    </w:pPr>
  </w:style>
  <w:style w:type="paragraph" w:customStyle="1" w:styleId="43">
    <w:name w:val="CM31"/>
    <w:basedOn w:val="20"/>
    <w:next w:val="20"/>
    <w:unhideWhenUsed/>
    <w:qFormat/>
    <w:uiPriority w:val="99"/>
    <w:pPr>
      <w:spacing w:line="560" w:lineRule="atLeast"/>
    </w:pPr>
  </w:style>
  <w:style w:type="paragraph" w:customStyle="1" w:styleId="44">
    <w:name w:val="CM71"/>
    <w:basedOn w:val="20"/>
    <w:next w:val="20"/>
    <w:unhideWhenUsed/>
    <w:qFormat/>
    <w:uiPriority w:val="99"/>
  </w:style>
  <w:style w:type="paragraph" w:customStyle="1" w:styleId="45">
    <w:name w:val="CM45"/>
    <w:basedOn w:val="20"/>
    <w:next w:val="20"/>
    <w:unhideWhenUsed/>
    <w:qFormat/>
    <w:uiPriority w:val="99"/>
    <w:pPr>
      <w:spacing w:line="560" w:lineRule="atLeast"/>
    </w:pPr>
  </w:style>
  <w:style w:type="paragraph" w:customStyle="1" w:styleId="46">
    <w:name w:val="CM44"/>
    <w:basedOn w:val="20"/>
    <w:next w:val="20"/>
    <w:unhideWhenUsed/>
    <w:qFormat/>
    <w:uiPriority w:val="99"/>
    <w:pPr>
      <w:spacing w:line="531" w:lineRule="atLeast"/>
    </w:pPr>
  </w:style>
  <w:style w:type="paragraph" w:customStyle="1" w:styleId="47">
    <w:name w:val="CM50"/>
    <w:basedOn w:val="20"/>
    <w:next w:val="20"/>
    <w:unhideWhenUsed/>
    <w:qFormat/>
    <w:uiPriority w:val="99"/>
    <w:pPr>
      <w:spacing w:line="286" w:lineRule="atLeast"/>
    </w:pPr>
  </w:style>
  <w:style w:type="paragraph" w:customStyle="1" w:styleId="48">
    <w:name w:val="CM42"/>
    <w:basedOn w:val="20"/>
    <w:next w:val="20"/>
    <w:unhideWhenUsed/>
    <w:qFormat/>
    <w:uiPriority w:val="99"/>
    <w:pPr>
      <w:spacing w:line="620" w:lineRule="atLeast"/>
    </w:pPr>
  </w:style>
  <w:style w:type="paragraph" w:customStyle="1" w:styleId="49">
    <w:name w:val="CM26"/>
    <w:basedOn w:val="20"/>
    <w:next w:val="20"/>
    <w:unhideWhenUsed/>
    <w:qFormat/>
    <w:uiPriority w:val="99"/>
    <w:pPr>
      <w:spacing w:line="623" w:lineRule="atLeast"/>
    </w:pPr>
  </w:style>
  <w:style w:type="paragraph" w:customStyle="1" w:styleId="50">
    <w:name w:val="CM6"/>
    <w:basedOn w:val="20"/>
    <w:next w:val="20"/>
    <w:unhideWhenUsed/>
    <w:qFormat/>
    <w:uiPriority w:val="99"/>
  </w:style>
  <w:style w:type="paragraph" w:customStyle="1" w:styleId="51">
    <w:name w:val="CM10"/>
    <w:basedOn w:val="20"/>
    <w:next w:val="20"/>
    <w:unhideWhenUsed/>
    <w:qFormat/>
    <w:uiPriority w:val="99"/>
  </w:style>
  <w:style w:type="paragraph" w:customStyle="1" w:styleId="52">
    <w:name w:val="CM17"/>
    <w:basedOn w:val="20"/>
    <w:next w:val="20"/>
    <w:unhideWhenUsed/>
    <w:qFormat/>
    <w:uiPriority w:val="99"/>
  </w:style>
  <w:style w:type="paragraph" w:customStyle="1" w:styleId="53">
    <w:name w:val="CM38"/>
    <w:basedOn w:val="20"/>
    <w:next w:val="20"/>
    <w:unhideWhenUsed/>
    <w:qFormat/>
    <w:uiPriority w:val="99"/>
    <w:pPr>
      <w:spacing w:line="623" w:lineRule="atLeast"/>
    </w:pPr>
  </w:style>
  <w:style w:type="paragraph" w:customStyle="1" w:styleId="54">
    <w:name w:val="CM21"/>
    <w:basedOn w:val="20"/>
    <w:next w:val="20"/>
    <w:unhideWhenUsed/>
    <w:qFormat/>
    <w:uiPriority w:val="99"/>
    <w:pPr>
      <w:spacing w:line="623" w:lineRule="atLeast"/>
    </w:pPr>
  </w:style>
  <w:style w:type="paragraph" w:customStyle="1" w:styleId="55">
    <w:name w:val="CM14"/>
    <w:basedOn w:val="20"/>
    <w:next w:val="20"/>
    <w:unhideWhenUsed/>
    <w:qFormat/>
    <w:uiPriority w:val="99"/>
    <w:pPr>
      <w:spacing w:line="623" w:lineRule="atLeast"/>
    </w:pPr>
  </w:style>
  <w:style w:type="paragraph" w:customStyle="1" w:styleId="56">
    <w:name w:val="CM25"/>
    <w:basedOn w:val="20"/>
    <w:next w:val="20"/>
    <w:unhideWhenUsed/>
    <w:qFormat/>
    <w:uiPriority w:val="99"/>
    <w:pPr>
      <w:spacing w:line="626" w:lineRule="atLeast"/>
    </w:pPr>
  </w:style>
  <w:style w:type="paragraph" w:customStyle="1" w:styleId="57">
    <w:name w:val="CM20"/>
    <w:basedOn w:val="20"/>
    <w:next w:val="20"/>
    <w:unhideWhenUsed/>
    <w:qFormat/>
    <w:uiPriority w:val="99"/>
    <w:pPr>
      <w:spacing w:line="626" w:lineRule="atLeast"/>
    </w:pPr>
  </w:style>
  <w:style w:type="paragraph" w:customStyle="1" w:styleId="58">
    <w:name w:val="CM61"/>
    <w:basedOn w:val="20"/>
    <w:next w:val="20"/>
    <w:unhideWhenUsed/>
    <w:qFormat/>
    <w:uiPriority w:val="99"/>
  </w:style>
  <w:style w:type="paragraph" w:customStyle="1" w:styleId="59">
    <w:name w:val="CM1"/>
    <w:basedOn w:val="20"/>
    <w:next w:val="20"/>
    <w:unhideWhenUsed/>
    <w:qFormat/>
    <w:uiPriority w:val="99"/>
  </w:style>
  <w:style w:type="paragraph" w:customStyle="1" w:styleId="60">
    <w:name w:val="CM43"/>
    <w:basedOn w:val="20"/>
    <w:next w:val="20"/>
    <w:unhideWhenUsed/>
    <w:qFormat/>
    <w:uiPriority w:val="99"/>
    <w:pPr>
      <w:spacing w:line="623" w:lineRule="atLeast"/>
    </w:pPr>
  </w:style>
  <w:style w:type="paragraph" w:customStyle="1" w:styleId="61">
    <w:name w:val="CM41"/>
    <w:basedOn w:val="20"/>
    <w:next w:val="20"/>
    <w:unhideWhenUsed/>
    <w:qFormat/>
    <w:uiPriority w:val="99"/>
  </w:style>
  <w:style w:type="paragraph" w:customStyle="1" w:styleId="62">
    <w:name w:val="CM49"/>
    <w:basedOn w:val="20"/>
    <w:next w:val="20"/>
    <w:unhideWhenUsed/>
    <w:qFormat/>
    <w:uiPriority w:val="99"/>
  </w:style>
  <w:style w:type="paragraph" w:customStyle="1" w:styleId="63">
    <w:name w:val="CM59"/>
    <w:basedOn w:val="20"/>
    <w:next w:val="20"/>
    <w:unhideWhenUsed/>
    <w:qFormat/>
    <w:uiPriority w:val="99"/>
  </w:style>
  <w:style w:type="paragraph" w:customStyle="1" w:styleId="64">
    <w:name w:val="CM52"/>
    <w:basedOn w:val="20"/>
    <w:next w:val="20"/>
    <w:unhideWhenUsed/>
    <w:qFormat/>
    <w:uiPriority w:val="99"/>
  </w:style>
  <w:style w:type="paragraph" w:customStyle="1" w:styleId="65">
    <w:name w:val="CM11"/>
    <w:basedOn w:val="20"/>
    <w:next w:val="20"/>
    <w:unhideWhenUsed/>
    <w:qFormat/>
    <w:uiPriority w:val="99"/>
  </w:style>
  <w:style w:type="paragraph" w:customStyle="1" w:styleId="66">
    <w:name w:val="CM53"/>
    <w:basedOn w:val="20"/>
    <w:next w:val="20"/>
    <w:unhideWhenUsed/>
    <w:qFormat/>
    <w:uiPriority w:val="99"/>
  </w:style>
  <w:style w:type="paragraph" w:customStyle="1" w:styleId="67">
    <w:name w:val="CM23"/>
    <w:basedOn w:val="20"/>
    <w:next w:val="20"/>
    <w:unhideWhenUsed/>
    <w:qFormat/>
    <w:uiPriority w:val="99"/>
  </w:style>
  <w:style w:type="paragraph" w:customStyle="1" w:styleId="68">
    <w:name w:val="CM63"/>
    <w:basedOn w:val="20"/>
    <w:next w:val="20"/>
    <w:unhideWhenUsed/>
    <w:qFormat/>
    <w:uiPriority w:val="99"/>
  </w:style>
  <w:style w:type="paragraph" w:customStyle="1" w:styleId="69">
    <w:name w:val="CM66"/>
    <w:basedOn w:val="20"/>
    <w:next w:val="20"/>
    <w:unhideWhenUsed/>
    <w:qFormat/>
    <w:uiPriority w:val="99"/>
  </w:style>
  <w:style w:type="paragraph" w:customStyle="1" w:styleId="70">
    <w:name w:val="CM16"/>
    <w:basedOn w:val="20"/>
    <w:next w:val="20"/>
    <w:unhideWhenUsed/>
    <w:qFormat/>
    <w:uiPriority w:val="99"/>
  </w:style>
  <w:style w:type="paragraph" w:customStyle="1" w:styleId="71">
    <w:name w:val="CM62"/>
    <w:basedOn w:val="20"/>
    <w:next w:val="20"/>
    <w:unhideWhenUsed/>
    <w:qFormat/>
    <w:uiPriority w:val="99"/>
  </w:style>
  <w:style w:type="paragraph" w:customStyle="1" w:styleId="72">
    <w:name w:val="CM24"/>
    <w:basedOn w:val="20"/>
    <w:next w:val="20"/>
    <w:unhideWhenUsed/>
    <w:qFormat/>
    <w:uiPriority w:val="99"/>
    <w:pPr>
      <w:spacing w:line="620" w:lineRule="atLeast"/>
    </w:pPr>
  </w:style>
  <w:style w:type="paragraph" w:customStyle="1" w:styleId="73">
    <w:name w:val="CM40"/>
    <w:basedOn w:val="20"/>
    <w:next w:val="20"/>
    <w:unhideWhenUsed/>
    <w:qFormat/>
    <w:uiPriority w:val="99"/>
  </w:style>
  <w:style w:type="paragraph" w:customStyle="1" w:styleId="74">
    <w:name w:val="CM55"/>
    <w:basedOn w:val="20"/>
    <w:next w:val="20"/>
    <w:unhideWhenUsed/>
    <w:qFormat/>
    <w:uiPriority w:val="99"/>
  </w:style>
  <w:style w:type="paragraph" w:customStyle="1" w:styleId="75">
    <w:name w:val="CM67"/>
    <w:basedOn w:val="20"/>
    <w:next w:val="20"/>
    <w:unhideWhenUsed/>
    <w:qFormat/>
    <w:uiPriority w:val="99"/>
  </w:style>
  <w:style w:type="paragraph" w:customStyle="1" w:styleId="76">
    <w:name w:val="CM36"/>
    <w:basedOn w:val="20"/>
    <w:next w:val="20"/>
    <w:unhideWhenUsed/>
    <w:qFormat/>
    <w:uiPriority w:val="99"/>
    <w:pPr>
      <w:spacing w:line="560" w:lineRule="atLeast"/>
    </w:pPr>
  </w:style>
  <w:style w:type="paragraph" w:customStyle="1" w:styleId="77">
    <w:name w:val="CM28"/>
    <w:basedOn w:val="20"/>
    <w:next w:val="20"/>
    <w:unhideWhenUsed/>
    <w:qFormat/>
    <w:uiPriority w:val="99"/>
    <w:pPr>
      <w:spacing w:line="558" w:lineRule="atLeast"/>
    </w:pPr>
  </w:style>
  <w:style w:type="paragraph" w:customStyle="1" w:styleId="78">
    <w:name w:val="CM58"/>
    <w:basedOn w:val="20"/>
    <w:next w:val="20"/>
    <w:unhideWhenUsed/>
    <w:qFormat/>
    <w:uiPriority w:val="99"/>
  </w:style>
  <w:style w:type="paragraph" w:customStyle="1" w:styleId="79">
    <w:name w:val="CM3"/>
    <w:basedOn w:val="20"/>
    <w:next w:val="20"/>
    <w:unhideWhenUsed/>
    <w:qFormat/>
    <w:uiPriority w:val="99"/>
    <w:pPr>
      <w:spacing w:line="620" w:lineRule="atLeast"/>
    </w:pPr>
  </w:style>
  <w:style w:type="paragraph" w:customStyle="1" w:styleId="80">
    <w:name w:val="CM60"/>
    <w:basedOn w:val="20"/>
    <w:next w:val="20"/>
    <w:unhideWhenUsed/>
    <w:qFormat/>
    <w:uiPriority w:val="99"/>
  </w:style>
  <w:style w:type="paragraph" w:customStyle="1" w:styleId="81">
    <w:name w:val="CM13"/>
    <w:basedOn w:val="20"/>
    <w:next w:val="20"/>
    <w:unhideWhenUsed/>
    <w:qFormat/>
    <w:uiPriority w:val="99"/>
  </w:style>
  <w:style w:type="paragraph" w:customStyle="1" w:styleId="82">
    <w:name w:val="CM8"/>
    <w:basedOn w:val="20"/>
    <w:next w:val="20"/>
    <w:unhideWhenUsed/>
    <w:qFormat/>
    <w:uiPriority w:val="99"/>
  </w:style>
  <w:style w:type="paragraph" w:customStyle="1" w:styleId="83">
    <w:name w:val="CM47"/>
    <w:basedOn w:val="20"/>
    <w:next w:val="20"/>
    <w:unhideWhenUsed/>
    <w:qFormat/>
    <w:uiPriority w:val="99"/>
  </w:style>
  <w:style w:type="paragraph" w:customStyle="1" w:styleId="84">
    <w:name w:val="Heading #1|1"/>
    <w:basedOn w:val="1"/>
    <w:qFormat/>
    <w:uiPriority w:val="0"/>
    <w:pPr>
      <w:spacing w:after="80"/>
      <w:jc w:val="center"/>
      <w:outlineLvl w:val="0"/>
    </w:pPr>
    <w:rPr>
      <w:rFonts w:ascii="宋体" w:hAnsi="宋体" w:eastAsia="宋体" w:cs="宋体"/>
      <w:sz w:val="42"/>
      <w:szCs w:val="42"/>
      <w:lang w:val="zh-TW" w:eastAsia="zh-TW" w:bidi="zh-TW"/>
    </w:rPr>
  </w:style>
  <w:style w:type="paragraph" w:customStyle="1" w:styleId="85">
    <w:name w:val="Other|1"/>
    <w:basedOn w:val="1"/>
    <w:qFormat/>
    <w:uiPriority w:val="0"/>
    <w:rPr>
      <w:rFonts w:ascii="宋体" w:hAnsi="宋体" w:eastAsia="宋体" w:cs="宋体"/>
      <w:sz w:val="26"/>
      <w:szCs w:val="26"/>
      <w:lang w:val="zh-TW" w:eastAsia="zh-TW" w:bidi="zh-TW"/>
    </w:rPr>
  </w:style>
  <w:style w:type="paragraph" w:customStyle="1" w:styleId="86">
    <w:name w:val="Header or footer|1"/>
    <w:basedOn w:val="1"/>
    <w:qFormat/>
    <w:uiPriority w:val="0"/>
    <w:rPr>
      <w:sz w:val="20"/>
      <w:szCs w:val="20"/>
      <w:lang w:val="zh-TW" w:eastAsia="zh-TW" w:bidi="zh-TW"/>
    </w:rPr>
  </w:style>
  <w:style w:type="paragraph" w:styleId="8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88">
    <w:name w:val="List Paragraph"/>
    <w:basedOn w:val="1"/>
    <w:qFormat/>
    <w:uiPriority w:val="34"/>
    <w:pPr>
      <w:ind w:firstLine="420" w:firstLineChars="200"/>
    </w:pPr>
  </w:style>
  <w:style w:type="paragraph" w:customStyle="1" w:styleId="89">
    <w:name w:val="0"/>
    <w:basedOn w:val="1"/>
    <w:qFormat/>
    <w:uiPriority w:val="0"/>
    <w:rPr>
      <w:kern w:val="0"/>
      <w:sz w:val="20"/>
      <w:szCs w:val="20"/>
    </w:rPr>
  </w:style>
  <w:style w:type="paragraph" w:customStyle="1" w:styleId="90">
    <w:name w:val="附件三"/>
    <w:basedOn w:val="91"/>
    <w:qFormat/>
    <w:uiPriority w:val="0"/>
    <w:pPr>
      <w:numPr>
        <w:ilvl w:val="2"/>
        <w:numId w:val="1"/>
      </w:numPr>
      <w:tabs>
        <w:tab w:val="left" w:pos="0"/>
        <w:tab w:val="left" w:pos="425"/>
      </w:tabs>
      <w:adjustRightInd w:val="0"/>
      <w:snapToGrid w:val="0"/>
      <w:outlineLvl w:val="2"/>
    </w:pPr>
    <w:rPr>
      <w:sz w:val="28"/>
    </w:rPr>
  </w:style>
  <w:style w:type="paragraph" w:customStyle="1" w:styleId="91">
    <w:name w:val="附件 一级标题"/>
    <w:basedOn w:val="3"/>
    <w:next w:val="1"/>
    <w:qFormat/>
    <w:uiPriority w:val="0"/>
    <w:pPr>
      <w:numPr>
        <w:ilvl w:val="0"/>
        <w:numId w:val="1"/>
      </w:numPr>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13</Pages>
  <Words>21830</Words>
  <Characters>22091</Characters>
  <Lines>166</Lines>
  <Paragraphs>46</Paragraphs>
  <TotalTime>68</TotalTime>
  <ScaleCrop>false</ScaleCrop>
  <LinksUpToDate>false</LinksUpToDate>
  <CharactersWithSpaces>22331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2022-07-13T03:32:00Z</dcterms:created>
  <dc:creator>微软用户</dc:creator>
  <cp:lastModifiedBy>Administrator</cp:lastModifiedBy>
  <cp:lastPrinted>2024-04-28T06:04:00Z</cp:lastPrinted>
  <dcterms:modified xsi:type="dcterms:W3CDTF">2024-05-07T06:11:38Z</dcterms:modified>
  <dc:title>江西省自然资源厅</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A02D7F3EE21D4B72A14E3333990183BC_13</vt:lpwstr>
  </property>
</Properties>
</file>