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0CC640">
      <w:pP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附件1</w:t>
      </w:r>
    </w:p>
    <w:p w14:paraId="4D6928A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Toc29345"/>
      <w:bookmarkStart w:id="1" w:name="_Toc21837"/>
      <w:bookmarkStart w:id="2" w:name="_Toc24168"/>
      <w:bookmarkStart w:id="3" w:name="_Toc26251"/>
      <w:bookmarkStart w:id="4" w:name="_Toc16901"/>
      <w:bookmarkStart w:id="5" w:name="_Toc31334"/>
      <w:bookmarkStart w:id="6" w:name="_Toc11088"/>
      <w:bookmarkStart w:id="7" w:name="_Toc7836"/>
      <w:r>
        <w:rPr>
          <w:rFonts w:hint="eastAsia" w:ascii="仿宋" w:hAnsi="仿宋" w:eastAsia="仿宋" w:cs="仿宋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九江市永修县云山集团全域土地综合整治实施方案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rPr>
          <w:rFonts w:hint="eastAsia" w:ascii="仿宋" w:hAnsi="仿宋" w:eastAsia="仿宋" w:cs="仿宋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（公示稿）</w:t>
      </w:r>
    </w:p>
    <w:p w14:paraId="5C30877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23C32FB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00" w:firstLineChars="20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江西云山集团有限责任公司坐落于江西省九江市永修县境内，是一家集工、农、商贸于一体的大型国有企业。西与武宁、靖安两县毗邻，南接安义县和滩溪镇，北倚柘林、白槎、江上、虬津等乡（镇），东连艾城镇。云山集团下辖9个社区和9个行政村，户籍总人口为3.44万人，常住人口为3.11万人。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有中国著名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fldChar w:fldCharType="begin"/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instrText xml:space="preserve"> HYPERLINK "https://baike.baidu.com/item/%E4%BD%9B%E6%95%99%E5%90%8D%E5%B1%B1/2559095?fromModule=lemma_inlink" \t "https://baike.baidu.com/item/%E4%BA%91%E5%B1%85%E5%B1%B1/_blank" </w:instrTex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佛教名山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fldChar w:fldCharType="end"/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fldChar w:fldCharType="begin"/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instrText xml:space="preserve"> HYPERLINK "https://baike.baidu.com/item/%E5%9B%BD%E5%AE%B6%E9%87%8D%E7%82%B9%E9%A3%8E%E6%99%AF%E5%90%8D%E8%83%9C%E5%8C%BA/8057680?fromModule=lemma_inlink" \t "https://baike.baidu.com/item/%E4%BA%91%E5%B1%85%E5%B1%B1/_blank" </w:instrTex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国家重点风景名胜区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fldChar w:fldCharType="end"/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---云居山和誉其为东方“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fldChar w:fldCharType="begin"/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instrText xml:space="preserve"> HYPERLINK "https://baike.baidu.com/item/%E4%BA%9A%E9%A9%AC%E9%80%8A/5712634?fromModule=lemma_inlink" \t "https://baike.baidu.com/item/%E9%BE%99%E6%BA%90%E5%B3%A1/_blank" </w:instrTex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亚马逊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fldChar w:fldCharType="end"/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”、南国“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fldChar w:fldCharType="begin"/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instrText xml:space="preserve"> HYPERLINK "https://baike.baidu.com/item/%E4%B9%9D%E5%AF%A8%E6%B2%9F/122560?fromModule=lemma_inlink" \t "https://baike.baidu.com/item/%E9%BE%99%E6%BA%90%E5%B3%A1/_blank" </w:instrTex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九寨沟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fldChar w:fldCharType="end"/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”的龙源峡景区。集团已建成一大批极具发展潜力的特色农业基地，蜜桔、水蜜桃、云居山大米、云居山茶叶等农产品远近闻名。京九铁路、昌九高速公路、G105和G316国道等四大交通干线纵横贯穿于境内。距离南昌市区60公里，九江市区70公里，昌北机场30公里，交通十分便利。</w:t>
      </w:r>
    </w:p>
    <w:p w14:paraId="5BE4FB8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00" w:firstLineChars="20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经对云山集团现状深入调查，云山集团在永修县农业地位日益弱化、传统产业凋敝、第三产业发展后劲不足等问题。存在着耕地碎片化、低效闲置建设用地较多，生态资源价值转化不显著，旅游配套设施不完善等问题，制约了现代农业、第三产业的发展和集约用地水平、农民收入水平的提高。为破解“空间无序化、耕地碎片化、土地低效化、生态功能退化”等问题，云山集团计划实施全域土地综合整治，按照“统筹山水林田湖草系统治理”“全方位、全地域、全过程开展生态文明建设”的理念，进行全域规划、全域设计、全域整治，通过生态环境治理、农用地整理、建设用地整理、历史文化保护、产业导入五大工作任务，优化全镇生产、生活、生态空间格局，推动土地节约集约利用，保障农业产业发展，助推乡村振兴，目标建成良田集聚连片、建设用地集约高效、生态环境和谐美好的云山集团全域国土新格局。</w:t>
      </w:r>
    </w:p>
    <w:p w14:paraId="4073CE9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00" w:firstLineChars="20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永修县人民政府为保障本方案顺利实施，成立了由多部门组成的工作领导小组，负责跨部门协作与项目实施工作的统筹协调。云山集团全域土地综合整治项目工作经多部门共同推进，多轮实地调研和县领导、专家座谈会议论证后，确定整治项目指标和布局情况、统筹安排年度实施计划。本项目运营期内（18年含建设期）总成本费用合计为</w:t>
      </w:r>
      <w:r>
        <w:rPr>
          <w:rFonts w:hint="eastAsia" w:cs="仿宋_GB2312"/>
          <w:szCs w:val="32"/>
          <w:highlight w:val="none"/>
        </w:rPr>
        <w:t>108874.67万元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，其中建设期总投资量约为53801.16万元，预计将吸引社会投资51272.20万元。整治项目实施后预计将新增净耕地19.4553公顷（291.83亩），盘活存量建设用地2.6024公顷（39.04亩）。项目运营期内（18年含建设期）预期总收入</w:t>
      </w:r>
      <w:r>
        <w:rPr>
          <w:rFonts w:hint="eastAsia" w:cs="仿宋_GB2312"/>
          <w:szCs w:val="32"/>
          <w:highlight w:val="none"/>
        </w:rPr>
        <w:t>114696.5万元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，其中，农用地整理预期收入合计约16735.33万元，建设用地整理预期收入合计约1709.85万元，生态保护修复项目预期收入合计约749.12万元，历史文化保护项目预期收入合计约172.86万元，产业导入项目预期收入合计约93612.98万元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。预计产生总收益5821.83万元。具体如下：</w:t>
      </w:r>
    </w:p>
    <w:p w14:paraId="73AB11D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02" w:firstLineChars="20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1.统筹规划，构建“美丽云山”</w:t>
      </w:r>
    </w:p>
    <w:p w14:paraId="0E1E012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00" w:firstLineChars="20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以全域土地综合整治为抓手，以国土空间总体规划为依据，进行全域规划、整体设计、综合治理、多措并举。统筹农用地整治、低效建设用地整理、乡村生态保护修复和历史文化保护，解决云山集团耕地碎片化、空间无序化、生态环境质量退化等问题，保障粮食底线，筑牢生态基底。优化国土空间格局，促进各类资源生态要素有序流动，保障农村产业融合发展用地，推动耕地保护、土地节约集约有效利用，改善农村人居环境，打造集约高效的生产空间、宜居适度的生活空间、山清水秀的生态空间。</w:t>
      </w:r>
    </w:p>
    <w:p w14:paraId="361E1E1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00" w:firstLineChars="20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充分利用云居山景区、龙源峡景区、凤凰山桃花园、新民蜜桔产业园、萧克将军旧居、“五七”干校旧址等众多文旅资源，以“农禅文化，康养小镇”为主旨合理规划旅游配套设施，打造云山集团一二三产业融合发展乡镇，为加快推进乡村全面振兴、建设美丽云山提供有力支撑。</w:t>
      </w:r>
    </w:p>
    <w:p w14:paraId="2B78110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2.以问题为导向，合理布局，塑造和美乡村</w:t>
      </w:r>
    </w:p>
    <w:p w14:paraId="4F5D774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00" w:firstLineChars="20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以2023年国土变更调查数据为基础底数，结合自然资源、林业、农业、生态环境、交通、文旅等部门数据，在现状场地、权属、项目等详细调查基础上，通过评价分析识别云山集团面临耕地质量总体不高、园地质量低、存在废弃建设用地，以及旅游配套有待改善、生态环境问题多发、产业发展动力不足等多个乡村振兴面临的亟待解决问题。坚持问题导向，根据整治分区方向，统筹协调部门需求，围绕农用地整治、建设用地整理、生态保护修复、历史文化项目保护和产业布局和引入等方面统筹设置整治内容，经多方征求意见后，确定实施子项目18个，总投资53801.16万元。各单元整治内容和建设项目符合国土空间规划及用途管制要求，不需对永久基本农田、生态保护红线和城镇开发边界进行调整。</w:t>
      </w:r>
    </w:p>
    <w:p w14:paraId="19263C8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00" w:firstLineChars="20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其中，高标准农田建设与改造提升、林地恢复和改造提升、土地开发、耕地恢复改造等农用地整治项目4个，整治规模879.5552公顷，总投资6405.96万元，建成后预计可新增耕地15.2365公顷（全为水田），促进耕地集中连片整合，改善农用地生产能力，有利于土地集约化流转和规模化经营，提高农业生产效益；安排闲置建设用地再利用项目1个，整治规模2.6024公顷，总投资500万元；闲置宅基地拆除复垦项目1个，整治规模4.2188公顷，总投资949.20万元，建成后预计可新增耕地4.2188公顷，既加强耕地保护，同时也优化了村庄建设用地布局；安排水系综合整治、地质灾害隐患点治理、森林资源保护治理、人居环境整治提升、基础设施建设项目等生态保护修复项目7个，总投资29910.00万元。进一步完善水系、道路、居住环境等基础设施，保持乡村自然景观和生态风貌；历史文化保护项目1个，总投资6036.00万元；安排产业项目4个，总投资10000.00万元，通过产业布局和引入促进农业+旅游产业发展，促进当地经济收入。上述项目分3年有序安排项目实施。</w:t>
      </w:r>
    </w:p>
    <w:p w14:paraId="28BA2BA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00" w:firstLineChars="20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经项目的协同整治实施，云山集团将形成乡村秀美怡人、农业产业兴旺、生态环境优良、历史文化深厚、旅游设施完善的江西省康养小镇典范。</w:t>
      </w:r>
    </w:p>
    <w:p w14:paraId="1886A04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02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3.拓展多元融资，提升云山经济效益</w:t>
      </w:r>
    </w:p>
    <w:p w14:paraId="4A6884D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00" w:firstLineChars="20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实施方案总投资53801.16万元，其中社会投资51272.20万元。项目运营期内（18年含建设期）预期总收入</w:t>
      </w:r>
      <w:r>
        <w:rPr>
          <w:rFonts w:hint="eastAsia"/>
          <w:highlight w:val="none"/>
        </w:rPr>
        <w:t>114696.5</w:t>
      </w:r>
      <w:r>
        <w:rPr>
          <w:rFonts w:hint="eastAsia"/>
          <w:highlight w:val="none"/>
          <w:lang w:val="en-US" w:eastAsia="zh-CN"/>
        </w:rPr>
        <w:t>0</w:t>
      </w:r>
      <w:r>
        <w:rPr>
          <w:rFonts w:hint="eastAsia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，其中，农用地整治预期收入约</w:t>
      </w:r>
      <w:r>
        <w:rPr>
          <w:rFonts w:hint="eastAsia"/>
          <w:highlight w:val="none"/>
        </w:rPr>
        <w:t>16735.33万元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，建设用地整理预期收入约</w:t>
      </w:r>
      <w:r>
        <w:rPr>
          <w:rFonts w:hint="eastAsia"/>
          <w:highlight w:val="none"/>
        </w:rPr>
        <w:t>1709.85万元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，生态保护修复项目预期收入约</w:t>
      </w:r>
      <w:r>
        <w:rPr>
          <w:rFonts w:hint="eastAsia"/>
          <w:highlight w:val="none"/>
        </w:rPr>
        <w:t>749.12万元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，历史文化保护项目预期收入约</w:t>
      </w:r>
      <w:r>
        <w:rPr>
          <w:rFonts w:hint="eastAsia"/>
          <w:highlight w:val="none"/>
        </w:rPr>
        <w:t>172.86万元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，产业导入项目预期收入约</w:t>
      </w:r>
      <w:r>
        <w:rPr>
          <w:rFonts w:hint="eastAsia"/>
          <w:highlight w:val="none"/>
        </w:rPr>
        <w:t>93612.98万元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；总成本投入</w:t>
      </w:r>
      <w:r>
        <w:rPr>
          <w:rFonts w:hint="eastAsia"/>
          <w:highlight w:val="none"/>
        </w:rPr>
        <w:t>108874.67万元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（含工程建设投入53801.16万元），预计产生总收益</w:t>
      </w:r>
      <w:r>
        <w:rPr>
          <w:rFonts w:hint="eastAsia"/>
          <w:highlight w:val="none"/>
        </w:rPr>
        <w:t>5821.83万元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。</w:t>
      </w:r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hZjcxM2JjNzg5NzgzYzU3NzUxZmQ1YmFkODRhNjAifQ=="/>
  </w:docVars>
  <w:rsids>
    <w:rsidRoot w:val="54B1754E"/>
    <w:rsid w:val="02DD1A2B"/>
    <w:rsid w:val="04620439"/>
    <w:rsid w:val="08171EB6"/>
    <w:rsid w:val="0B4E34C6"/>
    <w:rsid w:val="158226E9"/>
    <w:rsid w:val="16EB2510"/>
    <w:rsid w:val="19153875"/>
    <w:rsid w:val="1D4604A0"/>
    <w:rsid w:val="1ECC1DB4"/>
    <w:rsid w:val="23DA1943"/>
    <w:rsid w:val="24BC5AB4"/>
    <w:rsid w:val="25DF1492"/>
    <w:rsid w:val="26F71E0F"/>
    <w:rsid w:val="2A3C6EB3"/>
    <w:rsid w:val="2A467D32"/>
    <w:rsid w:val="302D2AB0"/>
    <w:rsid w:val="31C93B7A"/>
    <w:rsid w:val="31DC21F1"/>
    <w:rsid w:val="36197711"/>
    <w:rsid w:val="377A726D"/>
    <w:rsid w:val="3DFA4C63"/>
    <w:rsid w:val="51AF1171"/>
    <w:rsid w:val="54B1754E"/>
    <w:rsid w:val="5FA043CA"/>
    <w:rsid w:val="61F12AC0"/>
    <w:rsid w:val="65B65064"/>
    <w:rsid w:val="65F179AF"/>
    <w:rsid w:val="66464C58"/>
    <w:rsid w:val="67E20393"/>
    <w:rsid w:val="688B4586"/>
    <w:rsid w:val="68AD274F"/>
    <w:rsid w:val="6F1C418A"/>
    <w:rsid w:val="77FF9787"/>
    <w:rsid w:val="78CF226D"/>
    <w:rsid w:val="7A2608E9"/>
    <w:rsid w:val="7C372603"/>
    <w:rsid w:val="7D580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jc w:val="left"/>
    </w:pPr>
    <w:rPr>
      <w:rFonts w:ascii="仿宋_GB2312" w:hAnsi="仿宋_GB2312" w:eastAsia="仿宋_GB2312" w:cs="仿宋_GB2312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2289</Words>
  <Characters>2539</Characters>
  <Lines>0</Lines>
  <Paragraphs>0</Paragraphs>
  <TotalTime>0</TotalTime>
  <ScaleCrop>false</ScaleCrop>
  <LinksUpToDate>false</LinksUpToDate>
  <CharactersWithSpaces>2539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2025-04-23T20:36:00Z</dcterms:created>
  <dc:creator>陈承强</dc:creator>
  <cp:lastModifiedBy>zj</cp:lastModifiedBy>
  <dcterms:modified xsi:type="dcterms:W3CDTF">2025-07-07T03:35:08Z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FD44CF4CC30F472284680E54F329D714_11</vt:lpwstr>
  </property>
  <property fmtid="{D5CDD505-2E9C-101B-9397-08002B2CF9AE}" pid="4" name="KSOTemplateDocerSaveRecord">
    <vt:lpwstr>eyJoZGlkIjoiMmUxYzk3OWQwMjA2ZDlkMjg4ZWQxMjRmNGI3OTNmY2EiLCJ1c2VySWQiOiIyNzQ4OTE1MTQifQ==</vt:lpwstr>
  </property>
</Properties>
</file>