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32"/>
          <w:szCs w:val="32"/>
        </w:rPr>
      </w:pPr>
    </w:p>
    <w:p>
      <w:pPr>
        <w:rPr>
          <w:rFonts w:ascii="仿宋_GB2312" w:eastAsia="仿宋_GB2312"/>
          <w:sz w:val="32"/>
          <w:szCs w:val="32"/>
        </w:rPr>
      </w:pPr>
    </w:p>
    <w:p>
      <w:pPr>
        <w:rPr>
          <w:rFonts w:ascii="仿宋_GB2312" w:hAnsi="宋体" w:eastAsia="仿宋_GB2312"/>
          <w:sz w:val="30"/>
          <w:szCs w:val="30"/>
        </w:rPr>
      </w:pPr>
    </w:p>
    <w:p>
      <w:pPr>
        <w:jc w:val="center"/>
        <w:rPr>
          <w:sz w:val="72"/>
          <w:szCs w:val="72"/>
        </w:rPr>
      </w:pPr>
      <w:r>
        <w:rPr>
          <w:rFonts w:hint="eastAsia"/>
          <w:sz w:val="72"/>
          <w:szCs w:val="72"/>
        </w:rPr>
        <w:t>2020年度部门决算</w:t>
      </w:r>
    </w:p>
    <w:p>
      <w:pPr>
        <w:jc w:val="center"/>
        <w:rPr>
          <w:sz w:val="48"/>
          <w:szCs w:val="48"/>
        </w:rPr>
      </w:pPr>
      <w:r>
        <w:rPr>
          <w:rFonts w:hint="eastAsia"/>
          <w:sz w:val="48"/>
          <w:szCs w:val="48"/>
        </w:rPr>
        <w:t>公开说明</w:t>
      </w:r>
    </w:p>
    <w:p/>
    <w:p/>
    <w:p/>
    <w:p/>
    <w:p/>
    <w:p/>
    <w:tbl>
      <w:tblPr>
        <w:tblStyle w:val="6"/>
        <w:tblpPr w:leftFromText="187" w:rightFromText="187" w:vertAnchor="page" w:horzAnchor="margin" w:tblpX="468" w:tblpY="12961"/>
        <w:tblW w:w="8075" w:type="dxa"/>
        <w:tblInd w:w="0" w:type="dxa"/>
        <w:tblLayout w:type="fixed"/>
        <w:tblCellMar>
          <w:top w:w="0" w:type="dxa"/>
          <w:left w:w="108" w:type="dxa"/>
          <w:bottom w:w="0" w:type="dxa"/>
          <w:right w:w="108" w:type="dxa"/>
        </w:tblCellMar>
      </w:tblPr>
      <w:tblGrid>
        <w:gridCol w:w="8075"/>
      </w:tblGrid>
      <w:tr>
        <w:tblPrEx>
          <w:tblLayout w:type="fixed"/>
          <w:tblCellMar>
            <w:top w:w="0" w:type="dxa"/>
            <w:left w:w="108" w:type="dxa"/>
            <w:bottom w:w="0" w:type="dxa"/>
            <w:right w:w="108" w:type="dxa"/>
          </w:tblCellMar>
        </w:tblPrEx>
        <w:trPr>
          <w:trHeight w:val="80" w:hRule="atLeast"/>
        </w:trPr>
        <w:tc>
          <w:tcPr>
            <w:tcW w:w="8075" w:type="dxa"/>
          </w:tcPr>
          <w:p>
            <w:pPr>
              <w:pStyle w:val="7"/>
              <w:rPr>
                <w:rFonts w:ascii="宋体" w:hAnsi="宋体"/>
                <w:b/>
                <w:sz w:val="32"/>
                <w:szCs w:val="32"/>
              </w:rPr>
            </w:pPr>
            <w:r>
              <w:rPr>
                <w:rFonts w:hint="eastAsia" w:ascii="宋体" w:hAnsi="宋体"/>
                <w:b/>
                <w:sz w:val="32"/>
                <w:szCs w:val="32"/>
              </w:rPr>
              <w:t>单位负责人（签章）：</w:t>
            </w:r>
            <w:r>
              <w:rPr>
                <w:rFonts w:hint="eastAsia" w:ascii="宋体" w:hAnsi="宋体"/>
                <w:b/>
                <w:sz w:val="32"/>
                <w:szCs w:val="32"/>
                <w:lang w:eastAsia="zh-CN"/>
              </w:rPr>
              <w:t>徐云平</w:t>
            </w:r>
            <w:r>
              <w:rPr>
                <w:rFonts w:hint="eastAsia" w:ascii="宋体" w:hAnsi="宋体"/>
                <w:b/>
                <w:sz w:val="32"/>
                <w:szCs w:val="32"/>
              </w:rPr>
              <w:t xml:space="preserve">   </w:t>
            </w:r>
          </w:p>
          <w:p>
            <w:pPr>
              <w:pStyle w:val="7"/>
              <w:rPr>
                <w:rFonts w:ascii="宋体" w:hAnsi="宋体"/>
                <w:b/>
                <w:sz w:val="32"/>
                <w:szCs w:val="32"/>
              </w:rPr>
            </w:pPr>
            <w:r>
              <w:rPr>
                <w:rFonts w:hint="eastAsia" w:ascii="宋体" w:hAnsi="宋体"/>
                <w:b/>
                <w:sz w:val="32"/>
                <w:szCs w:val="32"/>
              </w:rPr>
              <w:t xml:space="preserve"> </w:t>
            </w:r>
          </w:p>
          <w:p>
            <w:pPr>
              <w:pStyle w:val="7"/>
              <w:rPr>
                <w:rFonts w:hint="eastAsia" w:eastAsia="宋体"/>
                <w:sz w:val="32"/>
                <w:szCs w:val="32"/>
                <w:lang w:eastAsia="zh-CN"/>
              </w:rPr>
            </w:pPr>
            <w:r>
              <w:rPr>
                <w:rFonts w:hint="eastAsia" w:ascii="宋体" w:hAnsi="宋体"/>
                <w:b/>
                <w:sz w:val="32"/>
                <w:szCs w:val="32"/>
              </w:rPr>
              <w:t>财务负责人（签章）：</w:t>
            </w:r>
            <w:r>
              <w:rPr>
                <w:rFonts w:hint="eastAsia" w:ascii="宋体" w:hAnsi="宋体"/>
                <w:b/>
                <w:sz w:val="32"/>
                <w:szCs w:val="32"/>
                <w:lang w:eastAsia="zh-CN"/>
              </w:rPr>
              <w:t>杨扬</w:t>
            </w: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lang w:eastAsia="zh-CN"/>
              </w:rPr>
              <w:t>经</w:t>
            </w:r>
            <w:r>
              <w:rPr>
                <w:rFonts w:hint="eastAsia" w:ascii="宋体" w:hAnsi="宋体"/>
                <w:b/>
                <w:sz w:val="32"/>
                <w:szCs w:val="32"/>
              </w:rPr>
              <w:t>办人（签章）：</w:t>
            </w:r>
            <w:r>
              <w:rPr>
                <w:rFonts w:hint="eastAsia" w:ascii="宋体" w:hAnsi="宋体"/>
                <w:b/>
                <w:sz w:val="32"/>
                <w:szCs w:val="32"/>
                <w:lang w:eastAsia="zh-CN"/>
              </w:rPr>
              <w:t>吴婷</w:t>
            </w:r>
          </w:p>
        </w:tc>
      </w:tr>
    </w:tbl>
    <w:p>
      <w:pPr>
        <w:ind w:firstLine="1619" w:firstLineChars="506"/>
        <w:rPr>
          <w:sz w:val="32"/>
          <w:szCs w:val="32"/>
        </w:rPr>
      </w:pPr>
      <w:r>
        <w:rPr>
          <w:rFonts w:hint="eastAsia"/>
          <w:sz w:val="32"/>
          <w:szCs w:val="32"/>
        </w:rPr>
        <w:t>单位名称(公章)：永修县三角乡人民政府</w:t>
      </w:r>
    </w:p>
    <w:p>
      <w:pPr>
        <w:ind w:firstLine="1619" w:firstLineChars="506"/>
        <w:rPr>
          <w:sz w:val="32"/>
          <w:szCs w:val="32"/>
        </w:rPr>
      </w:pPr>
    </w:p>
    <w:p>
      <w:pPr>
        <w:ind w:firstLine="1619" w:firstLineChars="506"/>
        <w:rPr>
          <w:sz w:val="32"/>
          <w:szCs w:val="32"/>
        </w:rPr>
      </w:pPr>
      <w:r>
        <w:rPr>
          <w:rFonts w:hint="eastAsia"/>
          <w:sz w:val="32"/>
          <w:szCs w:val="32"/>
        </w:rPr>
        <w:t>报送日期：2021年10月18日</w:t>
      </w:r>
    </w:p>
    <w:p>
      <w:pPr>
        <w:rPr>
          <w:rFonts w:ascii="楷体" w:hAnsi="楷体" w:eastAsia="楷体" w:cs="楷体"/>
          <w:sz w:val="30"/>
          <w:szCs w:val="30"/>
        </w:rPr>
      </w:pPr>
    </w:p>
    <w:p>
      <w:pPr>
        <w:rPr>
          <w:rFonts w:ascii="楷体" w:hAnsi="楷体" w:eastAsia="楷体" w:cs="楷体"/>
          <w:sz w:val="30"/>
          <w:szCs w:val="30"/>
        </w:rPr>
      </w:pPr>
    </w:p>
    <w:p>
      <w:pPr>
        <w:rPr>
          <w:rFonts w:ascii="楷体" w:hAnsi="楷体" w:eastAsia="楷体" w:cs="楷体"/>
          <w:sz w:val="30"/>
          <w:szCs w:val="30"/>
        </w:rPr>
      </w:pPr>
    </w:p>
    <w:p>
      <w:pPr>
        <w:rPr>
          <w:rFonts w:ascii="楷体" w:hAnsi="楷体" w:eastAsia="楷体" w:cs="楷体"/>
          <w:sz w:val="30"/>
          <w:szCs w:val="30"/>
        </w:rPr>
      </w:pPr>
    </w:p>
    <w:p>
      <w:pPr>
        <w:rPr>
          <w:rFonts w:ascii="楷体" w:hAnsi="楷体" w:eastAsia="楷体" w:cs="楷体"/>
          <w:sz w:val="30"/>
          <w:szCs w:val="30"/>
        </w:rPr>
      </w:pPr>
    </w:p>
    <w:p>
      <w:pPr>
        <w:rPr>
          <w:rFonts w:ascii="楷体" w:hAnsi="楷体" w:eastAsia="楷体" w:cs="楷体"/>
          <w:sz w:val="30"/>
          <w:szCs w:val="30"/>
        </w:rPr>
      </w:pPr>
    </w:p>
    <w:p>
      <w:pPr>
        <w:rPr>
          <w:rFonts w:ascii="楷体" w:hAnsi="楷体" w:eastAsia="楷体" w:cs="楷体"/>
          <w:sz w:val="30"/>
          <w:szCs w:val="30"/>
        </w:rPr>
      </w:pPr>
    </w:p>
    <w:p>
      <w:pPr>
        <w:spacing w:line="600" w:lineRule="exact"/>
        <w:jc w:val="center"/>
        <w:rPr>
          <w:rFonts w:ascii="宋体" w:hAnsi="宋体" w:cs="宋体"/>
          <w:b/>
          <w:bCs/>
          <w:sz w:val="44"/>
          <w:szCs w:val="36"/>
        </w:rPr>
      </w:pPr>
      <w:r>
        <w:rPr>
          <w:rFonts w:hint="eastAsia" w:ascii="宋体" w:hAnsi="宋体" w:cs="宋体"/>
          <w:b/>
          <w:bCs/>
          <w:sz w:val="44"/>
          <w:szCs w:val="36"/>
        </w:rPr>
        <w:t>三角乡人民政府2020年度部门决算</w:t>
      </w:r>
    </w:p>
    <w:p>
      <w:pPr>
        <w:spacing w:line="600" w:lineRule="exact"/>
        <w:jc w:val="center"/>
        <w:rPr>
          <w:rFonts w:ascii="黑体" w:eastAsia="黑体"/>
          <w:sz w:val="44"/>
          <w:szCs w:val="36"/>
        </w:rPr>
      </w:pPr>
    </w:p>
    <w:p>
      <w:pPr>
        <w:spacing w:line="600" w:lineRule="exact"/>
        <w:jc w:val="center"/>
        <w:rPr>
          <w:rFonts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第一部分  三角乡人民政府概况</w:t>
      </w:r>
    </w:p>
    <w:p>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2020年度部门决算表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numPr>
          <w:ilvl w:val="0"/>
          <w:numId w:val="1"/>
        </w:numP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政府性基金预算财政拨款收入支出决算表</w:t>
      </w:r>
    </w:p>
    <w:p>
      <w:pPr>
        <w:widowControl/>
        <w:numPr>
          <w:ilvl w:val="0"/>
          <w:numId w:val="1"/>
        </w:numP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国有资本经营预算财政拨款支出决算表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十、国有资产占用情况表</w:t>
      </w:r>
    </w:p>
    <w:p>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ascii="宋体" w:hAnsi="宋体"/>
          <w:b/>
          <w:sz w:val="36"/>
          <w:szCs w:val="36"/>
        </w:rPr>
      </w:pPr>
    </w:p>
    <w:p>
      <w:pPr>
        <w:widowControl/>
        <w:spacing w:line="580" w:lineRule="exact"/>
        <w:jc w:val="center"/>
        <w:rPr>
          <w:rFonts w:ascii="宋体" w:hAnsi="宋体"/>
          <w:b/>
          <w:sz w:val="32"/>
          <w:szCs w:val="30"/>
        </w:rPr>
      </w:pPr>
      <w:r>
        <w:rPr>
          <w:rFonts w:hint="eastAsia" w:ascii="宋体" w:hAnsi="宋体"/>
          <w:b/>
          <w:sz w:val="32"/>
          <w:szCs w:val="30"/>
        </w:rPr>
        <w:t xml:space="preserve"> </w:t>
      </w:r>
    </w:p>
    <w:p>
      <w:pPr>
        <w:widowControl/>
        <w:spacing w:line="580" w:lineRule="exact"/>
        <w:jc w:val="center"/>
        <w:rPr>
          <w:rFonts w:ascii="宋体" w:hAnsi="宋体"/>
          <w:b/>
          <w:sz w:val="32"/>
          <w:szCs w:val="30"/>
        </w:rPr>
      </w:pPr>
    </w:p>
    <w:p>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三角乡人民政府</w:t>
      </w:r>
      <w:r>
        <w:rPr>
          <w:rFonts w:hint="eastAsia" w:ascii="宋体" w:hAnsi="宋体"/>
          <w:b/>
          <w:sz w:val="32"/>
          <w:szCs w:val="30"/>
        </w:rPr>
        <w:t>概况</w:t>
      </w:r>
    </w:p>
    <w:p>
      <w:pPr>
        <w:ind w:firstLine="630"/>
        <w:jc w:val="center"/>
        <w:rPr>
          <w:sz w:val="32"/>
          <w:szCs w:val="32"/>
        </w:rPr>
      </w:pPr>
    </w:p>
    <w:p>
      <w:pPr>
        <w:ind w:firstLine="630"/>
        <w:jc w:val="left"/>
        <w:rPr>
          <w:rFonts w:ascii="黑体" w:hAnsi="黑体" w:eastAsia="黑体"/>
          <w:sz w:val="30"/>
          <w:szCs w:val="30"/>
        </w:rPr>
      </w:pPr>
      <w:r>
        <w:rPr>
          <w:rFonts w:hint="eastAsia" w:ascii="黑体" w:hAnsi="黑体" w:eastAsia="黑体"/>
          <w:sz w:val="30"/>
          <w:szCs w:val="30"/>
        </w:rPr>
        <w:t>一、部门主要职能</w:t>
      </w:r>
    </w:p>
    <w:p>
      <w:pPr>
        <w:pStyle w:val="4"/>
        <w:shd w:val="clear" w:color="auto" w:fill="FFFFFF"/>
        <w:spacing w:before="0" w:beforeAutospacing="0" w:after="225" w:afterAutospacing="0" w:line="360" w:lineRule="atLeast"/>
        <w:ind w:firstLine="480"/>
        <w:rPr>
          <w:rFonts w:ascii="仿宋" w:hAnsi="仿宋" w:eastAsia="仿宋" w:cs="Times New Roman"/>
          <w:kern w:val="2"/>
          <w:sz w:val="30"/>
          <w:szCs w:val="30"/>
        </w:rPr>
      </w:pPr>
      <w:r>
        <w:rPr>
          <w:rFonts w:hint="eastAsia" w:ascii="仿宋" w:hAnsi="仿宋" w:eastAsia="仿宋" w:cs="Times New Roman"/>
          <w:kern w:val="2"/>
          <w:sz w:val="30"/>
          <w:szCs w:val="30"/>
        </w:rPr>
        <w:t>（一）</w:t>
      </w:r>
      <w:r>
        <w:rPr>
          <w:rFonts w:ascii="仿宋" w:hAnsi="仿宋" w:eastAsia="仿宋" w:cs="Times New Roman"/>
          <w:kern w:val="2"/>
          <w:sz w:val="30"/>
          <w:szCs w:val="30"/>
        </w:rPr>
        <w:t>执行本级人民代表大会决议以及上级国家行政机关的决定和命令</w:t>
      </w:r>
      <w:r>
        <w:rPr>
          <w:rFonts w:hint="eastAsia" w:ascii="仿宋" w:hAnsi="仿宋" w:eastAsia="仿宋" w:cs="Times New Roman"/>
          <w:kern w:val="2"/>
          <w:sz w:val="30"/>
          <w:szCs w:val="30"/>
        </w:rPr>
        <w:t>。</w:t>
      </w:r>
    </w:p>
    <w:p>
      <w:pPr>
        <w:pStyle w:val="4"/>
        <w:shd w:val="clear" w:color="auto" w:fill="FFFFFF"/>
        <w:spacing w:before="0" w:beforeAutospacing="0" w:after="225" w:afterAutospacing="0" w:line="360" w:lineRule="atLeas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（二）</w:t>
      </w:r>
      <w:r>
        <w:rPr>
          <w:rFonts w:ascii="仿宋" w:hAnsi="仿宋" w:eastAsia="仿宋" w:cs="Times New Roman"/>
          <w:kern w:val="2"/>
          <w:sz w:val="30"/>
          <w:szCs w:val="30"/>
        </w:rPr>
        <w:t>执行全乡的社会和经济发展计划、预算，管理本乡内的经济、教育、科技、文化、卫生、体育事业和财政、民政、治安、人民调解、安全生产监督管理、移民开发、计划生育等行政工作</w:t>
      </w:r>
      <w:r>
        <w:rPr>
          <w:rFonts w:hint="eastAsia" w:ascii="仿宋" w:hAnsi="仿宋" w:eastAsia="仿宋" w:cs="Times New Roman"/>
          <w:kern w:val="2"/>
          <w:sz w:val="30"/>
          <w:szCs w:val="30"/>
        </w:rPr>
        <w:t>。</w:t>
      </w:r>
    </w:p>
    <w:p>
      <w:pPr>
        <w:pStyle w:val="4"/>
        <w:shd w:val="clear" w:color="auto" w:fill="FFFFFF"/>
        <w:spacing w:before="0" w:beforeAutospacing="0" w:after="225" w:afterAutospacing="0" w:line="360" w:lineRule="atLeas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（三）</w:t>
      </w:r>
      <w:r>
        <w:rPr>
          <w:rFonts w:ascii="仿宋" w:hAnsi="仿宋" w:eastAsia="仿宋" w:cs="Times New Roman"/>
          <w:kern w:val="2"/>
          <w:sz w:val="30"/>
          <w:szCs w:val="30"/>
        </w:rPr>
        <w:t>保护社会主义的全民所有财产和劳动群众集体所有财产，保护公民私人所有的合法财产，维护社会秩序，保障公民的人身权利、民主权利和其他权利</w:t>
      </w:r>
      <w:r>
        <w:rPr>
          <w:rFonts w:hint="eastAsia" w:ascii="仿宋" w:hAnsi="仿宋" w:eastAsia="仿宋" w:cs="Times New Roman"/>
          <w:kern w:val="2"/>
          <w:sz w:val="30"/>
          <w:szCs w:val="30"/>
        </w:rPr>
        <w:t>。</w:t>
      </w:r>
    </w:p>
    <w:p>
      <w:pPr>
        <w:pStyle w:val="4"/>
        <w:shd w:val="clear" w:color="auto" w:fill="FFFFFF"/>
        <w:spacing w:before="0" w:beforeAutospacing="0" w:after="225" w:afterAutospacing="0" w:line="360" w:lineRule="atLeas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（四）</w:t>
      </w:r>
      <w:r>
        <w:rPr>
          <w:rFonts w:ascii="仿宋" w:hAnsi="仿宋" w:eastAsia="仿宋" w:cs="Times New Roman"/>
          <w:kern w:val="2"/>
          <w:sz w:val="30"/>
          <w:szCs w:val="30"/>
        </w:rPr>
        <w:t>保护各种经济组织的合法权益</w:t>
      </w:r>
      <w:r>
        <w:rPr>
          <w:rFonts w:hint="eastAsia" w:ascii="仿宋" w:hAnsi="仿宋" w:eastAsia="仿宋" w:cs="Times New Roman"/>
          <w:kern w:val="2"/>
          <w:sz w:val="30"/>
          <w:szCs w:val="30"/>
        </w:rPr>
        <w:t>。</w:t>
      </w:r>
    </w:p>
    <w:p>
      <w:pPr>
        <w:pStyle w:val="4"/>
        <w:shd w:val="clear" w:color="auto" w:fill="FFFFFF"/>
        <w:spacing w:before="0" w:beforeAutospacing="0" w:after="225" w:afterAutospacing="0" w:line="360" w:lineRule="atLeas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（五）</w:t>
      </w:r>
      <w:r>
        <w:rPr>
          <w:rFonts w:ascii="仿宋" w:hAnsi="仿宋" w:eastAsia="仿宋" w:cs="Times New Roman"/>
          <w:kern w:val="2"/>
          <w:sz w:val="30"/>
          <w:szCs w:val="30"/>
        </w:rPr>
        <w:t>贯彻执行党和国家的民族宗教政策，保障少数民族的权利和尊重少数民族的风俗习惯，尊重民族宗教信仰</w:t>
      </w:r>
      <w:r>
        <w:rPr>
          <w:rFonts w:hint="eastAsia" w:ascii="仿宋" w:hAnsi="仿宋" w:eastAsia="仿宋" w:cs="Times New Roman"/>
          <w:kern w:val="2"/>
          <w:sz w:val="30"/>
          <w:szCs w:val="30"/>
        </w:rPr>
        <w:t>。</w:t>
      </w:r>
    </w:p>
    <w:p>
      <w:pPr>
        <w:pStyle w:val="4"/>
        <w:shd w:val="clear" w:color="auto" w:fill="FFFFFF"/>
        <w:spacing w:before="0" w:beforeAutospacing="0" w:after="225" w:afterAutospacing="0" w:line="360" w:lineRule="atLeas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（六）</w:t>
      </w:r>
      <w:r>
        <w:rPr>
          <w:rFonts w:ascii="仿宋" w:hAnsi="仿宋" w:eastAsia="仿宋" w:cs="Times New Roman"/>
          <w:kern w:val="2"/>
          <w:sz w:val="30"/>
          <w:szCs w:val="30"/>
        </w:rPr>
        <w:t>保障宪法和法律赋予妇女的男女平等、婚姻自由等各项权利</w:t>
      </w:r>
      <w:r>
        <w:rPr>
          <w:rFonts w:hint="eastAsia" w:ascii="仿宋" w:hAnsi="仿宋" w:eastAsia="仿宋" w:cs="Times New Roman"/>
          <w:kern w:val="2"/>
          <w:sz w:val="30"/>
          <w:szCs w:val="30"/>
        </w:rPr>
        <w:t>。</w:t>
      </w:r>
    </w:p>
    <w:p>
      <w:pPr>
        <w:pStyle w:val="4"/>
        <w:shd w:val="clear" w:color="auto" w:fill="FFFFFF"/>
        <w:spacing w:before="0" w:beforeAutospacing="0" w:after="225" w:afterAutospacing="0" w:line="360" w:lineRule="atLeas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（七）</w:t>
      </w:r>
      <w:r>
        <w:rPr>
          <w:rFonts w:ascii="仿宋" w:hAnsi="仿宋" w:eastAsia="仿宋" w:cs="Times New Roman"/>
          <w:kern w:val="2"/>
          <w:sz w:val="30"/>
          <w:szCs w:val="30"/>
        </w:rPr>
        <w:t>办理上级人民政府交办的其他事项。</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纳入本套部门决算汇编范围的单位共3个，包括：三角乡人民政府</w:t>
      </w:r>
      <w:r>
        <w:rPr>
          <w:rFonts w:hint="eastAsia" w:ascii="仿宋" w:hAnsi="仿宋" w:eastAsia="仿宋"/>
          <w:sz w:val="30"/>
          <w:szCs w:val="30"/>
          <w:lang w:eastAsia="zh-CN"/>
        </w:rPr>
        <w:t>，</w:t>
      </w:r>
      <w:r>
        <w:rPr>
          <w:rFonts w:hint="eastAsia" w:ascii="仿宋" w:hAnsi="仿宋" w:eastAsia="仿宋"/>
          <w:sz w:val="30"/>
          <w:szCs w:val="30"/>
        </w:rPr>
        <w:t>内设党政</w:t>
      </w:r>
      <w:r>
        <w:rPr>
          <w:rFonts w:hint="eastAsia" w:ascii="仿宋" w:hAnsi="仿宋" w:eastAsia="仿宋"/>
          <w:sz w:val="30"/>
          <w:szCs w:val="30"/>
          <w:lang w:eastAsia="zh-CN"/>
        </w:rPr>
        <w:t>综合</w:t>
      </w:r>
      <w:r>
        <w:rPr>
          <w:rFonts w:hint="eastAsia" w:ascii="仿宋" w:hAnsi="仿宋" w:eastAsia="仿宋"/>
          <w:sz w:val="30"/>
          <w:szCs w:val="30"/>
        </w:rPr>
        <w:t>办公室、社会事务办公室、社会治</w:t>
      </w:r>
      <w:r>
        <w:rPr>
          <w:rFonts w:hint="eastAsia" w:ascii="仿宋" w:hAnsi="仿宋" w:eastAsia="仿宋"/>
          <w:sz w:val="30"/>
          <w:szCs w:val="30"/>
          <w:lang w:eastAsia="zh-CN"/>
        </w:rPr>
        <w:t>安综合治理</w:t>
      </w:r>
      <w:r>
        <w:rPr>
          <w:rFonts w:hint="eastAsia" w:ascii="仿宋" w:hAnsi="仿宋" w:eastAsia="仿宋"/>
          <w:sz w:val="30"/>
          <w:szCs w:val="30"/>
        </w:rPr>
        <w:t>办公室、财政经济</w:t>
      </w:r>
      <w:r>
        <w:rPr>
          <w:rFonts w:hint="eastAsia" w:ascii="仿宋" w:hAnsi="仿宋" w:eastAsia="仿宋"/>
          <w:sz w:val="30"/>
          <w:szCs w:val="30"/>
          <w:lang w:eastAsia="zh-CN"/>
        </w:rPr>
        <w:t>发展</w:t>
      </w:r>
      <w:r>
        <w:rPr>
          <w:rFonts w:hint="eastAsia" w:ascii="仿宋" w:hAnsi="仿宋" w:eastAsia="仿宋"/>
          <w:sz w:val="30"/>
          <w:szCs w:val="30"/>
        </w:rPr>
        <w:t>办公室、农业农村办公室五个办公室</w:t>
      </w:r>
      <w:r>
        <w:rPr>
          <w:rFonts w:hint="eastAsia" w:ascii="仿宋" w:hAnsi="仿宋" w:eastAsia="仿宋"/>
          <w:sz w:val="30"/>
          <w:szCs w:val="30"/>
          <w:lang w:eastAsia="zh-CN"/>
        </w:rPr>
        <w:t>；</w:t>
      </w:r>
      <w:r>
        <w:rPr>
          <w:rFonts w:hint="eastAsia" w:ascii="仿宋" w:hAnsi="仿宋" w:eastAsia="仿宋"/>
          <w:sz w:val="30"/>
          <w:szCs w:val="30"/>
        </w:rPr>
        <w:t>三角乡便民服务中心（综治中心）</w:t>
      </w:r>
      <w:r>
        <w:rPr>
          <w:rFonts w:hint="eastAsia" w:ascii="仿宋" w:hAnsi="仿宋" w:eastAsia="仿宋"/>
          <w:sz w:val="30"/>
          <w:szCs w:val="30"/>
          <w:lang w:eastAsia="zh-CN"/>
        </w:rPr>
        <w:t>；</w:t>
      </w:r>
      <w:r>
        <w:rPr>
          <w:rFonts w:hint="eastAsia" w:ascii="仿宋" w:hAnsi="仿宋" w:eastAsia="仿宋"/>
          <w:sz w:val="30"/>
          <w:szCs w:val="30"/>
        </w:rPr>
        <w:t>三角乡综合行政执法大队。</w:t>
      </w:r>
    </w:p>
    <w:p>
      <w:pPr>
        <w:ind w:firstLine="630"/>
        <w:jc w:val="left"/>
        <w:rPr>
          <w:rFonts w:ascii="仿宋" w:hAnsi="仿宋" w:eastAsia="仿宋"/>
          <w:sz w:val="30"/>
          <w:szCs w:val="30"/>
        </w:rPr>
      </w:pPr>
      <w:r>
        <w:rPr>
          <w:rFonts w:hint="eastAsia" w:ascii="仿宋" w:hAnsi="仿宋" w:eastAsia="仿宋"/>
          <w:sz w:val="30"/>
          <w:szCs w:val="30"/>
        </w:rPr>
        <w:t>本部门2020年年末实有人数68人，其中在职人员50人</w:t>
      </w:r>
      <w:r>
        <w:rPr>
          <w:rFonts w:hint="eastAsia" w:ascii="仿宋" w:hAnsi="仿宋" w:eastAsia="仿宋"/>
          <w:sz w:val="30"/>
          <w:szCs w:val="30"/>
          <w:lang w:eastAsia="zh-CN"/>
        </w:rPr>
        <w:t>（在编行政工作人员</w:t>
      </w:r>
      <w:r>
        <w:rPr>
          <w:rFonts w:hint="eastAsia" w:ascii="仿宋" w:hAnsi="仿宋" w:eastAsia="仿宋"/>
          <w:sz w:val="30"/>
          <w:szCs w:val="30"/>
          <w:lang w:val="en-US" w:eastAsia="zh-CN"/>
        </w:rPr>
        <w:t>25</w:t>
      </w:r>
      <w:r>
        <w:rPr>
          <w:rFonts w:hint="eastAsia" w:ascii="仿宋" w:hAnsi="仿宋" w:eastAsia="仿宋"/>
          <w:sz w:val="30"/>
          <w:szCs w:val="30"/>
          <w:lang w:eastAsia="zh-CN"/>
        </w:rPr>
        <w:t>人，</w:t>
      </w:r>
      <w:r>
        <w:rPr>
          <w:rFonts w:hint="eastAsia" w:ascii="仿宋" w:hAnsi="仿宋" w:eastAsia="仿宋" w:cs="Times New Roman"/>
          <w:sz w:val="30"/>
          <w:szCs w:val="30"/>
          <w:lang w:val="en-US" w:eastAsia="zh-CN"/>
        </w:rPr>
        <w:t>在编事业工作人员25人）</w:t>
      </w:r>
      <w:r>
        <w:rPr>
          <w:rFonts w:hint="eastAsia" w:ascii="仿宋" w:hAnsi="仿宋" w:eastAsia="仿宋"/>
          <w:sz w:val="30"/>
          <w:szCs w:val="30"/>
        </w:rPr>
        <w:t>，退休人员18人。</w:t>
      </w:r>
    </w:p>
    <w:p>
      <w:pPr>
        <w:widowControl/>
        <w:spacing w:line="600" w:lineRule="exact"/>
        <w:ind w:firstLine="640"/>
        <w:jc w:val="center"/>
        <w:rPr>
          <w:rFonts w:ascii="宋体" w:hAnsi="宋体"/>
          <w:b/>
          <w:sz w:val="32"/>
          <w:szCs w:val="32"/>
        </w:rPr>
      </w:pPr>
      <w:r>
        <w:rPr>
          <w:rFonts w:hint="eastAsia" w:ascii="宋体" w:hAnsi="宋体"/>
          <w:b/>
          <w:sz w:val="32"/>
          <w:szCs w:val="32"/>
        </w:rPr>
        <w:t>第二部分  2020年度部门决算表</w:t>
      </w:r>
    </w:p>
    <w:p>
      <w:pPr>
        <w:autoSpaceDE w:val="0"/>
        <w:autoSpaceDN w:val="0"/>
        <w:adjustRightInd w:val="0"/>
        <w:spacing w:line="360" w:lineRule="auto"/>
        <w:ind w:firstLine="640" w:firstLineChars="200"/>
        <w:jc w:val="left"/>
        <w:rPr>
          <w:szCs w:val="30"/>
        </w:rPr>
      </w:pPr>
      <w:r>
        <w:rPr>
          <w:rFonts w:hint="eastAsia" w:ascii="宋体" w:hAnsi="宋体"/>
          <w:sz w:val="32"/>
          <w:szCs w:val="32"/>
        </w:rPr>
        <w:t>(详见十张附表)</w:t>
      </w:r>
    </w:p>
    <w:p>
      <w:pPr>
        <w:widowControl/>
        <w:spacing w:line="600" w:lineRule="exact"/>
        <w:ind w:firstLine="640"/>
        <w:jc w:val="left"/>
        <w:rPr>
          <w:rFonts w:ascii="宋体" w:hAnsi="宋体"/>
          <w:b/>
          <w:sz w:val="32"/>
          <w:szCs w:val="32"/>
        </w:rPr>
      </w:pPr>
    </w:p>
    <w:p>
      <w:pPr>
        <w:widowControl/>
        <w:spacing w:line="600" w:lineRule="exact"/>
        <w:ind w:firstLine="640"/>
        <w:jc w:val="center"/>
        <w:rPr>
          <w:rFonts w:ascii="宋体" w:hAnsi="宋体"/>
          <w:b/>
          <w:sz w:val="32"/>
          <w:szCs w:val="32"/>
        </w:rPr>
      </w:pPr>
      <w:r>
        <w:rPr>
          <w:rFonts w:hint="eastAsia" w:ascii="宋体" w:hAnsi="宋体"/>
          <w:b/>
          <w:sz w:val="32"/>
          <w:szCs w:val="32"/>
        </w:rPr>
        <w:t>第三部分  2020年度部门决算情况说明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ascii="仿宋" w:hAnsi="仿宋" w:eastAsia="仿宋"/>
          <w:sz w:val="30"/>
          <w:szCs w:val="30"/>
        </w:rPr>
      </w:pPr>
      <w:r>
        <w:rPr>
          <w:rFonts w:hint="eastAsia" w:ascii="仿宋" w:hAnsi="仿宋" w:eastAsia="仿宋"/>
          <w:sz w:val="30"/>
          <w:szCs w:val="30"/>
        </w:rPr>
        <w:t>本部门2020年度收入总计4931.17万元，其中年初结转和结余0万元；本年收入合计4931.17万元，较2019年增加2837.92万元，增长135.57% ，主要原因是：财政拨款收入增加。</w:t>
      </w:r>
    </w:p>
    <w:p>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本年收入的具体构成为：财政拨款收入4931.17万元，占100%；事业收入0万元，占0%；经营收入0万元，占0%；其他收入0万元，占0%。  </w:t>
      </w:r>
    </w:p>
    <w:p>
      <w:pPr>
        <w:ind w:firstLine="630"/>
        <w:jc w:val="left"/>
        <w:rPr>
          <w:rFonts w:ascii="仿宋" w:hAnsi="仿宋" w:eastAsia="仿宋"/>
          <w:sz w:val="30"/>
          <w:szCs w:val="30"/>
        </w:rPr>
      </w:pP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sz w:val="30"/>
          <w:szCs w:val="30"/>
        </w:rPr>
        <w:t>本部门2020年度支出总计4931.17万元，其中本年支出合计4931.17万元，较2019年增加2837.92万元，增长135.57 %，主要原因是：本年度遭受洪灾，抗洪减灾支出增加。；年末结转和结余0万元，较2019年增加（减少）0万元，增长（下降）0%，主要原因是：无。</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本年支出的具体构成为：基本支出4931.17万元，占100%；项目支出0万元，占0%；经营支出0万元，占0%；其他支出（对附属单位补助支出、上缴上级支出）0万元，占0%。</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本部门2020年度财政拨款本年支出年初预算数为 4492.4</w:t>
      </w:r>
      <w:r>
        <w:rPr>
          <w:rFonts w:hint="eastAsia" w:ascii="仿宋_GB2312" w:eastAsia="仿宋_GB2312"/>
          <w:sz w:val="32"/>
          <w:szCs w:val="30"/>
        </w:rPr>
        <w:t xml:space="preserve"> </w:t>
      </w:r>
      <w:r>
        <w:rPr>
          <w:rFonts w:hint="eastAsia" w:ascii="仿宋" w:hAnsi="仿宋" w:eastAsia="仿宋"/>
          <w:sz w:val="30"/>
          <w:szCs w:val="30"/>
        </w:rPr>
        <w:t>万元，决算数为4931.17万元，完成年初预算的109.77%。其中：</w:t>
      </w:r>
    </w:p>
    <w:p>
      <w:pPr>
        <w:ind w:firstLine="630"/>
        <w:jc w:val="left"/>
        <w:rPr>
          <w:rFonts w:ascii="仿宋" w:hAnsi="仿宋" w:eastAsia="仿宋"/>
          <w:sz w:val="30"/>
          <w:szCs w:val="30"/>
        </w:rPr>
      </w:pPr>
      <w:r>
        <w:rPr>
          <w:rFonts w:hint="eastAsia" w:ascii="仿宋" w:hAnsi="仿宋" w:eastAsia="仿宋"/>
          <w:sz w:val="30"/>
          <w:szCs w:val="30"/>
        </w:rPr>
        <w:t>（一）一般公共服务支出年初预算数为4168.24万元，决算数为1493.4万元，完成年初预算的35.83%，主要原因是：厉行节约，精简开支并调整了预算减少了一般公共服务支出。</w:t>
      </w:r>
    </w:p>
    <w:p>
      <w:pPr>
        <w:ind w:firstLine="630"/>
        <w:jc w:val="left"/>
        <w:rPr>
          <w:rFonts w:ascii="仿宋" w:hAnsi="仿宋" w:eastAsia="仿宋"/>
          <w:sz w:val="30"/>
          <w:szCs w:val="30"/>
        </w:rPr>
      </w:pPr>
      <w:r>
        <w:rPr>
          <w:rFonts w:hint="eastAsia" w:ascii="仿宋" w:hAnsi="仿宋" w:eastAsia="仿宋"/>
          <w:sz w:val="30"/>
          <w:szCs w:val="30"/>
        </w:rPr>
        <w:t>（二）公共安全支出年初预算数为0万元，决算数为26.27 万元，主要原因是：调整预算增加了公共安全支出。</w:t>
      </w:r>
    </w:p>
    <w:p>
      <w:pPr>
        <w:ind w:firstLine="630"/>
        <w:jc w:val="left"/>
        <w:rPr>
          <w:rFonts w:ascii="仿宋" w:hAnsi="仿宋" w:eastAsia="仿宋"/>
          <w:sz w:val="30"/>
          <w:szCs w:val="30"/>
        </w:rPr>
      </w:pPr>
      <w:r>
        <w:rPr>
          <w:rFonts w:hint="eastAsia" w:ascii="仿宋" w:hAnsi="仿宋" w:eastAsia="仿宋"/>
          <w:sz w:val="30"/>
          <w:szCs w:val="30"/>
        </w:rPr>
        <w:t>（三）教育支出年初预算数为0万元，决算数为776.30万元，主要原因是：调整预算增加了教育支出。</w:t>
      </w:r>
    </w:p>
    <w:p>
      <w:pPr>
        <w:ind w:firstLine="630"/>
        <w:jc w:val="left"/>
        <w:rPr>
          <w:rFonts w:ascii="仿宋" w:hAnsi="仿宋" w:eastAsia="仿宋"/>
          <w:sz w:val="30"/>
          <w:szCs w:val="30"/>
        </w:rPr>
      </w:pPr>
      <w:r>
        <w:rPr>
          <w:rFonts w:hint="eastAsia" w:ascii="仿宋" w:hAnsi="仿宋" w:eastAsia="仿宋"/>
          <w:sz w:val="30"/>
          <w:szCs w:val="30"/>
        </w:rPr>
        <w:t>（四）科学技术支出年初预算数为0万元，决算数为143.32万元，主要原因是：调整预算增加了科学技术支出。</w:t>
      </w:r>
    </w:p>
    <w:p>
      <w:pPr>
        <w:ind w:firstLine="630"/>
        <w:jc w:val="left"/>
        <w:rPr>
          <w:rFonts w:ascii="仿宋" w:hAnsi="仿宋" w:eastAsia="仿宋"/>
          <w:sz w:val="30"/>
          <w:szCs w:val="30"/>
        </w:rPr>
      </w:pPr>
      <w:r>
        <w:rPr>
          <w:rFonts w:hint="eastAsia" w:ascii="仿宋" w:hAnsi="仿宋" w:eastAsia="仿宋"/>
          <w:sz w:val="30"/>
          <w:szCs w:val="30"/>
        </w:rPr>
        <w:t>（五）</w:t>
      </w:r>
      <w:r>
        <w:rPr>
          <w:rFonts w:hint="eastAsia" w:ascii="仿宋_GB2312" w:hAnsi="仿宋" w:eastAsia="仿宋_GB2312"/>
          <w:sz w:val="32"/>
          <w:szCs w:val="32"/>
        </w:rPr>
        <w:t>文化体育与传媒支出</w:t>
      </w:r>
      <w:r>
        <w:rPr>
          <w:rFonts w:hint="eastAsia" w:ascii="仿宋" w:hAnsi="仿宋" w:eastAsia="仿宋"/>
          <w:sz w:val="30"/>
          <w:szCs w:val="30"/>
        </w:rPr>
        <w:t>年初预算数为</w:t>
      </w:r>
      <w:r>
        <w:rPr>
          <w:rFonts w:hint="eastAsia" w:ascii="仿宋_GB2312" w:hAnsi="仿宋" w:eastAsia="仿宋_GB2312"/>
          <w:sz w:val="32"/>
          <w:szCs w:val="32"/>
        </w:rPr>
        <w:t>11.13万元，</w:t>
      </w:r>
      <w:r>
        <w:rPr>
          <w:rFonts w:hint="eastAsia" w:ascii="仿宋" w:hAnsi="仿宋" w:eastAsia="仿宋"/>
          <w:sz w:val="30"/>
          <w:szCs w:val="30"/>
        </w:rPr>
        <w:t>决算数为52.32万元，完成年初预算的470.08%，主要原因是：调整预算增加了</w:t>
      </w:r>
      <w:r>
        <w:rPr>
          <w:rFonts w:hint="eastAsia" w:ascii="仿宋_GB2312" w:hAnsi="仿宋" w:eastAsia="仿宋_GB2312"/>
          <w:sz w:val="32"/>
          <w:szCs w:val="32"/>
        </w:rPr>
        <w:t>文化体育与传媒</w:t>
      </w:r>
      <w:r>
        <w:rPr>
          <w:rFonts w:hint="eastAsia" w:ascii="仿宋" w:hAnsi="仿宋" w:eastAsia="仿宋"/>
          <w:sz w:val="30"/>
          <w:szCs w:val="30"/>
        </w:rPr>
        <w:t>支出。</w:t>
      </w:r>
    </w:p>
    <w:p>
      <w:pPr>
        <w:ind w:firstLine="630"/>
        <w:jc w:val="left"/>
        <w:rPr>
          <w:rFonts w:ascii="仿宋" w:hAnsi="仿宋" w:eastAsia="仿宋"/>
          <w:sz w:val="30"/>
          <w:szCs w:val="30"/>
        </w:rPr>
      </w:pPr>
      <w:r>
        <w:rPr>
          <w:rFonts w:hint="eastAsia" w:ascii="仿宋" w:hAnsi="仿宋" w:eastAsia="仿宋"/>
          <w:sz w:val="30"/>
          <w:szCs w:val="30"/>
        </w:rPr>
        <w:t>（六）</w:t>
      </w:r>
      <w:r>
        <w:rPr>
          <w:rFonts w:hint="eastAsia" w:ascii="仿宋_GB2312" w:hAnsi="仿宋" w:eastAsia="仿宋_GB2312"/>
          <w:sz w:val="32"/>
          <w:szCs w:val="32"/>
        </w:rPr>
        <w:t>社会保障和就业支出</w:t>
      </w:r>
      <w:r>
        <w:rPr>
          <w:rFonts w:hint="eastAsia" w:ascii="仿宋" w:hAnsi="仿宋" w:eastAsia="仿宋"/>
          <w:sz w:val="30"/>
          <w:szCs w:val="30"/>
        </w:rPr>
        <w:t>年初预算数为</w:t>
      </w:r>
      <w:r>
        <w:rPr>
          <w:rFonts w:hint="eastAsia" w:ascii="仿宋_GB2312" w:hAnsi="仿宋" w:eastAsia="仿宋_GB2312"/>
          <w:sz w:val="32"/>
          <w:szCs w:val="32"/>
        </w:rPr>
        <w:t>34.26万元，</w:t>
      </w:r>
      <w:r>
        <w:rPr>
          <w:rFonts w:hint="eastAsia" w:ascii="仿宋" w:hAnsi="仿宋" w:eastAsia="仿宋"/>
          <w:sz w:val="30"/>
          <w:szCs w:val="30"/>
        </w:rPr>
        <w:t>决算数为72.45万元，完成年初预算的211.47%，主要原因是：调整预算增加了</w:t>
      </w:r>
      <w:r>
        <w:rPr>
          <w:rFonts w:hint="eastAsia" w:ascii="仿宋_GB2312" w:hAnsi="仿宋" w:eastAsia="仿宋_GB2312"/>
          <w:sz w:val="32"/>
          <w:szCs w:val="32"/>
        </w:rPr>
        <w:t>社会保障和就业</w:t>
      </w:r>
      <w:r>
        <w:rPr>
          <w:rFonts w:hint="eastAsia" w:ascii="仿宋" w:hAnsi="仿宋" w:eastAsia="仿宋"/>
          <w:sz w:val="30"/>
          <w:szCs w:val="30"/>
        </w:rPr>
        <w:t>支出。</w:t>
      </w:r>
    </w:p>
    <w:p>
      <w:pPr>
        <w:ind w:firstLine="630"/>
        <w:jc w:val="left"/>
        <w:rPr>
          <w:rFonts w:ascii="仿宋" w:hAnsi="仿宋" w:eastAsia="仿宋"/>
          <w:sz w:val="30"/>
          <w:szCs w:val="30"/>
        </w:rPr>
      </w:pPr>
      <w:r>
        <w:rPr>
          <w:rFonts w:hint="eastAsia" w:ascii="仿宋" w:hAnsi="仿宋" w:eastAsia="仿宋"/>
          <w:sz w:val="30"/>
          <w:szCs w:val="30"/>
        </w:rPr>
        <w:t>（七）卫生健康支出年初预算数为34.09万元，决算数为270.91万元，完成年初预算的794.69%，主要原因是：调整预算增加了卫生健康支出。</w:t>
      </w:r>
    </w:p>
    <w:p>
      <w:pPr>
        <w:numPr>
          <w:ilvl w:val="0"/>
          <w:numId w:val="2"/>
        </w:numPr>
        <w:ind w:firstLine="630"/>
        <w:jc w:val="left"/>
        <w:rPr>
          <w:rFonts w:ascii="仿宋" w:hAnsi="仿宋" w:eastAsia="仿宋"/>
          <w:sz w:val="30"/>
          <w:szCs w:val="30"/>
        </w:rPr>
      </w:pPr>
      <w:r>
        <w:rPr>
          <w:rFonts w:hint="eastAsia" w:ascii="仿宋" w:hAnsi="仿宋" w:eastAsia="仿宋"/>
          <w:sz w:val="30"/>
          <w:szCs w:val="30"/>
        </w:rPr>
        <w:t>节能环保支出年初预算数为0万元，决算数为207.81万元，主要原因是：调整预算增加了节能环保支出。</w:t>
      </w:r>
    </w:p>
    <w:p>
      <w:pPr>
        <w:numPr>
          <w:ilvl w:val="0"/>
          <w:numId w:val="2"/>
        </w:numPr>
        <w:ind w:firstLine="630"/>
        <w:jc w:val="left"/>
        <w:rPr>
          <w:rFonts w:ascii="仿宋" w:hAnsi="仿宋" w:eastAsia="仿宋"/>
          <w:sz w:val="30"/>
          <w:szCs w:val="30"/>
        </w:rPr>
      </w:pPr>
      <w:r>
        <w:rPr>
          <w:rFonts w:hint="eastAsia" w:ascii="仿宋" w:hAnsi="仿宋" w:eastAsia="仿宋"/>
          <w:sz w:val="30"/>
          <w:szCs w:val="30"/>
        </w:rPr>
        <w:t>城乡社区支出年初预算数为0万元，决算数为1533.90万元，主要原因是：调整预算增加了城乡社区支出。</w:t>
      </w:r>
    </w:p>
    <w:p>
      <w:pPr>
        <w:numPr>
          <w:ilvl w:val="0"/>
          <w:numId w:val="2"/>
        </w:numPr>
        <w:ind w:firstLine="630"/>
        <w:jc w:val="left"/>
        <w:rPr>
          <w:rFonts w:ascii="仿宋" w:hAnsi="仿宋" w:eastAsia="仿宋"/>
          <w:sz w:val="30"/>
          <w:szCs w:val="30"/>
        </w:rPr>
      </w:pPr>
      <w:r>
        <w:rPr>
          <w:rFonts w:hint="eastAsia" w:ascii="仿宋" w:hAnsi="仿宋" w:eastAsia="仿宋"/>
          <w:sz w:val="30"/>
          <w:szCs w:val="30"/>
        </w:rPr>
        <w:t>农林水支出年初预算数为227.06万元，决算数为334.57万元，完成年初预算的147.35%，主要原因是：调整预算增加了农林水支出。</w:t>
      </w:r>
    </w:p>
    <w:p>
      <w:pPr>
        <w:numPr>
          <w:ilvl w:val="0"/>
          <w:numId w:val="2"/>
        </w:numPr>
        <w:ind w:firstLine="630"/>
        <w:jc w:val="left"/>
        <w:rPr>
          <w:rFonts w:ascii="仿宋" w:hAnsi="仿宋" w:eastAsia="仿宋"/>
          <w:sz w:val="30"/>
          <w:szCs w:val="30"/>
        </w:rPr>
      </w:pPr>
      <w:r>
        <w:rPr>
          <w:rFonts w:hint="eastAsia" w:ascii="仿宋" w:hAnsi="仿宋" w:eastAsia="仿宋"/>
          <w:sz w:val="30"/>
          <w:szCs w:val="30"/>
        </w:rPr>
        <w:t>住房保障支出年初预算数为17.62万元，决算数为19.92万元，完成年初预算的113.05%，主要原因是：调整预算增加了住房保障支出。</w:t>
      </w: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本部门2020年度一般公共预算财政拨款基本支出3473.93万元，其中：</w:t>
      </w:r>
    </w:p>
    <w:p>
      <w:pPr>
        <w:ind w:firstLine="585"/>
        <w:jc w:val="left"/>
        <w:rPr>
          <w:rFonts w:ascii="仿宋" w:hAnsi="仿宋" w:eastAsia="仿宋"/>
          <w:sz w:val="30"/>
          <w:szCs w:val="30"/>
        </w:rPr>
      </w:pPr>
      <w:r>
        <w:rPr>
          <w:rFonts w:hint="eastAsia" w:ascii="仿宋" w:hAnsi="仿宋" w:eastAsia="仿宋"/>
          <w:sz w:val="30"/>
          <w:szCs w:val="30"/>
        </w:rPr>
        <w:t>（一）工资福利支出</w:t>
      </w:r>
      <w:r>
        <w:rPr>
          <w:rFonts w:hint="eastAsia" w:ascii="仿宋_GB2312" w:hAnsi="仿宋" w:eastAsia="仿宋_GB2312"/>
          <w:sz w:val="32"/>
          <w:szCs w:val="32"/>
        </w:rPr>
        <w:t>488.69</w:t>
      </w:r>
      <w:r>
        <w:rPr>
          <w:rFonts w:hint="eastAsia" w:ascii="仿宋" w:hAnsi="仿宋" w:eastAsia="仿宋"/>
          <w:sz w:val="30"/>
          <w:szCs w:val="30"/>
        </w:rPr>
        <w:t>万元，较2019年增加125.23 万元，增长34.45%，主要原因是：人员增加及工资上涨。</w:t>
      </w:r>
    </w:p>
    <w:p>
      <w:pPr>
        <w:ind w:firstLine="585"/>
        <w:jc w:val="left"/>
        <w:rPr>
          <w:rFonts w:ascii="仿宋" w:hAnsi="仿宋" w:eastAsia="仿宋"/>
          <w:sz w:val="30"/>
          <w:szCs w:val="30"/>
        </w:rPr>
      </w:pPr>
      <w:r>
        <w:rPr>
          <w:rFonts w:hint="eastAsia" w:ascii="仿宋" w:hAnsi="仿宋" w:eastAsia="仿宋"/>
          <w:sz w:val="30"/>
          <w:szCs w:val="30"/>
        </w:rPr>
        <w:t>（二）商品和服务支出</w:t>
      </w:r>
      <w:r>
        <w:rPr>
          <w:rFonts w:hint="eastAsia" w:ascii="仿宋_GB2312" w:hAnsi="仿宋" w:eastAsia="仿宋_GB2312"/>
          <w:sz w:val="32"/>
          <w:szCs w:val="32"/>
        </w:rPr>
        <w:t>2483.61</w:t>
      </w:r>
      <w:r>
        <w:rPr>
          <w:rFonts w:hint="eastAsia" w:ascii="仿宋" w:hAnsi="仿宋" w:eastAsia="仿宋"/>
          <w:sz w:val="30"/>
          <w:szCs w:val="30"/>
        </w:rPr>
        <w:t>万元，较2019年增加1276.47万元，增长105.74 %，主要原因是：2020年洪涝灾害，减灾救灾开支增加。</w:t>
      </w:r>
    </w:p>
    <w:p>
      <w:pPr>
        <w:ind w:firstLine="585"/>
        <w:jc w:val="left"/>
        <w:rPr>
          <w:rFonts w:ascii="仿宋" w:hAnsi="仿宋" w:eastAsia="仿宋"/>
          <w:sz w:val="30"/>
          <w:szCs w:val="30"/>
        </w:rPr>
      </w:pPr>
      <w:r>
        <w:rPr>
          <w:rFonts w:hint="eastAsia" w:ascii="仿宋" w:hAnsi="仿宋" w:eastAsia="仿宋"/>
          <w:sz w:val="30"/>
          <w:szCs w:val="30"/>
        </w:rPr>
        <w:t>（三）对个人和家庭补助支出484.63万元，较2019年增加356.49万元，增长278.20%，主要原因是：经费开支增加。</w:t>
      </w:r>
    </w:p>
    <w:p>
      <w:pPr>
        <w:ind w:firstLine="585"/>
        <w:jc w:val="left"/>
        <w:rPr>
          <w:rFonts w:ascii="仿宋" w:hAnsi="仿宋" w:eastAsia="仿宋"/>
          <w:sz w:val="30"/>
          <w:szCs w:val="30"/>
        </w:rPr>
      </w:pPr>
      <w:r>
        <w:rPr>
          <w:rFonts w:hint="eastAsia" w:ascii="仿宋" w:hAnsi="仿宋" w:eastAsia="仿宋"/>
          <w:sz w:val="30"/>
          <w:szCs w:val="30"/>
        </w:rPr>
        <w:t>（四）资本性支出</w:t>
      </w:r>
      <w:r>
        <w:rPr>
          <w:rFonts w:hint="eastAsia" w:ascii="仿宋_GB2312" w:hAnsi="仿宋" w:eastAsia="仿宋_GB2312"/>
          <w:sz w:val="32"/>
          <w:szCs w:val="32"/>
        </w:rPr>
        <w:t>17</w:t>
      </w:r>
      <w:r>
        <w:rPr>
          <w:rFonts w:hint="eastAsia" w:ascii="仿宋" w:hAnsi="仿宋" w:eastAsia="仿宋"/>
          <w:sz w:val="30"/>
          <w:szCs w:val="30"/>
        </w:rPr>
        <w:t>万元，较2019年增加</w:t>
      </w:r>
      <w:r>
        <w:rPr>
          <w:rFonts w:hint="eastAsia" w:ascii="仿宋_GB2312" w:hAnsi="仿宋" w:eastAsia="仿宋_GB2312"/>
          <w:sz w:val="32"/>
          <w:szCs w:val="32"/>
        </w:rPr>
        <w:t>17</w:t>
      </w:r>
      <w:r>
        <w:rPr>
          <w:rFonts w:hint="eastAsia" w:ascii="仿宋" w:hAnsi="仿宋" w:eastAsia="仿宋"/>
          <w:sz w:val="30"/>
          <w:szCs w:val="30"/>
        </w:rPr>
        <w:t>万元，增长100%，主要原因是：购置公务用车。</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本部门2020年度一般公共预算财政拨款“三公”经费支出年初预算数为72.33万元，决算数为63万元，完成预算的87.10%，决算数较2019年增加14.5万元，增长29.90%，其中：</w:t>
      </w:r>
    </w:p>
    <w:p>
      <w:pPr>
        <w:numPr>
          <w:ilvl w:val="0"/>
          <w:numId w:val="3"/>
        </w:numPr>
        <w:ind w:firstLine="630"/>
        <w:jc w:val="left"/>
        <w:rPr>
          <w:rFonts w:ascii="仿宋" w:hAnsi="仿宋" w:eastAsia="仿宋"/>
          <w:sz w:val="30"/>
          <w:szCs w:val="30"/>
        </w:rPr>
      </w:pPr>
      <w:r>
        <w:rPr>
          <w:rFonts w:hint="eastAsia" w:ascii="仿宋" w:hAnsi="仿宋" w:eastAsia="仿宋"/>
          <w:sz w:val="30"/>
          <w:szCs w:val="30"/>
        </w:rPr>
        <w:t>因公出国（境）支出年初预算数为0万元，决算数为0  万元，完成预算的0%，决算数较2019年增加（减少）0万元，增长（下降）0%，主要原因是：无。决算数较年初预算数增加（减少）的主要原因是：无。全年安排因公出国（境）团组0个，累计0人次，主要为：无。</w:t>
      </w:r>
    </w:p>
    <w:p>
      <w:pPr>
        <w:numPr>
          <w:ilvl w:val="0"/>
          <w:numId w:val="3"/>
        </w:numPr>
        <w:ind w:firstLine="630"/>
        <w:jc w:val="left"/>
        <w:rPr>
          <w:rFonts w:ascii="仿宋" w:hAnsi="仿宋" w:eastAsia="仿宋"/>
          <w:sz w:val="30"/>
          <w:szCs w:val="30"/>
        </w:rPr>
      </w:pPr>
      <w:r>
        <w:rPr>
          <w:rFonts w:hint="eastAsia" w:ascii="仿宋" w:hAnsi="仿宋" w:eastAsia="仿宋"/>
          <w:sz w:val="30"/>
          <w:szCs w:val="30"/>
        </w:rPr>
        <w:t>公务接待费支出年初预算数为47.33万元，决算数为38万元，完成预算的80.29%，决算数较2019年减少0.8万元，下降2.06%。决算数较年初预算数减少的主要原因是：厉行节约，压缩公务接待费开支。全年国内公务接待800批，累计接待8000人次，其中外事接待0批，累计接待0人次，主要为：无。</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25万元，其中公务用车购置年初预算数为17万元，决算数为17万元，完成预算的100%，决算数较2019年增加17万元，增长100%。主要原因是2020年新购置公务用车，全年购置公务用车1辆。决算数较年初预算数持平的主要原因是：严格按预算执行开支；公务用车运行维护费支出年初预算数为8万元，决算数为8万元，完成预算的100%，决算数较2019年减少1.7万元，下降17.53%，主要原因是加强了公务用车的日常管理，减少了开支，年末公务用车保有2辆。决算数较年初预算数持平的主要原因是：严格按预算执行开支。</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sz w:val="30"/>
          <w:szCs w:val="30"/>
        </w:rPr>
        <w:t xml:space="preserve">本部门2020年度机关运行经费支出2500.61万元，较上年决算数增加1293.47万元，增长107.15%，主要原因是：2020年遭受洪灾，政府办公设备受损，办公设施设备购置经费增加，资产运行维护支出增加。 </w:t>
      </w:r>
    </w:p>
    <w:p>
      <w:pPr>
        <w:ind w:firstLine="630"/>
        <w:jc w:val="left"/>
        <w:rPr>
          <w:rFonts w:ascii="黑体" w:hAnsi="黑体" w:eastAsia="黑体"/>
          <w:sz w:val="30"/>
          <w:szCs w:val="30"/>
        </w:rPr>
      </w:pPr>
      <w:r>
        <w:rPr>
          <w:rFonts w:hint="eastAsia" w:ascii="仿宋" w:hAnsi="仿宋" w:eastAsia="仿宋"/>
          <w:sz w:val="30"/>
          <w:szCs w:val="30"/>
        </w:rPr>
        <w:t xml:space="preserve"> </w:t>
      </w:r>
      <w:r>
        <w:rPr>
          <w:rFonts w:hint="eastAsia" w:ascii="黑体" w:hAnsi="黑体" w:eastAsia="黑体"/>
          <w:sz w:val="30"/>
          <w:szCs w:val="30"/>
        </w:rPr>
        <w:t>七、政府采购支出情况说明</w:t>
      </w:r>
    </w:p>
    <w:p>
      <w:pPr>
        <w:pStyle w:val="8"/>
        <w:spacing w:line="600" w:lineRule="atLeast"/>
        <w:ind w:firstLine="600"/>
        <w:rPr>
          <w:rFonts w:ascii="仿宋" w:hAnsi="仿宋" w:eastAsia="仿宋"/>
          <w:sz w:val="30"/>
          <w:szCs w:val="30"/>
        </w:rPr>
      </w:pPr>
      <w:r>
        <w:rPr>
          <w:rFonts w:hint="eastAsia" w:ascii="仿宋" w:hAnsi="仿宋" w:eastAsia="仿宋"/>
          <w:sz w:val="30"/>
          <w:szCs w:val="30"/>
        </w:rPr>
        <w:t>本部门2020年度政府采购支出总额382.58万元，其中：政府采购货物支出65.62万元、政府采购工程支出236.36万元、政府采购服务支出80.6万元。授予中小企业合同金额295.68万元，占政府采购支出总额的77.29%，其中：授予小微企业合同金额  86.9万元，占政府采购支出总额的22.71%。（省级部门公开的政府采购金额的计算口径为：本部门纳入2020年部门预算范围的各项政府采购支出金额之和，不包括涉密采购项目的支出金额。）</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ascii="仿宋" w:hAnsi="仿宋" w:eastAsia="仿宋"/>
          <w:kern w:val="0"/>
          <w:sz w:val="30"/>
          <w:szCs w:val="30"/>
        </w:rPr>
      </w:pPr>
      <w:r>
        <w:rPr>
          <w:rFonts w:hint="eastAsia" w:ascii="仿宋" w:hAnsi="仿宋" w:eastAsia="仿宋"/>
          <w:kern w:val="0"/>
          <w:sz w:val="30"/>
          <w:szCs w:val="30"/>
        </w:rPr>
        <w:t>截止2020年12月31日，本部门（单位）国有资产占用情况见公开10表《国有资产占用情况表》。其中车辆中的其他用车主要是无。</w:t>
      </w:r>
    </w:p>
    <w:p>
      <w:pPr>
        <w:ind w:firstLine="630"/>
        <w:jc w:val="left"/>
        <w:rPr>
          <w:rFonts w:ascii="仿宋" w:hAnsi="仿宋" w:eastAsia="仿宋"/>
          <w:kern w:val="0"/>
          <w:sz w:val="30"/>
          <w:szCs w:val="30"/>
        </w:rPr>
      </w:pPr>
    </w:p>
    <w:p>
      <w:pPr>
        <w:ind w:firstLine="630"/>
        <w:jc w:val="left"/>
        <w:rPr>
          <w:rFonts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w:t>
      </w:r>
      <w:r>
        <w:rPr>
          <w:rFonts w:hint="eastAsia" w:ascii="仿宋" w:hAnsi="仿宋" w:eastAsia="仿宋" w:cs="仿宋_GB2312"/>
          <w:kern w:val="0"/>
          <w:sz w:val="30"/>
          <w:szCs w:val="30"/>
        </w:rPr>
        <w:t xml:space="preserve">20年度一般公共预算项目支出所有二级项目0个全面开展绩效自评，共涉及资金0万元，占一般公共预算项目支出总额的0%。 </w:t>
      </w:r>
    </w:p>
    <w:p>
      <w:pPr>
        <w:autoSpaceDE w:val="0"/>
        <w:autoSpaceDN w:val="0"/>
        <w:adjustRightInd w:val="0"/>
        <w:spacing w:line="360" w:lineRule="auto"/>
        <w:ind w:left="630"/>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w:t>
      </w:r>
    </w:p>
    <w:p>
      <w:pPr>
        <w:autoSpaceDE w:val="0"/>
        <w:autoSpaceDN w:val="0"/>
        <w:adjustRightInd w:val="0"/>
        <w:spacing w:line="360" w:lineRule="auto"/>
        <w:ind w:left="630"/>
        <w:jc w:val="left"/>
        <w:rPr>
          <w:rFonts w:ascii="仿宋" w:hAnsi="仿宋" w:eastAsia="仿宋" w:cs="仿宋_GB2312"/>
          <w:kern w:val="0"/>
          <w:sz w:val="30"/>
          <w:szCs w:val="30"/>
        </w:rPr>
      </w:pPr>
      <w:r>
        <w:rPr>
          <w:rFonts w:hint="eastAsia" w:ascii="仿宋" w:hAnsi="仿宋" w:eastAsia="仿宋" w:cs="仿宋_GB2312"/>
          <w:kern w:val="0"/>
          <w:sz w:val="30"/>
          <w:szCs w:val="30"/>
        </w:rPr>
        <w:t>无</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（三）部门评价项目绩效评价结果。</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无</w:t>
      </w:r>
    </w:p>
    <w:p>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pPr>
        <w:pStyle w:val="8"/>
        <w:spacing w:line="600" w:lineRule="atLeast"/>
        <w:ind w:firstLine="600"/>
        <w:rPr>
          <w:rFonts w:ascii="仿宋" w:hAnsi="仿宋" w:eastAsia="仿宋"/>
          <w:sz w:val="30"/>
          <w:szCs w:val="30"/>
        </w:rPr>
      </w:pPr>
    </w:p>
    <w:p>
      <w:pPr>
        <w:widowControl/>
        <w:spacing w:line="600" w:lineRule="exact"/>
        <w:rPr>
          <w:rFonts w:ascii="仿宋" w:hAnsi="仿宋" w:eastAsia="仿宋"/>
          <w:kern w:val="0"/>
          <w:sz w:val="30"/>
          <w:szCs w:val="30"/>
        </w:rPr>
      </w:pPr>
      <w:r>
        <w:rPr>
          <w:rFonts w:hint="eastAsia" w:ascii="仿宋" w:hAnsi="仿宋" w:eastAsia="仿宋"/>
          <w:kern w:val="0"/>
          <w:sz w:val="30"/>
          <w:szCs w:val="30"/>
        </w:rPr>
        <w:t xml:space="preserve">    1.财政拨款收入：指同级财政当年拨付的资金。</w:t>
      </w:r>
    </w:p>
    <w:p>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2.基本支出：指保障机构正常运转、完成日常工作任务而发生的人员支出和公用支出。</w:t>
      </w:r>
    </w:p>
    <w:p>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3.项目支出：指在基本支出之外为完成特定行政任务和事业发展目标所发生的支出。</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4.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5.年初结转和结余：指以前年度尚未完成、结转到本年按有关规定继续使用的资金。</w:t>
      </w:r>
    </w:p>
    <w:p>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6.政府性基金预算财政拨款收入：反映各级政府及其所属部门根据法律、行政法规规定并经国务院或财政部批准，向公民、法人和其他组织征收的政府性基金，以及参照政府性基金管理或纳入基金预算、具有特定用途的财政资金。</w:t>
      </w:r>
    </w:p>
    <w:p>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7.其他收入：指除上述“财政拨款收入”、“专项收入”、“行政事业性收费收入”、“政府性基金收入”以外的收入。</w:t>
      </w:r>
    </w:p>
    <w:p>
      <w:pPr>
        <w:widowControl/>
        <w:spacing w:line="580" w:lineRule="exact"/>
        <w:jc w:val="left"/>
        <w:rPr>
          <w:rFonts w:ascii="仿宋" w:hAnsi="仿宋" w:eastAsia="仿宋"/>
          <w:kern w:val="0"/>
          <w:sz w:val="30"/>
          <w:szCs w:val="30"/>
        </w:rPr>
      </w:pPr>
      <w:r>
        <w:rPr>
          <w:rFonts w:hint="eastAsia" w:ascii="仿宋" w:hAnsi="仿宋" w:eastAsia="仿宋"/>
          <w:kern w:val="0"/>
          <w:sz w:val="30"/>
          <w:szCs w:val="30"/>
        </w:rPr>
        <w:t>　　8.“三公”经费：指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9.一般公共服务（类）政府办公厅（室）及相关机构事务（款）行政运行（项）：反映行政单位（包括实行公务员管理的事业单位）的基本支出。</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10.一般公共服务（类）政府办公厅（室）及相关机构事务（款）一般行政管理事务（项）：反映行政单位（包括实行公务员管理的事业单位）未单独设置项级科目的其他项目支出。</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11.社会保障和就业支出（类）人力资源和社会保障管理事务（款）其他人力资源和社会保障管理事务支出（项）：反映实行归口管理的行政单位（包括实行公务员管理的事业单位）开支的离退休经费。</w:t>
      </w:r>
    </w:p>
    <w:p>
      <w:pPr>
        <w:widowControl/>
        <w:spacing w:line="580" w:lineRule="exact"/>
        <w:ind w:firstLine="450" w:firstLineChars="150"/>
        <w:jc w:val="left"/>
        <w:rPr>
          <w:rFonts w:ascii="仿宋" w:hAnsi="仿宋" w:eastAsia="仿宋"/>
          <w:kern w:val="0"/>
          <w:sz w:val="30"/>
          <w:szCs w:val="30"/>
        </w:rPr>
      </w:pPr>
      <w:r>
        <w:rPr>
          <w:rFonts w:hint="eastAsia" w:ascii="仿宋" w:hAnsi="仿宋" w:eastAsia="仿宋"/>
          <w:kern w:val="0"/>
          <w:sz w:val="30"/>
          <w:szCs w:val="30"/>
        </w:rPr>
        <w:t>12.社会保障和就业支出（类）行政事业单位养老支出（款）  机关事业单位职业年金缴费支出（项）：反映实行归口管理的行政单位开支的退休人员职业年金缴纳经费。</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13.医疗卫生（类）医疗保障（款）行政单位医疗（项）：反映财政部门集中安排的行政单位基本医疗保险缴费经费，未参加医疗保险的行政单位的公费医疗经费，按国家规定享受离休人员、红军老战士待遇人员的医疗经费。</w:t>
      </w:r>
    </w:p>
    <w:p>
      <w:pPr>
        <w:widowControl/>
        <w:spacing w:line="580" w:lineRule="exact"/>
        <w:ind w:firstLine="600" w:firstLineChars="200"/>
        <w:jc w:val="left"/>
        <w:rPr>
          <w:rFonts w:ascii="仿宋" w:hAnsi="仿宋" w:eastAsia="仿宋"/>
          <w:kern w:val="0"/>
          <w:sz w:val="30"/>
          <w:szCs w:val="30"/>
        </w:rPr>
      </w:pPr>
      <w:r>
        <w:rPr>
          <w:rFonts w:hint="eastAsia" w:ascii="仿宋" w:hAnsi="仿宋" w:eastAsia="仿宋"/>
          <w:kern w:val="0"/>
          <w:sz w:val="30"/>
          <w:szCs w:val="30"/>
        </w:rPr>
        <w:t>14.医疗卫生（类）医疗保障（款）事业单位医疗（项）：反映财政部门集中安排的行政单位基本医疗保险缴费经费，未参加医疗保险的行政单位的公费医疗经费，按国家规定享受离休人员、红军老战士待遇人员的医疗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15.住房保障（类）住房改革（款）住房公积金（项）：反映行政事业单位按人力资源和社会保障部、财政部规定的基本工资和津贴补贴以及规定比例为职工缴纳的住房公积金。</w:t>
      </w:r>
    </w:p>
    <w:p>
      <w:pPr>
        <w:widowControl/>
        <w:spacing w:line="580" w:lineRule="exact"/>
        <w:ind w:firstLine="600" w:firstLineChars="20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16.机关运行经费支出：是指各部门的公用经费，包括办公及印刷费、邮电费、差旅费、会议费、福利费、日常维修费、专用材料及一般设备购置费、办公用房水电费、办公用房取暖费、办公用房物业管理费、公务用车运行维护费以及其他费用。</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abstractNum w:abstractNumId="1">
    <w:nsid w:val="D5C79604"/>
    <w:multiLevelType w:val="singleLevel"/>
    <w:tmpl w:val="D5C79604"/>
    <w:lvl w:ilvl="0" w:tentative="0">
      <w:start w:val="1"/>
      <w:numFmt w:val="chineseCounting"/>
      <w:suff w:val="nothing"/>
      <w:lvlText w:val="（%1）"/>
      <w:lvlJc w:val="left"/>
      <w:rPr>
        <w:rFonts w:hint="eastAsia"/>
      </w:rPr>
    </w:lvl>
  </w:abstractNum>
  <w:abstractNum w:abstractNumId="2">
    <w:nsid w:val="0D6A2342"/>
    <w:multiLevelType w:val="singleLevel"/>
    <w:tmpl w:val="0D6A2342"/>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1002A3F"/>
    <w:rsid w:val="0018377C"/>
    <w:rsid w:val="00463512"/>
    <w:rsid w:val="00667364"/>
    <w:rsid w:val="00742A05"/>
    <w:rsid w:val="00901E7D"/>
    <w:rsid w:val="00A02E24"/>
    <w:rsid w:val="00CC1695"/>
    <w:rsid w:val="09774263"/>
    <w:rsid w:val="0AA55AAD"/>
    <w:rsid w:val="0F2E4A1B"/>
    <w:rsid w:val="10B849E2"/>
    <w:rsid w:val="11002A3F"/>
    <w:rsid w:val="113C57AA"/>
    <w:rsid w:val="13F53AC2"/>
    <w:rsid w:val="1E1D7B87"/>
    <w:rsid w:val="21FA16FD"/>
    <w:rsid w:val="261F565E"/>
    <w:rsid w:val="26637F17"/>
    <w:rsid w:val="2A6629AC"/>
    <w:rsid w:val="2D8313B6"/>
    <w:rsid w:val="31493ECA"/>
    <w:rsid w:val="357B6427"/>
    <w:rsid w:val="3E513445"/>
    <w:rsid w:val="426456A0"/>
    <w:rsid w:val="4A5853DC"/>
    <w:rsid w:val="4D541D09"/>
    <w:rsid w:val="554D0DF6"/>
    <w:rsid w:val="596F65A4"/>
    <w:rsid w:val="59DE4F4B"/>
    <w:rsid w:val="5C0E50C8"/>
    <w:rsid w:val="5DBE579F"/>
    <w:rsid w:val="5DCD65B4"/>
    <w:rsid w:val="5EAC2532"/>
    <w:rsid w:val="67B21A17"/>
    <w:rsid w:val="68085791"/>
    <w:rsid w:val="6C205BDC"/>
    <w:rsid w:val="70E30B60"/>
    <w:rsid w:val="763B3228"/>
    <w:rsid w:val="76AF7715"/>
    <w:rsid w:val="7A87360A"/>
    <w:rsid w:val="7EB97A89"/>
    <w:rsid w:val="7F80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No Spacing"/>
    <w:qFormat/>
    <w:uiPriority w:val="0"/>
    <w:rPr>
      <w:rFonts w:ascii="Calibri" w:hAnsi="Calibri" w:eastAsia="宋体" w:cs="Times New Roman"/>
      <w:sz w:val="22"/>
      <w:szCs w:val="22"/>
      <w:lang w:val="en-US" w:eastAsia="zh-CN" w:bidi="ar-SA"/>
    </w:rPr>
  </w:style>
  <w:style w:type="paragraph" w:customStyle="1" w:styleId="8">
    <w:name w:val="p0"/>
    <w:basedOn w:val="1"/>
    <w:qFormat/>
    <w:uiPriority w:val="0"/>
    <w:pPr>
      <w:widowControl/>
    </w:pPr>
    <w:rPr>
      <w:kern w:val="0"/>
      <w:szCs w:val="21"/>
    </w:rPr>
  </w:style>
  <w:style w:type="character" w:customStyle="1" w:styleId="9">
    <w:name w:val="页眉 Char"/>
    <w:basedOn w:val="5"/>
    <w:link w:val="3"/>
    <w:qFormat/>
    <w:uiPriority w:val="0"/>
    <w:rPr>
      <w:rFonts w:ascii="Calibri" w:hAnsi="Calibri"/>
      <w:kern w:val="2"/>
      <w:sz w:val="18"/>
      <w:szCs w:val="18"/>
    </w:rPr>
  </w:style>
  <w:style w:type="character" w:customStyle="1" w:styleId="10">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748</Words>
  <Characters>4268</Characters>
  <Lines>35</Lines>
  <Paragraphs>10</Paragraphs>
  <TotalTime>11</TotalTime>
  <ScaleCrop>false</ScaleCrop>
  <LinksUpToDate>false</LinksUpToDate>
  <CharactersWithSpaces>5006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2021-10-14T07:48:00Z</dcterms:created>
  <dc:creator>Ann1403785866</dc:creator>
  <cp:lastModifiedBy>Ann1403785866</cp:lastModifiedBy>
  <dcterms:modified xsi:type="dcterms:W3CDTF">2022-09-03T03:26:04Z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