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rPr>
          <w:rFonts w:ascii="宋体" w:hAnsi="宋体" w:eastAsia="宋体" w:cs="宋体"/>
          <w:spacing w:val="-1"/>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14:textOutline w14:w="7277" w14:cap="sq" w14:cmpd="sng">
            <w14:solidFill>
              <w14:srgbClr w14:val="000000"/>
            </w14:solidFill>
            <w14:prstDash w14:val="solid"/>
            <w14:bevel/>
          </w14:textOutline>
        </w:rPr>
      </w:pPr>
      <w:bookmarkStart w:id="0" w:name="_Toc7026"/>
      <w:bookmarkStart w:id="1" w:name="_Toc6"/>
      <w:r>
        <w:rPr>
          <w:rFonts w:ascii="宋体" w:hAnsi="宋体" w:eastAsia="宋体" w:cs="宋体"/>
          <w:spacing w:val="-1"/>
          <w:sz w:val="40"/>
          <w:szCs w:val="40"/>
          <w14:textOutline w14:w="7277" w14:cap="sq" w14:cmpd="sng">
            <w14:solidFill>
              <w14:srgbClr w14:val="000000"/>
            </w14:solidFill>
            <w14:prstDash w14:val="solid"/>
            <w14:bevel/>
          </w14:textOutline>
        </w:rPr>
        <w:t>项目资金绩效监</w:t>
      </w:r>
      <w:r>
        <w:rPr>
          <w:rFonts w:ascii="宋体" w:hAnsi="宋体" w:eastAsia="宋体" w:cs="宋体"/>
          <w:sz w:val="40"/>
          <w:szCs w:val="40"/>
          <w14:textOutline w14:w="7277" w14:cap="sq" w14:cmpd="sng">
            <w14:solidFill>
              <w14:srgbClr w14:val="000000"/>
            </w14:solidFill>
            <w14:prstDash w14:val="solid"/>
            <w14:bevel/>
          </w14:textOutline>
        </w:rPr>
        <w:t>控报告</w:t>
      </w:r>
      <w:bookmarkEnd w:id="0"/>
      <w:bookmarkEnd w:id="1"/>
    </w:p>
    <w:p>
      <w:pPr>
        <w:spacing w:before="273" w:line="218" w:lineRule="auto"/>
        <w:ind w:left="2184"/>
        <w:outlineLvl w:val="0"/>
        <w:rPr>
          <w:rFonts w:ascii="宋体" w:hAnsi="宋体" w:eastAsia="宋体" w:cs="宋体"/>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14:textOutline w14:w="7277" w14:cap="sq" w14:cmpd="sng">
            <w14:solidFill>
              <w14:srgbClr w14:val="000000"/>
            </w14:solidFill>
            <w14:prstDash w14:val="solid"/>
            <w14:bevel/>
          </w14:textOutline>
        </w:rPr>
      </w:pPr>
    </w:p>
    <w:p>
      <w:pPr>
        <w:spacing w:before="273" w:line="218" w:lineRule="auto"/>
        <w:ind w:left="2184"/>
        <w:outlineLvl w:val="0"/>
        <w:rPr>
          <w:rFonts w:ascii="宋体" w:hAnsi="宋体" w:eastAsia="宋体" w:cs="宋体"/>
          <w:sz w:val="40"/>
          <w:szCs w:val="40"/>
          <w14:textOutline w14:w="7277" w14:cap="sq" w14:cmpd="sng">
            <w14:solidFill>
              <w14:srgbClr w14:val="000000"/>
            </w14:solidFill>
            <w14:prstDash w14:val="solid"/>
            <w14:bevel/>
          </w14:textOutline>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114" w:line="225" w:lineRule="auto"/>
        <w:ind w:left="29"/>
        <w:rPr>
          <w:rFonts w:hint="default" w:ascii="宋体" w:hAnsi="宋体" w:eastAsia="宋体" w:cs="宋体"/>
          <w:spacing w:val="0"/>
          <w:sz w:val="35"/>
          <w:szCs w:val="35"/>
          <w:highlight w:val="yellow"/>
          <w:lang w:val="en-US" w:eastAsia="zh-CN"/>
        </w:rPr>
      </w:pPr>
      <w:r>
        <w:rPr>
          <w:rFonts w:ascii="宋体" w:hAnsi="宋体" w:eastAsia="宋体" w:cs="宋体"/>
          <w:spacing w:val="0"/>
          <w:sz w:val="35"/>
          <w:szCs w:val="35"/>
        </w:rPr>
        <w:t>监控</w:t>
      </w:r>
      <w:r>
        <w:rPr>
          <w:rFonts w:hint="eastAsia" w:ascii="宋体" w:hAnsi="宋体" w:eastAsia="宋体" w:cs="宋体"/>
          <w:spacing w:val="0"/>
          <w:sz w:val="35"/>
          <w:szCs w:val="35"/>
          <w:lang w:val="en-US" w:eastAsia="zh-CN"/>
        </w:rPr>
        <w:t>时间</w:t>
      </w:r>
      <w:r>
        <w:rPr>
          <w:rFonts w:ascii="宋体" w:hAnsi="宋体" w:eastAsia="宋体" w:cs="宋体"/>
          <w:spacing w:val="0"/>
          <w:sz w:val="35"/>
          <w:szCs w:val="35"/>
        </w:rPr>
        <w:t xml:space="preserve">：   </w:t>
      </w:r>
      <w:r>
        <w:rPr>
          <w:rFonts w:ascii="宋体" w:hAnsi="宋体" w:eastAsia="宋体" w:cs="宋体"/>
          <w:spacing w:val="0"/>
          <w:sz w:val="35"/>
          <w:szCs w:val="35"/>
          <w:highlight w:val="none"/>
          <w:u w:val="single" w:color="auto"/>
        </w:rPr>
        <w:t>202</w:t>
      </w:r>
      <w:r>
        <w:rPr>
          <w:rFonts w:hint="eastAsia" w:ascii="宋体" w:hAnsi="宋体" w:eastAsia="宋体" w:cs="宋体"/>
          <w:spacing w:val="0"/>
          <w:sz w:val="35"/>
          <w:szCs w:val="35"/>
          <w:highlight w:val="none"/>
          <w:u w:val="single" w:color="auto"/>
          <w:lang w:val="en-US" w:eastAsia="zh-CN"/>
        </w:rPr>
        <w:t>3</w:t>
      </w:r>
      <w:r>
        <w:rPr>
          <w:rFonts w:ascii="宋体" w:hAnsi="宋体" w:eastAsia="宋体" w:cs="宋体"/>
          <w:spacing w:val="0"/>
          <w:sz w:val="35"/>
          <w:szCs w:val="35"/>
          <w:highlight w:val="none"/>
          <w:u w:val="single" w:color="auto"/>
        </w:rPr>
        <w:t>年</w:t>
      </w:r>
      <w:r>
        <w:rPr>
          <w:rFonts w:hint="eastAsia" w:ascii="宋体" w:hAnsi="宋体" w:eastAsia="宋体" w:cs="宋体"/>
          <w:spacing w:val="0"/>
          <w:sz w:val="35"/>
          <w:szCs w:val="35"/>
          <w:highlight w:val="none"/>
          <w:u w:val="single" w:color="auto"/>
          <w:lang w:val="en-US" w:eastAsia="zh-CN"/>
        </w:rPr>
        <w:t xml:space="preserve">1-9月                      </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before="114" w:line="226" w:lineRule="auto"/>
        <w:ind w:left="33"/>
        <w:rPr>
          <w:rFonts w:hint="default" w:ascii="宋体" w:hAnsi="宋体" w:eastAsia="宋体" w:cs="宋体"/>
          <w:spacing w:val="0"/>
          <w:sz w:val="35"/>
          <w:szCs w:val="35"/>
          <w:u w:val="single" w:color="auto"/>
          <w:lang w:val="en-US" w:eastAsia="zh-CN"/>
        </w:rPr>
      </w:pPr>
      <w:r>
        <w:rPr>
          <w:rFonts w:ascii="宋体" w:hAnsi="宋体" w:eastAsia="宋体" w:cs="宋体"/>
          <w:spacing w:val="0"/>
          <w:sz w:val="35"/>
          <w:szCs w:val="35"/>
        </w:rPr>
        <w:t>项目</w:t>
      </w:r>
      <w:r>
        <w:rPr>
          <w:rFonts w:ascii="仿宋" w:hAnsi="仿宋" w:eastAsia="仿宋" w:cs="仿宋"/>
          <w:spacing w:val="0"/>
          <w:sz w:val="35"/>
          <w:szCs w:val="35"/>
        </w:rPr>
        <w:t>名称</w:t>
      </w:r>
      <w:r>
        <w:rPr>
          <w:rFonts w:ascii="宋体" w:hAnsi="宋体" w:eastAsia="宋体" w:cs="宋体"/>
          <w:spacing w:val="0"/>
          <w:sz w:val="35"/>
          <w:szCs w:val="35"/>
        </w:rPr>
        <w:t xml:space="preserve">：  </w:t>
      </w:r>
      <w:r>
        <w:rPr>
          <w:rFonts w:hint="eastAsia" w:ascii="宋体" w:hAnsi="宋体" w:eastAsia="宋体" w:cs="宋体"/>
          <w:spacing w:val="0"/>
          <w:sz w:val="35"/>
          <w:szCs w:val="35"/>
          <w:u w:val="single" w:color="auto"/>
          <w:lang w:eastAsia="zh-CN"/>
        </w:rPr>
        <w:t>2023年度松材线虫病防治</w:t>
      </w:r>
      <w:r>
        <w:rPr>
          <w:rFonts w:hint="eastAsia" w:ascii="宋体" w:hAnsi="宋体" w:eastAsia="宋体" w:cs="宋体"/>
          <w:spacing w:val="0"/>
          <w:sz w:val="35"/>
          <w:szCs w:val="35"/>
          <w:u w:val="single" w:color="auto"/>
          <w:lang w:val="en-US" w:eastAsia="zh-CN"/>
        </w:rPr>
        <w:t xml:space="preserve">             </w:t>
      </w:r>
    </w:p>
    <w:p>
      <w:pPr>
        <w:spacing w:line="258" w:lineRule="auto"/>
        <w:rPr>
          <w:rFonts w:ascii="Arial"/>
          <w:spacing w:val="0"/>
          <w:sz w:val="21"/>
        </w:rPr>
      </w:pP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before="114" w:line="225" w:lineRule="auto"/>
        <w:jc w:val="both"/>
        <w:rPr>
          <w:rFonts w:hint="default" w:ascii="宋体" w:hAnsi="宋体" w:eastAsia="宋体" w:cs="宋体"/>
          <w:spacing w:val="0"/>
          <w:sz w:val="35"/>
          <w:szCs w:val="35"/>
          <w:lang w:val="en-US" w:eastAsia="zh-CN"/>
        </w:rPr>
      </w:pPr>
      <w:r>
        <w:rPr>
          <w:rFonts w:ascii="宋体" w:hAnsi="宋体" w:eastAsia="宋体" w:cs="宋体"/>
          <w:spacing w:val="0"/>
          <w:sz w:val="35"/>
          <w:szCs w:val="35"/>
        </w:rPr>
        <w:t xml:space="preserve">项目单位：  </w:t>
      </w:r>
      <w:r>
        <w:rPr>
          <w:rFonts w:hint="eastAsia" w:ascii="宋体" w:hAnsi="宋体" w:eastAsia="宋体" w:cs="宋体"/>
          <w:spacing w:val="0"/>
          <w:sz w:val="35"/>
          <w:szCs w:val="35"/>
          <w:u w:val="single" w:color="auto"/>
        </w:rPr>
        <w:t>永修县</w:t>
      </w:r>
      <w:r>
        <w:rPr>
          <w:rFonts w:hint="eastAsia" w:ascii="宋体" w:hAnsi="宋体" w:eastAsia="宋体" w:cs="宋体"/>
          <w:spacing w:val="0"/>
          <w:sz w:val="35"/>
          <w:szCs w:val="35"/>
          <w:u w:val="single" w:color="auto"/>
          <w:lang w:eastAsia="zh-CN"/>
        </w:rPr>
        <w:t>林业局</w:t>
      </w:r>
      <w:r>
        <w:rPr>
          <w:rFonts w:hint="eastAsia" w:ascii="宋体" w:hAnsi="宋体" w:eastAsia="宋体" w:cs="宋体"/>
          <w:spacing w:val="0"/>
          <w:sz w:val="35"/>
          <w:szCs w:val="35"/>
          <w:u w:val="single" w:color="auto"/>
          <w:lang w:val="en-US" w:eastAsia="zh-CN"/>
        </w:rPr>
        <w:t xml:space="preserve">                   </w:t>
      </w:r>
    </w:p>
    <w:p>
      <w:pPr>
        <w:rPr>
          <w:spacing w:val="0"/>
        </w:rPr>
      </w:pPr>
    </w:p>
    <w:p>
      <w:pPr>
        <w:rPr>
          <w:spacing w:val="0"/>
        </w:rPr>
      </w:pPr>
    </w:p>
    <w:p>
      <w:pPr>
        <w:rPr>
          <w:spacing w:val="0"/>
        </w:rPr>
      </w:pPr>
    </w:p>
    <w:p>
      <w:pPr>
        <w:rPr>
          <w:spacing w:val="0"/>
        </w:rPr>
      </w:pPr>
    </w:p>
    <w:p>
      <w:pPr>
        <w:spacing w:line="153" w:lineRule="exact"/>
        <w:rPr>
          <w:spacing w:val="0"/>
        </w:rPr>
      </w:pPr>
    </w:p>
    <w:p>
      <w:pPr>
        <w:rPr>
          <w:spacing w:val="0"/>
        </w:rPr>
        <w:sectPr>
          <w:pgSz w:w="11907" w:h="16840"/>
          <w:pgMar w:top="1431" w:right="1786" w:bottom="0" w:left="1786" w:header="0" w:footer="0" w:gutter="0"/>
          <w:pgBorders>
            <w:top w:val="none" w:sz="0" w:space="0"/>
            <w:left w:val="none" w:sz="0" w:space="0"/>
            <w:bottom w:val="none" w:sz="0" w:space="0"/>
            <w:right w:val="none" w:sz="0" w:space="0"/>
          </w:pgBorders>
          <w:cols w:equalWidth="0" w:num="1">
            <w:col w:w="8335"/>
          </w:cols>
        </w:sectPr>
      </w:pPr>
    </w:p>
    <w:p>
      <w:pPr>
        <w:spacing w:before="71" w:line="225" w:lineRule="auto"/>
        <w:ind w:left="30"/>
        <w:rPr>
          <w:rFonts w:ascii="宋体" w:hAnsi="宋体" w:eastAsia="宋体" w:cs="宋体"/>
          <w:spacing w:val="0"/>
          <w:sz w:val="35"/>
          <w:szCs w:val="35"/>
        </w:rPr>
      </w:pPr>
      <w:r>
        <w:rPr>
          <w:rFonts w:ascii="宋体" w:hAnsi="宋体" w:eastAsia="宋体" w:cs="宋体"/>
          <w:spacing w:val="0"/>
          <w:sz w:val="35"/>
          <w:szCs w:val="35"/>
        </w:rPr>
        <w:t>主管部门：</w:t>
      </w:r>
    </w:p>
    <w:p>
      <w:pPr>
        <w:spacing w:line="258" w:lineRule="auto"/>
        <w:rPr>
          <w:rFonts w:ascii="Arial"/>
          <w:spacing w:val="0"/>
          <w:sz w:val="21"/>
        </w:rPr>
      </w:pPr>
    </w:p>
    <w:p>
      <w:pPr>
        <w:spacing w:line="259"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Autospacing="0" w:afterAutospacing="0" w:line="224" w:lineRule="auto"/>
        <w:ind w:left="29"/>
        <w:rPr>
          <w:rFonts w:ascii="宋体" w:hAnsi="宋体" w:eastAsia="宋体" w:cs="宋体"/>
          <w:spacing w:val="0"/>
          <w:sz w:val="35"/>
          <w:szCs w:val="35"/>
        </w:rPr>
      </w:pPr>
      <w:r>
        <w:rPr>
          <w:rFonts w:ascii="宋体" w:hAnsi="宋体" w:eastAsia="宋体" w:cs="宋体"/>
          <w:spacing w:val="0"/>
          <w:sz w:val="35"/>
          <w:szCs w:val="35"/>
        </w:rPr>
        <w:t>监控机构：</w:t>
      </w:r>
    </w:p>
    <w:p>
      <w:pPr>
        <w:spacing w:beforeAutospacing="0"/>
        <w:rPr>
          <w:spacing w:val="0"/>
        </w:rPr>
      </w:pPr>
    </w:p>
    <w:p>
      <w:pPr>
        <w:rPr>
          <w:spacing w:val="0"/>
        </w:rPr>
      </w:pPr>
    </w:p>
    <w:p>
      <w:pPr>
        <w:spacing w:line="99" w:lineRule="exact"/>
        <w:rPr>
          <w:spacing w:val="0"/>
        </w:rPr>
      </w:pPr>
    </w:p>
    <w:p>
      <w:pPr>
        <w:spacing w:line="14" w:lineRule="auto"/>
        <w:rPr>
          <w:rFonts w:ascii="Arial"/>
          <w:spacing w:val="0"/>
          <w:sz w:val="2"/>
        </w:rPr>
      </w:pPr>
      <w:r>
        <w:rPr>
          <w:rFonts w:ascii="Arial" w:hAnsi="Arial" w:eastAsia="Arial" w:cs="Arial"/>
          <w:spacing w:val="0"/>
          <w:sz w:val="2"/>
          <w:szCs w:val="2"/>
        </w:rPr>
        <w:br w:type="column"/>
      </w:r>
    </w:p>
    <w:p>
      <w:pPr>
        <w:spacing w:before="69" w:line="225" w:lineRule="auto"/>
        <w:jc w:val="both"/>
        <w:rPr>
          <w:rFonts w:hint="default" w:ascii="宋体" w:hAnsi="宋体" w:eastAsia="宋体" w:cs="宋体"/>
          <w:spacing w:val="0"/>
          <w:sz w:val="35"/>
          <w:szCs w:val="35"/>
          <w:lang w:val="en-US" w:eastAsia="zh-CN"/>
        </w:rPr>
      </w:pPr>
      <w:r>
        <w:rPr>
          <w:rFonts w:hint="eastAsia" w:ascii="宋体" w:hAnsi="宋体" w:eastAsia="宋体" w:cs="宋体"/>
          <w:spacing w:val="0"/>
          <w:sz w:val="35"/>
          <w:szCs w:val="35"/>
          <w:u w:val="single" w:color="auto"/>
          <w:lang w:val="en-US" w:eastAsia="zh-CN"/>
        </w:rPr>
        <w:t xml:space="preserve">永修县林业局                    </w:t>
      </w:r>
    </w:p>
    <w:p>
      <w:pPr>
        <w:spacing w:line="258" w:lineRule="auto"/>
        <w:rPr>
          <w:rFonts w:ascii="Arial"/>
          <w:spacing w:val="0"/>
          <w:sz w:val="21"/>
        </w:rPr>
      </w:pPr>
    </w:p>
    <w:p>
      <w:pPr>
        <w:spacing w:line="258" w:lineRule="auto"/>
        <w:rPr>
          <w:rFonts w:ascii="Arial"/>
          <w:spacing w:val="0"/>
          <w:sz w:val="21"/>
        </w:rPr>
      </w:pPr>
    </w:p>
    <w:p>
      <w:pPr>
        <w:spacing w:line="259" w:lineRule="auto"/>
        <w:rPr>
          <w:rFonts w:ascii="Arial"/>
          <w:spacing w:val="0"/>
          <w:sz w:val="21"/>
        </w:rPr>
      </w:pPr>
    </w:p>
    <w:p>
      <w:pPr>
        <w:spacing w:afterAutospacing="0" w:line="259" w:lineRule="auto"/>
        <w:rPr>
          <w:rFonts w:ascii="Arial"/>
          <w:spacing w:val="0"/>
          <w:sz w:val="21"/>
        </w:rPr>
      </w:pPr>
    </w:p>
    <w:p>
      <w:pPr>
        <w:spacing w:beforeAutospacing="0" w:afterAutospacing="0" w:line="259" w:lineRule="auto"/>
        <w:rPr>
          <w:rFonts w:hint="default" w:ascii="Arial" w:eastAsia="宋体"/>
          <w:spacing w:val="0"/>
          <w:sz w:val="21"/>
          <w:lang w:val="en-US" w:eastAsia="zh-CN"/>
        </w:rPr>
      </w:pPr>
      <w:r>
        <w:rPr>
          <w:rFonts w:ascii="宋体" w:hAnsi="宋体" w:eastAsia="宋体" w:cs="宋体"/>
          <w:spacing w:val="0"/>
          <w:sz w:val="35"/>
          <w:szCs w:val="35"/>
          <w:u w:val="single" w:color="auto"/>
        </w:rPr>
        <w:t>江西</w:t>
      </w:r>
      <w:r>
        <w:rPr>
          <w:rFonts w:hint="eastAsia" w:ascii="宋体" w:hAnsi="宋体" w:eastAsia="宋体" w:cs="宋体"/>
          <w:spacing w:val="0"/>
          <w:sz w:val="35"/>
          <w:szCs w:val="35"/>
          <w:u w:val="single" w:color="auto"/>
          <w:lang w:val="en-US" w:eastAsia="zh-CN"/>
        </w:rPr>
        <w:t>华宏</w:t>
      </w:r>
      <w:r>
        <w:rPr>
          <w:rFonts w:ascii="宋体" w:hAnsi="宋体" w:eastAsia="宋体" w:cs="宋体"/>
          <w:spacing w:val="0"/>
          <w:sz w:val="35"/>
          <w:szCs w:val="35"/>
          <w:u w:val="single" w:color="auto"/>
        </w:rPr>
        <w:t>会计师事务所有限公司</w:t>
      </w:r>
      <w:r>
        <w:rPr>
          <w:rFonts w:hint="eastAsia" w:ascii="宋体" w:hAnsi="宋体" w:eastAsia="宋体" w:cs="宋体"/>
          <w:spacing w:val="0"/>
          <w:sz w:val="35"/>
          <w:szCs w:val="35"/>
          <w:u w:val="single" w:color="auto"/>
          <w:lang w:val="en-US" w:eastAsia="zh-CN"/>
        </w:rPr>
        <w:t xml:space="preserve">      </w:t>
      </w:r>
    </w:p>
    <w:p>
      <w:pPr>
        <w:spacing w:beforeAutospacing="0" w:line="228" w:lineRule="auto"/>
        <w:ind w:left="15"/>
        <w:jc w:val="center"/>
        <w:rPr>
          <w:rFonts w:ascii="宋体" w:hAnsi="宋体" w:eastAsia="宋体" w:cs="宋体"/>
          <w:spacing w:val="0"/>
          <w:sz w:val="35"/>
          <w:szCs w:val="35"/>
        </w:rPr>
      </w:pPr>
    </w:p>
    <w:p>
      <w:pPr>
        <w:rPr>
          <w:spacing w:val="0"/>
        </w:rPr>
        <w:sectPr>
          <w:type w:val="continuous"/>
          <w:pgSz w:w="11907" w:h="16840"/>
          <w:pgMar w:top="1431" w:right="1786" w:bottom="0" w:left="1786" w:header="0" w:footer="0" w:gutter="0"/>
          <w:pgBorders>
            <w:top w:val="none" w:sz="0" w:space="0"/>
            <w:left w:val="none" w:sz="0" w:space="0"/>
            <w:bottom w:val="none" w:sz="0" w:space="0"/>
            <w:right w:val="none" w:sz="0" w:space="0"/>
          </w:pgBorders>
          <w:cols w:equalWidth="0" w:num="2">
            <w:col w:w="2074" w:space="100"/>
            <w:col w:w="6161"/>
          </w:cols>
        </w:sect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line="243" w:lineRule="auto"/>
        <w:rPr>
          <w:rFonts w:ascii="Arial"/>
          <w:spacing w:val="0"/>
          <w:sz w:val="21"/>
        </w:rPr>
      </w:pPr>
    </w:p>
    <w:p>
      <w:pPr>
        <w:spacing w:before="114" w:line="190" w:lineRule="auto"/>
        <w:ind w:left="0" w:leftChars="0" w:firstLine="0" w:firstLineChars="0"/>
        <w:jc w:val="center"/>
        <w:rPr>
          <w:rFonts w:hint="default"/>
          <w:spacing w:val="0"/>
          <w:lang w:val="en-US"/>
        </w:rPr>
        <w:sectPr>
          <w:type w:val="continuous"/>
          <w:pgSz w:w="11907" w:h="16840"/>
          <w:pgMar w:top="1431" w:right="1786" w:bottom="0" w:left="1786" w:header="0" w:footer="0" w:gutter="0"/>
          <w:pgBorders>
            <w:top w:val="none" w:sz="0" w:space="0"/>
            <w:left w:val="none" w:sz="0" w:space="0"/>
            <w:bottom w:val="none" w:sz="0" w:space="0"/>
            <w:right w:val="none" w:sz="0" w:space="0"/>
          </w:pgBorders>
          <w:cols w:equalWidth="0" w:num="1">
            <w:col w:w="8335"/>
          </w:cols>
        </w:sectPr>
      </w:pPr>
      <w:r>
        <w:rPr>
          <w:rFonts w:ascii="宋体" w:hAnsi="宋体" w:eastAsia="宋体" w:cs="宋体"/>
          <w:spacing w:val="0"/>
          <w:sz w:val="35"/>
          <w:szCs w:val="35"/>
        </w:rPr>
        <w:t>202</w:t>
      </w:r>
      <w:r>
        <w:rPr>
          <w:rFonts w:hint="eastAsia" w:ascii="宋体" w:hAnsi="宋体" w:eastAsia="宋体" w:cs="宋体"/>
          <w:spacing w:val="0"/>
          <w:sz w:val="35"/>
          <w:szCs w:val="35"/>
          <w:lang w:val="en-US" w:eastAsia="zh-CN"/>
        </w:rPr>
        <w:t xml:space="preserve">3 </w:t>
      </w:r>
      <w:r>
        <w:rPr>
          <w:rFonts w:ascii="宋体" w:hAnsi="宋体" w:eastAsia="宋体" w:cs="宋体"/>
          <w:spacing w:val="0"/>
          <w:sz w:val="35"/>
          <w:szCs w:val="35"/>
        </w:rPr>
        <w:t>年</w:t>
      </w:r>
      <w:r>
        <w:rPr>
          <w:rFonts w:hint="eastAsia" w:ascii="宋体" w:hAnsi="宋体" w:eastAsia="宋体" w:cs="宋体"/>
          <w:spacing w:val="0"/>
          <w:sz w:val="35"/>
          <w:szCs w:val="35"/>
          <w:lang w:val="en-US" w:eastAsia="zh-CN"/>
        </w:rPr>
        <w:t xml:space="preserve"> 11 月</w:t>
      </w:r>
    </w:p>
    <w:sdt>
      <w:sdtPr>
        <w:rPr>
          <w:rFonts w:ascii="宋体" w:hAnsi="宋体" w:eastAsia="宋体" w:cs="Arial"/>
          <w:snapToGrid w:val="0"/>
          <w:color w:val="000000"/>
          <w:kern w:val="0"/>
          <w:sz w:val="21"/>
          <w:szCs w:val="21"/>
        </w:rPr>
        <w:id w:val="147472305"/>
        <w15:color w:val="DBDBDB"/>
        <w:docPartObj>
          <w:docPartGallery w:val="Table of Contents"/>
          <w:docPartUnique/>
        </w:docPartObj>
      </w:sdtPr>
      <w:sdtEndPr>
        <w:rPr>
          <w:rFonts w:hint="eastAsia" w:ascii="方正粗宋简体" w:hAnsi="方正小标宋简体" w:eastAsia="方正粗宋简体" w:cs="Times New Roman"/>
          <w:snapToGrid/>
          <w:color w:val="auto"/>
          <w:spacing w:val="-20"/>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bookmarkStart w:id="2" w:name="_Toc26627"/>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22"/>
            <w:tabs>
              <w:tab w:val="right" w:leader="dot" w:pos="8301"/>
            </w:tabs>
          </w:pPr>
          <w:r>
            <w:rPr>
              <w:rFonts w:hint="eastAsia" w:ascii="方正粗宋简体" w:hAnsi="方正小标宋简体" w:eastAsia="方正粗宋简体" w:cs="Times New Roman"/>
              <w:b/>
              <w:snapToGrid/>
              <w:color w:val="auto"/>
              <w:spacing w:val="-20"/>
              <w:kern w:val="2"/>
              <w:sz w:val="44"/>
              <w:szCs w:val="44"/>
              <w:lang w:val="en-US" w:eastAsia="zh-CN" w:bidi="ar-SA"/>
            </w:rPr>
            <w:fldChar w:fldCharType="begin"/>
          </w:r>
          <w:r>
            <w:rPr>
              <w:rFonts w:hint="eastAsia" w:ascii="方正粗宋简体" w:hAnsi="方正小标宋简体" w:eastAsia="方正粗宋简体" w:cs="Times New Roman"/>
              <w:b/>
              <w:snapToGrid/>
              <w:color w:val="auto"/>
              <w:spacing w:val="-20"/>
              <w:kern w:val="2"/>
              <w:sz w:val="44"/>
              <w:szCs w:val="44"/>
              <w:lang w:val="en-US" w:eastAsia="zh-CN" w:bidi="ar-SA"/>
            </w:rPr>
            <w:instrText xml:space="preserve">TOC \o "1-3" \h \u </w:instrText>
          </w:r>
          <w:r>
            <w:rPr>
              <w:rFonts w:hint="eastAsia" w:ascii="方正粗宋简体" w:hAnsi="方正小标宋简体" w:eastAsia="方正粗宋简体" w:cs="Times New Roman"/>
              <w:b/>
              <w:snapToGrid/>
              <w:color w:val="auto"/>
              <w:spacing w:val="-20"/>
              <w:kern w:val="2"/>
              <w:sz w:val="44"/>
              <w:szCs w:val="44"/>
              <w:lang w:val="en-US" w:eastAsia="zh-CN" w:bidi="ar-SA"/>
            </w:rPr>
            <w:fldChar w:fldCharType="separate"/>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_Toc17781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一、项目单位基本情况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_Toc17781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_Toc20640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二、项目基本情况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_Toc20640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_Toc22231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（一）项目概况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_Toc22231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_Toc17534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1. 项目背景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_Toc17534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_Toc21591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2. 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_Toc21591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_Toc19788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3. 项目资金预算情况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_Toc19788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_Toc4126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（二）项目绩效目标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_Toc2312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1. 项目总体目标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_Toc15065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2. 项目阶段性目标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_Toc15065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_Toc28074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三、绩效目标的核对和确定情况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_Toc28074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_Toc25242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（一）绩效目标设置情况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_Toc25242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_Toc15777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（二）绩效目标的确定情况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_Toc15777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_Toc278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四、项目支出绩效目标执行监控分析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_Toc18508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(一) 项目资金情况分析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_Toc18508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_Toc32347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(二) 项目组织实施情况分析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_Toc32347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_Toc14285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highlight w:val="none"/>
              <w:lang w:val="en-US" w:eastAsia="zh-CN"/>
            </w:rPr>
            <w:t>1. 管理制度建设情况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_Toc14285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_Toc15495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highlight w:val="none"/>
              <w:lang w:val="en-US" w:eastAsia="zh-CN"/>
            </w:rPr>
            <w:t>2. 制度执行情况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_Toc15495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_Toc3929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lang w:val="en-US" w:eastAsia="zh-CN" w:bidi="ar-SA"/>
            </w:rPr>
            <w:t>(三) 项目绩效完成情况分析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_Toc3929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_Toc22349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1. 项目实际产出情况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_Toc22349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4"/>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_Toc21476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pacing w:val="-9"/>
              <w:sz w:val="24"/>
              <w:szCs w:val="24"/>
              <w:lang w:val="en-US" w:eastAsia="zh-CN"/>
            </w:rPr>
            <w:t>2. 项目效果和效益情况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_Toc21476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_Toc24503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五、其他需要说明的问题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_Toc24503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_Toc31400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(一) 绩效目标设置不够合理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_Toc31400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napToGrid/>
              <w:color w:val="auto"/>
              <w:spacing w:val="-20"/>
              <w:kern w:val="2"/>
              <w:sz w:val="24"/>
              <w:szCs w:val="24"/>
              <w:lang w:val="en-US" w:eastAsia="zh-CN" w:bidi="ar-SA"/>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_Toc25862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(二) 预算编制缺乏前瞻性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_Toc25862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napToGrid/>
              <w:color w:val="auto"/>
              <w:spacing w:val="-20"/>
              <w:kern w:val="2"/>
              <w:sz w:val="24"/>
              <w:szCs w:val="24"/>
              <w:lang w:val="en-US" w:eastAsia="zh-CN" w:bidi="ar-SA"/>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_Toc25862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(三) 清理枯病死松树合格率偏低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_Toc25862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2"/>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_Toc20748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bCs/>
              <w:snapToGrid/>
              <w:kern w:val="2"/>
              <w:sz w:val="24"/>
              <w:szCs w:val="24"/>
              <w:lang w:val="en-US" w:eastAsia="zh-CN" w:bidi="ar-SA"/>
            </w:rPr>
            <w:t>六、相关建议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_Toc20748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_Toc13701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(一) 加强对绩效指标设置的理解，提高绩效指标编制质量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_Toc13701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方正粗宋简体" w:hAnsi="方正小标宋简体" w:eastAsia="方正粗宋简体" w:cs="Times New Roman"/>
              <w:snapToGrid/>
              <w:color w:val="auto"/>
              <w:spacing w:val="-20"/>
              <w:kern w:val="2"/>
              <w:szCs w:val="44"/>
              <w:lang w:val="en-US" w:eastAsia="zh-CN" w:bidi="ar-SA"/>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_Toc20651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(二) 全面考虑，提高预算编制准确性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_Toc20651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r>
            <w:rPr>
              <w:rFonts w:hint="eastAsia" w:ascii="方正粗宋简体" w:hAnsi="方正小标宋简体" w:eastAsia="方正粗宋简体" w:cs="Times New Roman"/>
              <w:snapToGrid/>
              <w:color w:val="auto"/>
              <w:spacing w:val="-20"/>
              <w:kern w:val="2"/>
              <w:szCs w:val="44"/>
              <w:lang w:val="en-US" w:eastAsia="zh-CN" w:bidi="ar-SA"/>
            </w:rPr>
            <w:fldChar w:fldCharType="end"/>
          </w:r>
        </w:p>
        <w:p>
          <w:pPr>
            <w:pStyle w:val="23"/>
            <w:keepNext w:val="0"/>
            <w:keepLines w:val="0"/>
            <w:pageBreakBefore w:val="0"/>
            <w:widowControl/>
            <w:tabs>
              <w:tab w:val="right" w:leader="dot" w:pos="8301"/>
            </w:tabs>
            <w:kinsoku/>
            <w:wordWrap/>
            <w:overflowPunct/>
            <w:topLinePunct w:val="0"/>
            <w:autoSpaceDE/>
            <w:autoSpaceDN/>
            <w:bidi w:val="0"/>
            <w:adjustRightInd/>
            <w:snapToGrid/>
            <w:spacing w:line="500" w:lineRule="exact"/>
            <w:textAlignment w:val="auto"/>
            <w:rPr>
              <w:rFonts w:hint="eastAsia" w:ascii="方正粗宋简体" w:hAnsi="方正小标宋简体" w:eastAsia="方正粗宋简体" w:cs="Times New Roman"/>
              <w:b/>
              <w:snapToGrid/>
              <w:color w:val="auto"/>
              <w:spacing w:val="-20"/>
              <w:kern w:val="2"/>
              <w:sz w:val="44"/>
              <w:szCs w:val="44"/>
              <w:lang w:val="en-US" w:eastAsia="zh-CN" w:bidi="ar-SA"/>
            </w:rPr>
          </w:pPr>
          <w:r>
            <w:rPr>
              <w:rFonts w:hint="eastAsia" w:ascii="仿宋" w:hAnsi="仿宋" w:eastAsia="仿宋" w:cs="仿宋"/>
              <w:snapToGrid/>
              <w:color w:val="auto"/>
              <w:spacing w:val="-20"/>
              <w:kern w:val="2"/>
              <w:sz w:val="24"/>
              <w:szCs w:val="24"/>
              <w:lang w:val="en-US" w:eastAsia="zh-CN" w:bidi="ar-SA"/>
            </w:rPr>
            <w:fldChar w:fldCharType="begin"/>
          </w:r>
          <w:r>
            <w:rPr>
              <w:rFonts w:hint="eastAsia" w:ascii="仿宋" w:hAnsi="仿宋" w:eastAsia="仿宋" w:cs="仿宋"/>
              <w:snapToGrid/>
              <w:spacing w:val="-20"/>
              <w:kern w:val="2"/>
              <w:sz w:val="24"/>
              <w:szCs w:val="24"/>
              <w:lang w:val="en-US" w:eastAsia="zh-CN" w:bidi="ar-SA"/>
            </w:rPr>
            <w:instrText xml:space="preserve"> HYPERLINK \l _Toc20651 </w:instrText>
          </w:r>
          <w:r>
            <w:rPr>
              <w:rFonts w:hint="eastAsia" w:ascii="仿宋" w:hAnsi="仿宋" w:eastAsia="仿宋" w:cs="仿宋"/>
              <w:snapToGrid/>
              <w:spacing w:val="-20"/>
              <w:kern w:val="2"/>
              <w:sz w:val="24"/>
              <w:szCs w:val="24"/>
              <w:lang w:val="en-US" w:eastAsia="zh-CN" w:bidi="ar-SA"/>
            </w:rPr>
            <w:fldChar w:fldCharType="separate"/>
          </w:r>
          <w:r>
            <w:rPr>
              <w:rFonts w:hint="eastAsia" w:ascii="仿宋" w:hAnsi="仿宋" w:eastAsia="仿宋" w:cs="仿宋"/>
              <w:snapToGrid/>
              <w:kern w:val="2"/>
              <w:sz w:val="24"/>
              <w:szCs w:val="24"/>
              <w:highlight w:val="none"/>
              <w:lang w:val="en-US" w:eastAsia="zh-CN" w:bidi="ar-SA"/>
            </w:rPr>
            <w:t>(三) 加强对第三方公司监管，提高清理枯病死松树合格率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_Toc20651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fldChar w:fldCharType="end"/>
          </w:r>
          <w:r>
            <w:rPr>
              <w:rFonts w:hint="eastAsia" w:ascii="仿宋" w:hAnsi="仿宋" w:eastAsia="仿宋" w:cs="仿宋"/>
              <w:snapToGrid/>
              <w:color w:val="auto"/>
              <w:spacing w:val="-20"/>
              <w:kern w:val="2"/>
              <w:sz w:val="24"/>
              <w:szCs w:val="24"/>
              <w:lang w:val="en-US" w:eastAsia="zh-CN" w:bidi="ar-SA"/>
            </w:rPr>
            <w:fldChar w:fldCharType="end"/>
          </w:r>
        </w:p>
      </w:sdtContent>
    </w:sdt>
    <w:p>
      <w:pPr>
        <w:spacing w:line="258" w:lineRule="auto"/>
        <w:jc w:val="center"/>
        <w:outlineLvl w:val="9"/>
        <w:rPr>
          <w:rFonts w:hint="eastAsia" w:ascii="方正粗宋简体" w:hAnsi="方正小标宋简体" w:eastAsia="方正粗宋简体" w:cs="Times New Roman"/>
          <w:b/>
          <w:snapToGrid/>
          <w:color w:val="auto"/>
          <w:spacing w:val="-20"/>
          <w:kern w:val="2"/>
          <w:sz w:val="44"/>
          <w:szCs w:val="44"/>
          <w:lang w:val="en-US" w:eastAsia="zh-CN" w:bidi="ar-SA"/>
        </w:rPr>
        <w:sectPr>
          <w:headerReference r:id="rId5" w:type="default"/>
          <w:footerReference r:id="rId6" w:type="default"/>
          <w:pgSz w:w="11907" w:h="16840"/>
          <w:pgMar w:top="1440" w:right="1803" w:bottom="1440" w:left="1803" w:header="907" w:footer="1191"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bookmarkStart w:id="3" w:name="_Toc22817"/>
      <w:r>
        <w:rPr>
          <w:rFonts w:hint="eastAsia" w:ascii="方正粗宋简体" w:hAnsi="方正小标宋简体" w:eastAsia="方正粗宋简体" w:cs="Times New Roman"/>
          <w:b/>
          <w:snapToGrid/>
          <w:color w:val="auto"/>
          <w:spacing w:val="-20"/>
          <w:kern w:val="2"/>
          <w:sz w:val="44"/>
          <w:szCs w:val="44"/>
          <w:lang w:val="en-US" w:eastAsia="zh-CN" w:bidi="ar-SA"/>
        </w:rPr>
        <w:t>2023年度松材线虫病防治项目支出</w:t>
      </w:r>
    </w:p>
    <w:p>
      <w:pPr>
        <w:spacing w:line="258" w:lineRule="auto"/>
        <w:jc w:val="center"/>
        <w:outlineLvl w:val="0"/>
        <w:rPr>
          <w:rFonts w:hint="eastAsia" w:ascii="方正粗宋简体" w:hAnsi="方正小标宋简体" w:eastAsia="方正粗宋简体" w:cs="Times New Roman"/>
          <w:b/>
          <w:snapToGrid/>
          <w:color w:val="auto"/>
          <w:spacing w:val="-20"/>
          <w:kern w:val="2"/>
          <w:sz w:val="44"/>
          <w:szCs w:val="44"/>
          <w:lang w:val="en-US" w:eastAsia="zh-CN" w:bidi="ar-SA"/>
        </w:rPr>
      </w:pPr>
      <w:r>
        <w:rPr>
          <w:rFonts w:hint="eastAsia" w:ascii="方正粗宋简体" w:hAnsi="方正小标宋简体" w:eastAsia="方正粗宋简体" w:cs="Times New Roman"/>
          <w:b/>
          <w:snapToGrid/>
          <w:color w:val="auto"/>
          <w:spacing w:val="-20"/>
          <w:kern w:val="2"/>
          <w:sz w:val="44"/>
          <w:szCs w:val="44"/>
          <w:lang w:val="en-US" w:eastAsia="zh-CN" w:bidi="ar-SA"/>
        </w:rPr>
        <w:t>绩效目标执行监控报告</w:t>
      </w:r>
      <w:bookmarkEnd w:id="2"/>
      <w:bookmarkEnd w:id="3"/>
    </w:p>
    <w:p>
      <w:pPr>
        <w:spacing w:before="114" w:line="260" w:lineRule="auto"/>
        <w:ind w:left="2389" w:right="819" w:hanging="1623"/>
        <w:rPr>
          <w:rFonts w:ascii="仿宋" w:hAnsi="仿宋" w:eastAsia="仿宋" w:cs="仿宋"/>
          <w:spacing w:val="8"/>
          <w:sz w:val="35"/>
          <w:szCs w:val="35"/>
          <w14:textOutline w14:w="6537"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left="27" w:firstLine="604" w:firstLineChars="200"/>
        <w:jc w:val="both"/>
        <w:textAlignment w:val="baseline"/>
        <w:rPr>
          <w:rFonts w:ascii="仿宋" w:hAnsi="仿宋" w:eastAsia="仿宋" w:cs="仿宋"/>
          <w:sz w:val="32"/>
          <w:szCs w:val="32"/>
          <w:highlight w:val="none"/>
        </w:rPr>
      </w:pPr>
      <w:r>
        <w:rPr>
          <w:rFonts w:hint="eastAsia" w:ascii="仿宋" w:hAnsi="仿宋" w:eastAsia="仿宋" w:cs="仿宋"/>
          <w:spacing w:val="-9"/>
          <w:sz w:val="32"/>
          <w:szCs w:val="32"/>
          <w:highlight w:val="none"/>
        </w:rPr>
        <w:t>为深入贯彻落实《中共中央 国务院关于全面实施预算绩效管理的意见》(中发〔2018〕34号),加快建成全方位、全过程、全覆盖的预算绩效管理体系，提高财政资源配置效率和使用效益，结合《中共江西省委 江西省人民政府关于全面实施预算绩效管理的实施意见》(赣发〔201</w:t>
      </w:r>
      <w:r>
        <w:rPr>
          <w:rFonts w:hint="eastAsia" w:ascii="仿宋" w:hAnsi="仿宋" w:eastAsia="仿宋" w:cs="仿宋"/>
          <w:spacing w:val="-9"/>
          <w:sz w:val="32"/>
          <w:szCs w:val="32"/>
          <w:highlight w:val="none"/>
          <w:lang w:val="en-US" w:eastAsia="zh-CN"/>
        </w:rPr>
        <w:t>9</w:t>
      </w:r>
      <w:r>
        <w:rPr>
          <w:rFonts w:hint="eastAsia" w:ascii="仿宋" w:hAnsi="仿宋" w:eastAsia="仿宋" w:cs="仿宋"/>
          <w:spacing w:val="-9"/>
          <w:sz w:val="32"/>
          <w:szCs w:val="32"/>
          <w:highlight w:val="none"/>
        </w:rPr>
        <w:t>〕8号)和《中共永修县委 永修县人民政府印发关于全面实施预算绩效管理的实施办法》(永发〔20</w:t>
      </w:r>
      <w:r>
        <w:rPr>
          <w:rFonts w:hint="eastAsia" w:ascii="仿宋" w:hAnsi="仿宋" w:eastAsia="仿宋" w:cs="仿宋"/>
          <w:spacing w:val="-9"/>
          <w:sz w:val="32"/>
          <w:szCs w:val="32"/>
          <w:highlight w:val="none"/>
          <w:lang w:val="en-US" w:eastAsia="zh-CN"/>
        </w:rPr>
        <w:t>20</w:t>
      </w:r>
      <w:r>
        <w:rPr>
          <w:rFonts w:hint="eastAsia" w:ascii="仿宋" w:hAnsi="仿宋" w:eastAsia="仿宋" w:cs="仿宋"/>
          <w:spacing w:val="-9"/>
          <w:sz w:val="32"/>
          <w:szCs w:val="32"/>
          <w:highlight w:val="none"/>
        </w:rPr>
        <w:t>〕18号)文件精神</w:t>
      </w:r>
      <w:r>
        <w:rPr>
          <w:rFonts w:ascii="仿宋" w:hAnsi="仿宋" w:eastAsia="仿宋" w:cs="仿宋"/>
          <w:spacing w:val="-9"/>
          <w:sz w:val="32"/>
          <w:szCs w:val="32"/>
          <w:highlight w:val="none"/>
        </w:rPr>
        <w:t>，受</w:t>
      </w:r>
      <w:r>
        <w:rPr>
          <w:rFonts w:hint="eastAsia" w:ascii="仿宋" w:hAnsi="仿宋" w:eastAsia="仿宋" w:cs="仿宋"/>
          <w:spacing w:val="-9"/>
          <w:sz w:val="32"/>
          <w:szCs w:val="32"/>
          <w:highlight w:val="none"/>
        </w:rPr>
        <w:t>永修县</w:t>
      </w:r>
      <w:r>
        <w:rPr>
          <w:rFonts w:ascii="仿宋" w:hAnsi="仿宋" w:eastAsia="仿宋" w:cs="仿宋"/>
          <w:spacing w:val="-9"/>
          <w:sz w:val="32"/>
          <w:szCs w:val="32"/>
          <w:highlight w:val="none"/>
        </w:rPr>
        <w:t>财政局的委托，</w:t>
      </w:r>
      <w:r>
        <w:rPr>
          <w:rFonts w:hint="eastAsia" w:ascii="仿宋" w:hAnsi="仿宋" w:eastAsia="仿宋" w:cs="仿宋"/>
          <w:spacing w:val="-9"/>
          <w:sz w:val="32"/>
          <w:szCs w:val="32"/>
          <w:highlight w:val="none"/>
        </w:rPr>
        <w:t>江西华宏会计师事务所有限公司组成绩效评价工作组，于202</w:t>
      </w:r>
      <w:r>
        <w:rPr>
          <w:rFonts w:hint="eastAsia" w:ascii="仿宋" w:hAnsi="仿宋" w:eastAsia="仿宋" w:cs="仿宋"/>
          <w:spacing w:val="-9"/>
          <w:sz w:val="32"/>
          <w:szCs w:val="32"/>
          <w:highlight w:val="none"/>
          <w:lang w:val="en-US" w:eastAsia="zh-CN"/>
        </w:rPr>
        <w:t>3</w:t>
      </w:r>
      <w:r>
        <w:rPr>
          <w:rFonts w:hint="eastAsia" w:ascii="仿宋" w:hAnsi="仿宋" w:eastAsia="仿宋" w:cs="仿宋"/>
          <w:spacing w:val="-9"/>
          <w:sz w:val="32"/>
          <w:szCs w:val="32"/>
          <w:highlight w:val="none"/>
        </w:rPr>
        <w:t>年</w:t>
      </w:r>
      <w:r>
        <w:rPr>
          <w:rFonts w:hint="eastAsia" w:ascii="仿宋" w:hAnsi="仿宋" w:eastAsia="仿宋" w:cs="仿宋"/>
          <w:spacing w:val="-9"/>
          <w:sz w:val="32"/>
          <w:szCs w:val="32"/>
          <w:highlight w:val="none"/>
          <w:lang w:val="en-US" w:eastAsia="zh-CN"/>
        </w:rPr>
        <w:t>10</w:t>
      </w:r>
      <w:r>
        <w:rPr>
          <w:rFonts w:hint="eastAsia" w:ascii="仿宋" w:hAnsi="仿宋" w:eastAsia="仿宋" w:cs="仿宋"/>
          <w:spacing w:val="-9"/>
          <w:sz w:val="32"/>
          <w:szCs w:val="32"/>
          <w:highlight w:val="none"/>
        </w:rPr>
        <w:t>月，对永修县</w:t>
      </w:r>
      <w:r>
        <w:rPr>
          <w:rFonts w:hint="eastAsia" w:ascii="仿宋" w:hAnsi="仿宋" w:eastAsia="仿宋" w:cs="仿宋"/>
          <w:spacing w:val="-9"/>
          <w:sz w:val="32"/>
          <w:szCs w:val="32"/>
          <w:highlight w:val="none"/>
          <w:lang w:eastAsia="zh-CN"/>
        </w:rPr>
        <w:t>林业局（</w:t>
      </w:r>
      <w:r>
        <w:rPr>
          <w:rFonts w:hint="eastAsia" w:ascii="仿宋" w:hAnsi="仿宋" w:eastAsia="仿宋" w:cs="仿宋"/>
          <w:spacing w:val="-9"/>
          <w:sz w:val="32"/>
          <w:szCs w:val="32"/>
          <w:highlight w:val="none"/>
          <w:lang w:val="en-US" w:eastAsia="zh-CN"/>
        </w:rPr>
        <w:t>以下简称“</w:t>
      </w:r>
      <w:r>
        <w:rPr>
          <w:rFonts w:hint="eastAsia" w:ascii="仿宋" w:hAnsi="仿宋" w:eastAsia="仿宋" w:cs="仿宋"/>
          <w:spacing w:val="-9"/>
          <w:sz w:val="32"/>
          <w:szCs w:val="32"/>
          <w:highlight w:val="none"/>
          <w:lang w:eastAsia="zh-CN"/>
        </w:rPr>
        <w:t>林业局</w:t>
      </w:r>
      <w:r>
        <w:rPr>
          <w:rFonts w:hint="eastAsia" w:ascii="仿宋" w:hAnsi="仿宋" w:eastAsia="仿宋" w:cs="仿宋"/>
          <w:spacing w:val="-9"/>
          <w:sz w:val="32"/>
          <w:szCs w:val="32"/>
          <w:highlight w:val="none"/>
          <w:lang w:val="en-US" w:eastAsia="zh-CN"/>
        </w:rPr>
        <w:t>”</w:t>
      </w:r>
      <w:r>
        <w:rPr>
          <w:rFonts w:hint="eastAsia" w:ascii="仿宋" w:hAnsi="仿宋" w:eastAsia="仿宋" w:cs="仿宋"/>
          <w:spacing w:val="-9"/>
          <w:sz w:val="32"/>
          <w:szCs w:val="32"/>
          <w:highlight w:val="none"/>
          <w:lang w:eastAsia="zh-CN"/>
        </w:rPr>
        <w:t>）2023年度松材线虫病防治</w:t>
      </w:r>
      <w:r>
        <w:rPr>
          <w:rFonts w:hint="eastAsia" w:ascii="仿宋" w:hAnsi="仿宋" w:eastAsia="仿宋" w:cs="仿宋"/>
          <w:spacing w:val="-9"/>
          <w:sz w:val="32"/>
          <w:szCs w:val="32"/>
          <w:highlight w:val="none"/>
        </w:rPr>
        <w:t>1-</w:t>
      </w:r>
      <w:r>
        <w:rPr>
          <w:rFonts w:hint="eastAsia" w:ascii="仿宋" w:hAnsi="仿宋" w:eastAsia="仿宋" w:cs="仿宋"/>
          <w:spacing w:val="-9"/>
          <w:sz w:val="32"/>
          <w:szCs w:val="32"/>
          <w:highlight w:val="none"/>
          <w:lang w:val="en-US" w:eastAsia="zh-CN"/>
        </w:rPr>
        <w:t>9</w:t>
      </w:r>
      <w:r>
        <w:rPr>
          <w:rFonts w:hint="eastAsia" w:ascii="仿宋" w:hAnsi="仿宋" w:eastAsia="仿宋" w:cs="仿宋"/>
          <w:spacing w:val="-9"/>
          <w:sz w:val="32"/>
          <w:szCs w:val="32"/>
          <w:highlight w:val="none"/>
        </w:rPr>
        <w:t>月项目支出进行了跟踪绩效监控。提供真实、完整的监控</w:t>
      </w:r>
      <w:r>
        <w:rPr>
          <w:rFonts w:ascii="仿宋" w:hAnsi="仿宋" w:eastAsia="仿宋" w:cs="仿宋"/>
          <w:spacing w:val="-9"/>
          <w:sz w:val="32"/>
          <w:szCs w:val="32"/>
          <w:highlight w:val="none"/>
        </w:rPr>
        <w:t>资料是</w:t>
      </w:r>
      <w:r>
        <w:rPr>
          <w:rFonts w:hint="eastAsia" w:ascii="仿宋" w:hAnsi="仿宋" w:eastAsia="仿宋" w:cs="仿宋"/>
          <w:spacing w:val="-9"/>
          <w:sz w:val="32"/>
          <w:szCs w:val="32"/>
          <w:highlight w:val="none"/>
          <w:lang w:val="en-US" w:eastAsia="zh-CN"/>
        </w:rPr>
        <w:t>林业局</w:t>
      </w:r>
      <w:r>
        <w:rPr>
          <w:rFonts w:ascii="仿宋" w:hAnsi="仿宋" w:eastAsia="仿宋" w:cs="仿宋"/>
          <w:spacing w:val="-9"/>
          <w:sz w:val="32"/>
          <w:szCs w:val="32"/>
          <w:highlight w:val="none"/>
        </w:rPr>
        <w:t>的责任，我们的责任是对该项目进行绩效监控。监控工作得到了</w:t>
      </w:r>
      <w:r>
        <w:rPr>
          <w:rFonts w:hint="eastAsia" w:ascii="仿宋" w:hAnsi="仿宋" w:eastAsia="仿宋" w:cs="仿宋"/>
          <w:spacing w:val="-9"/>
          <w:sz w:val="32"/>
          <w:szCs w:val="32"/>
          <w:highlight w:val="none"/>
          <w:lang w:val="en-US" w:eastAsia="zh-CN"/>
        </w:rPr>
        <w:t>林业局</w:t>
      </w:r>
      <w:r>
        <w:rPr>
          <w:rFonts w:ascii="仿宋" w:hAnsi="仿宋" w:eastAsia="仿宋" w:cs="仿宋"/>
          <w:spacing w:val="-9"/>
          <w:sz w:val="32"/>
          <w:szCs w:val="32"/>
          <w:highlight w:val="none"/>
        </w:rPr>
        <w:t>的积极配合，工作进展较为顺利。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4" w:name="_Toc17781"/>
      <w:bookmarkStart w:id="5" w:name="_Toc2063"/>
      <w:r>
        <w:rPr>
          <w:rFonts w:hint="eastAsia" w:ascii="黑体" w:hAnsi="黑体" w:eastAsia="黑体" w:cs="Times New Roman"/>
          <w:b w:val="0"/>
          <w:bCs/>
          <w:snapToGrid/>
          <w:kern w:val="2"/>
          <w:sz w:val="32"/>
          <w:szCs w:val="32"/>
          <w:lang w:val="en-US" w:eastAsia="zh-CN" w:bidi="ar-SA"/>
        </w:rPr>
        <w:t>一、项目单位基本情况</w:t>
      </w:r>
      <w:bookmarkEnd w:id="4"/>
      <w:bookmarkEnd w:id="5"/>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rPr>
        <w:t>永修县</w:t>
      </w:r>
      <w:r>
        <w:rPr>
          <w:rFonts w:hint="eastAsia" w:ascii="仿宋" w:hAnsi="仿宋" w:eastAsia="仿宋" w:cs="仿宋"/>
          <w:spacing w:val="-9"/>
          <w:sz w:val="32"/>
          <w:szCs w:val="32"/>
          <w:highlight w:val="none"/>
          <w:lang w:eastAsia="zh-CN"/>
        </w:rPr>
        <w:t>林业局（</w:t>
      </w:r>
      <w:r>
        <w:rPr>
          <w:rFonts w:hint="eastAsia" w:ascii="仿宋" w:hAnsi="仿宋" w:eastAsia="仿宋" w:cs="仿宋"/>
          <w:spacing w:val="-9"/>
          <w:sz w:val="32"/>
          <w:szCs w:val="32"/>
          <w:highlight w:val="none"/>
          <w:lang w:val="en-US" w:eastAsia="zh-CN"/>
        </w:rPr>
        <w:t>以下简称</w:t>
      </w:r>
      <w:r>
        <w:rPr>
          <w:rFonts w:hint="eastAsia" w:ascii="仿宋" w:hAnsi="仿宋" w:eastAsia="仿宋" w:cs="仿宋"/>
          <w:spacing w:val="-9"/>
          <w:sz w:val="32"/>
          <w:szCs w:val="32"/>
          <w:highlight w:val="none"/>
          <w:lang w:eastAsia="zh-CN"/>
        </w:rPr>
        <w:t>林业局）</w:t>
      </w:r>
      <w:r>
        <w:rPr>
          <w:rFonts w:hint="eastAsia" w:ascii="仿宋" w:hAnsi="仿宋" w:eastAsia="仿宋" w:cs="仿宋"/>
          <w:spacing w:val="-9"/>
          <w:sz w:val="32"/>
          <w:szCs w:val="32"/>
          <w:highlight w:val="none"/>
          <w:lang w:val="en-US" w:eastAsia="zh-CN"/>
        </w:rPr>
        <w:t>，统一社会信用代码为113604250146040325，办公地址为九江市永修县新政府大楼三楼。</w:t>
      </w: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主要职责：</w:t>
      </w: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一）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和草地有害生物防治、检疫。</w:t>
      </w: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二）进一步完善监测网络。积极推进无人机、卫星遥感、物联网等新技术应用,构建天空地一体化监测。加强对电网和通信线路沿线、通信基站等建设工程施工区域，以及木材集散地、自然保护区、疫区毗邻区的日常监测。重点做好秋季专项调查。</w:t>
      </w: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（三）牵头组织开展检疫监管及疫情除治工作，落实山场疫木检疫封锁和全过程跟踪监管制度，加大检疫执法力度,杜绝松木及其制品非法加工、运输、经营和流通,防止疫情扩散传播。</w:t>
      </w:r>
    </w:p>
    <w:p>
      <w:pPr>
        <w:keepNext w:val="0"/>
        <w:keepLines w:val="0"/>
        <w:pageBreakBefore w:val="0"/>
        <w:widowControl w:val="0"/>
        <w:kinsoku/>
        <w:wordWrap/>
        <w:overflowPunct/>
        <w:topLinePunct w:val="0"/>
        <w:autoSpaceDE w:val="0"/>
        <w:autoSpaceDN w:val="0"/>
        <w:bidi w:val="0"/>
        <w:adjustRightInd w:val="0"/>
        <w:snapToGrid w:val="0"/>
        <w:spacing w:before="91"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四）加大松材线虫病疫情防控知识和政策的宣传，及时把上级的防控政策和精神传达到各相关单位和部门，加强对新技术新措施新器械的推广，在疫情监测、检疫、防治技术、防治药械、防控要求等方面全面开展业务和安全培训，将最新的防控理念和技术向防控一线传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6" w:name="_Toc16481"/>
      <w:bookmarkStart w:id="7" w:name="_Toc20640"/>
      <w:r>
        <w:rPr>
          <w:rFonts w:hint="eastAsia" w:ascii="黑体" w:hAnsi="黑体" w:eastAsia="黑体" w:cs="Times New Roman"/>
          <w:b w:val="0"/>
          <w:bCs/>
          <w:snapToGrid/>
          <w:kern w:val="2"/>
          <w:sz w:val="32"/>
          <w:szCs w:val="32"/>
          <w:lang w:val="en-US" w:eastAsia="zh-CN" w:bidi="ar-SA"/>
        </w:rPr>
        <w:t>二、项目基本情况</w:t>
      </w:r>
      <w:bookmarkEnd w:id="6"/>
      <w:bookmarkEnd w:id="7"/>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楷体_GB2312" w:hAnsi="楷体_GB2312" w:eastAsia="楷体_GB2312" w:cs="楷体_GB2312"/>
          <w:snapToGrid/>
          <w:kern w:val="2"/>
          <w:sz w:val="32"/>
          <w:szCs w:val="32"/>
          <w:lang w:val="en-US" w:eastAsia="zh-CN" w:bidi="ar-SA"/>
        </w:rPr>
      </w:pPr>
      <w:bookmarkStart w:id="8" w:name="_Toc22231"/>
      <w:bookmarkStart w:id="9" w:name="_Toc4350"/>
      <w:r>
        <w:rPr>
          <w:rFonts w:hint="eastAsia" w:ascii="楷体_GB2312" w:hAnsi="楷体_GB2312" w:eastAsia="楷体_GB2312" w:cs="楷体_GB2312"/>
          <w:snapToGrid/>
          <w:kern w:val="2"/>
          <w:sz w:val="32"/>
          <w:szCs w:val="32"/>
          <w:lang w:val="en-US" w:eastAsia="zh-CN" w:bidi="ar-SA"/>
        </w:rPr>
        <w:t>（一）项目概况</w:t>
      </w:r>
      <w:bookmarkEnd w:id="8"/>
      <w:bookmarkEnd w:id="9"/>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0" w:name="_Toc10651"/>
      <w:bookmarkStart w:id="11" w:name="_Toc17534"/>
      <w:r>
        <w:rPr>
          <w:rFonts w:hint="eastAsia" w:ascii="仿宋" w:hAnsi="仿宋" w:eastAsia="仿宋" w:cs="仿宋"/>
          <w:spacing w:val="-9"/>
          <w:sz w:val="32"/>
          <w:szCs w:val="32"/>
          <w:lang w:val="en-US" w:eastAsia="zh-CN"/>
        </w:rPr>
        <w:t>1. 项目背景</w:t>
      </w:r>
      <w:bookmarkEnd w:id="10"/>
      <w:bookmarkEnd w:id="11"/>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永修县共有松林面积23.7万亩，于2019年被国家认定为松材线虫病疫区，有疫点7个，属于重型疫区。2022-2025年永修县将严格依据《江西省松材线虫病疫情防控五年攻坚行动方案》和《永修县五年攻坚行动方案》要求，科学防治，严格管控，以疫情压缩为目标，重点采用奖补措施，激励并压实乡镇属地管理责任，力争在2023年实现1个疫点无疫情（八角岭垦殖场），到2025年拔除疫点1个（八角岭垦殖场）实现1个疫点无疫情（白槎镇）。</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永修县严格按照国家林草局新修订的《松材线虫病防治技术方案 (2021 年版)》(林生发</w:t>
      </w:r>
      <w:r>
        <w:rPr>
          <w:rFonts w:hint="eastAsia" w:ascii="仿宋" w:hAnsi="仿宋" w:eastAsia="仿宋" w:cs="仿宋"/>
          <w:spacing w:val="-9"/>
          <w:sz w:val="32"/>
          <w:szCs w:val="32"/>
          <w:highlight w:val="none"/>
        </w:rPr>
        <w:t>〔20</w:t>
      </w:r>
      <w:r>
        <w:rPr>
          <w:rFonts w:hint="eastAsia" w:ascii="仿宋" w:hAnsi="仿宋" w:eastAsia="仿宋" w:cs="仿宋"/>
          <w:spacing w:val="-9"/>
          <w:sz w:val="32"/>
          <w:szCs w:val="32"/>
          <w:highlight w:val="none"/>
          <w:lang w:val="en-US" w:eastAsia="zh-CN"/>
        </w:rPr>
        <w:t>21</w:t>
      </w:r>
      <w:r>
        <w:rPr>
          <w:rFonts w:hint="eastAsia" w:ascii="仿宋" w:hAnsi="仿宋" w:eastAsia="仿宋" w:cs="仿宋"/>
          <w:spacing w:val="-9"/>
          <w:sz w:val="32"/>
          <w:szCs w:val="32"/>
          <w:highlight w:val="none"/>
        </w:rPr>
        <w:t>〕</w:t>
      </w:r>
      <w:r>
        <w:rPr>
          <w:rFonts w:hint="eastAsia" w:ascii="仿宋" w:hAnsi="仿宋" w:eastAsia="仿宋" w:cs="仿宋"/>
          <w:spacing w:val="-9"/>
          <w:sz w:val="32"/>
          <w:szCs w:val="32"/>
          <w:lang w:val="en-US" w:eastAsia="zh-CN"/>
        </w:rPr>
        <w:t>93号)要求，对辖区内所有松林，进行全面踏查，2022年秋季普查松林面积 237493.2亩，发现死亡松树总数为 56588株，其中:含病死、濒死树22904 株，干旱致死松树 33684 株，发生疫情小班数为 263个。</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2" w:name="_Toc6872"/>
      <w:bookmarkStart w:id="13" w:name="_Toc21591"/>
      <w:r>
        <w:rPr>
          <w:rFonts w:hint="eastAsia" w:ascii="仿宋" w:hAnsi="仿宋" w:eastAsia="仿宋" w:cs="仿宋"/>
          <w:spacing w:val="-9"/>
          <w:sz w:val="32"/>
          <w:szCs w:val="32"/>
          <w:lang w:val="en-US" w:eastAsia="zh-CN"/>
        </w:rPr>
        <w:t>项目主要内容</w:t>
      </w:r>
      <w:bookmarkEnd w:id="12"/>
      <w:bookmarkEnd w:id="13"/>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加强疫情监测，全方位落实松材线虫病疫情监测措施，全面采用无人机和卫星遥感全域监测集合人工地面使用国家林草局开发的松材线虫病防治精细化管理 APP 软件调查登记枯病死树，确保实现松林监测覆盖率 100%，做到第一时间发现新疫情，第一时间报告，第一时间处置，确保疫情不扩散蔓延。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彻底清理枯病死松树，由各地自行选择有资质的专业防治作业公司实行除治作业，并与该公司法人签订合同，价格和经费由各地参考县级补助标准自行确定。清除率须达到 100%。</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严防疫木流失。对枯病死松树实施就地除害处理或执县林业局统一下发的《松材线虫病疫木运输单》运送到本具 4 家无害化除治企业(即永修福业生态农林有限公司、永修县森降木材加工有限公司、八角岭城山木竹有限公司、梅棠镇新庄木材加工厂)进行无害化处理，处理率达到 100%。</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加强检疫监管。加大检疫执法力度，严防发生染疫松木跨县跨省调运事件。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综合防治措施。由县林业局负责综合防治措施的施行负责提供技术标准，打孔注药、释放白僵菌粉炮，投放花绒寄甲，进行枯病死树检样，完成无人机和卫星遥感监测、监理聘请与组织第三方评价等工作。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line="600" w:lineRule="exact"/>
        <w:ind w:left="27" w:leftChars="0" w:firstLine="604" w:firstLineChars="200"/>
        <w:jc w:val="both"/>
        <w:textAlignment w:val="baseline"/>
        <w:outlineLvl w:val="2"/>
        <w:rPr>
          <w:rFonts w:hint="eastAsia" w:ascii="仿宋" w:hAnsi="仿宋" w:eastAsia="仿宋" w:cs="仿宋"/>
          <w:spacing w:val="-9"/>
          <w:sz w:val="32"/>
          <w:szCs w:val="32"/>
          <w:lang w:val="en-US" w:eastAsia="zh-CN"/>
        </w:rPr>
      </w:pPr>
      <w:bookmarkStart w:id="14" w:name="_Toc18067"/>
      <w:bookmarkStart w:id="15" w:name="_Toc19788"/>
      <w:r>
        <w:rPr>
          <w:rFonts w:hint="eastAsia" w:ascii="仿宋" w:hAnsi="仿宋" w:eastAsia="仿宋" w:cs="仿宋"/>
          <w:spacing w:val="-9"/>
          <w:sz w:val="32"/>
          <w:szCs w:val="32"/>
          <w:lang w:val="en-US" w:eastAsia="zh-CN"/>
        </w:rPr>
        <w:t>项目资金预算情况</w:t>
      </w:r>
      <w:bookmarkEnd w:id="14"/>
      <w:bookmarkEnd w:id="15"/>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2023年，永修县财政局预算安排2023年度松材线虫病防治补助资金533.818万元，其中：县本级森林植被恢复费484.818万元，上级资金49万元（九财资环指[2022]24号文件），实际到位533.818万元。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napToGrid/>
          <w:kern w:val="2"/>
          <w:sz w:val="32"/>
          <w:szCs w:val="32"/>
          <w:lang w:val="en-US" w:eastAsia="zh-CN" w:bidi="ar-SA"/>
        </w:rPr>
      </w:pPr>
      <w:bookmarkStart w:id="16" w:name="_Toc4126"/>
      <w:bookmarkStart w:id="17" w:name="_Toc28204_WPSOffice_Level2"/>
      <w:bookmarkStart w:id="18" w:name="_Toc29435"/>
      <w:r>
        <w:rPr>
          <w:rFonts w:hint="eastAsia" w:ascii="楷体_GB2312" w:hAnsi="楷体_GB2312" w:eastAsia="楷体_GB2312" w:cs="楷体_GB2312"/>
          <w:snapToGrid/>
          <w:kern w:val="2"/>
          <w:sz w:val="32"/>
          <w:szCs w:val="32"/>
          <w:lang w:val="en-US" w:eastAsia="zh-CN" w:bidi="ar-SA"/>
        </w:rPr>
        <w:t>（二）项目绩效目标</w:t>
      </w:r>
      <w:bookmarkEnd w:id="16"/>
      <w:bookmarkEnd w:id="17"/>
      <w:bookmarkEnd w:id="18"/>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19" w:name="_Toc30508_WPSOffice_Level3"/>
      <w:bookmarkStart w:id="20" w:name="_Toc2312"/>
      <w:bookmarkStart w:id="21" w:name="_Toc5419"/>
      <w:r>
        <w:rPr>
          <w:rFonts w:hint="eastAsia" w:ascii="仿宋" w:hAnsi="仿宋" w:eastAsia="仿宋" w:cs="仿宋"/>
          <w:spacing w:val="-9"/>
          <w:sz w:val="32"/>
          <w:szCs w:val="32"/>
          <w:lang w:val="en-US" w:eastAsia="zh-CN"/>
        </w:rPr>
        <w:t>1. 项目总体目标</w:t>
      </w:r>
      <w:bookmarkEnd w:id="19"/>
      <w:bookmarkEnd w:id="20"/>
      <w:bookmarkEnd w:id="21"/>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坚持以习近平生态文明思想为指导，遵循预防为主、治理为要、监管为重的防控理念，按照“政府主导、部门牵头、属地管理、分级负责、稳步推进”的原则，切实把</w:t>
      </w:r>
      <w:r>
        <w:rPr>
          <w:rFonts w:hint="eastAsia" w:ascii="仿宋" w:hAnsi="仿宋" w:eastAsia="仿宋" w:cs="仿宋"/>
          <w:spacing w:val="-9"/>
          <w:sz w:val="32"/>
          <w:szCs w:val="32"/>
          <w:highlight w:val="none"/>
          <w:lang w:val="en-US" w:eastAsia="zh-CN"/>
        </w:rPr>
        <w:t>《九江市松材线虫病防治条例》</w:t>
      </w:r>
      <w:r>
        <w:rPr>
          <w:rFonts w:hint="eastAsia" w:ascii="仿宋" w:hAnsi="仿宋" w:eastAsia="仿宋" w:cs="仿宋"/>
          <w:spacing w:val="-9"/>
          <w:sz w:val="32"/>
          <w:szCs w:val="32"/>
          <w:lang w:val="en-US" w:eastAsia="zh-CN"/>
        </w:rPr>
        <w:t>各项制度设计、行为规范、监管措施落到实处，健全完善政府主导.部门协作、社会参与的工作机制，完善监测网络，规范疫木利用监管，增强群防群治意识，科学分级管理、精准施策，按照重点拔除、逐步压缩、全面控制的目标要求，开展疫情防控攻坚行动，坚决遏制松材线虫病疫情严重发生和扩散蔓延的势头，进一步提升疫情防控水平，维护永修县松林资源安全。</w:t>
      </w:r>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outlineLvl w:val="2"/>
        <w:rPr>
          <w:rFonts w:hint="eastAsia" w:ascii="仿宋" w:hAnsi="仿宋" w:eastAsia="仿宋" w:cs="仿宋"/>
          <w:spacing w:val="-9"/>
          <w:sz w:val="32"/>
          <w:szCs w:val="32"/>
          <w:lang w:val="en-US" w:eastAsia="zh-CN"/>
        </w:rPr>
      </w:pPr>
      <w:bookmarkStart w:id="22" w:name="_Toc21969"/>
      <w:bookmarkStart w:id="23" w:name="_Toc8001_WPSOffice_Level3"/>
      <w:bookmarkStart w:id="24" w:name="_Toc15065"/>
      <w:r>
        <w:rPr>
          <w:rFonts w:hint="eastAsia" w:ascii="仿宋" w:hAnsi="仿宋" w:eastAsia="仿宋" w:cs="仿宋"/>
          <w:spacing w:val="-9"/>
          <w:sz w:val="32"/>
          <w:szCs w:val="32"/>
          <w:lang w:val="en-US" w:eastAsia="zh-CN"/>
        </w:rPr>
        <w:t>2. 项目阶段性目标</w:t>
      </w:r>
      <w:bookmarkEnd w:id="22"/>
      <w:bookmarkEnd w:id="23"/>
      <w:bookmarkEnd w:id="24"/>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加强疫情监测；彻底清理枯病死松树；严防疫木流失；加强检疫监管；综合防治措施有效；实现松材线虫病防治五年 (2021-2025) 计划目标。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25" w:name="_Toc28074"/>
      <w:bookmarkStart w:id="26" w:name="_Toc1517"/>
      <w:r>
        <w:rPr>
          <w:rFonts w:hint="eastAsia" w:ascii="黑体" w:hAnsi="黑体" w:eastAsia="黑体" w:cs="Times New Roman"/>
          <w:b w:val="0"/>
          <w:bCs/>
          <w:snapToGrid/>
          <w:kern w:val="2"/>
          <w:sz w:val="32"/>
          <w:szCs w:val="32"/>
          <w:lang w:val="en-US" w:eastAsia="zh-CN" w:bidi="ar-SA"/>
        </w:rPr>
        <w:t>三、绩效目标的核对和确定情况</w:t>
      </w:r>
      <w:bookmarkEnd w:id="25"/>
      <w:bookmarkEnd w:id="26"/>
    </w:p>
    <w:p>
      <w:pPr>
        <w:keepNext w:val="0"/>
        <w:keepLines w:val="0"/>
        <w:pageBreakBefore w:val="0"/>
        <w:widowControl w:val="0"/>
        <w:kinsoku/>
        <w:wordWrap/>
        <w:overflowPunct/>
        <w:topLinePunct w:val="0"/>
        <w:autoSpaceDE w:val="0"/>
        <w:autoSpaceDN w:val="0"/>
        <w:bidi w:val="0"/>
        <w:adjustRightInd w:val="0"/>
        <w:snapToGrid w:val="0"/>
        <w:spacing w:beforeAutospacing="0" w:line="600" w:lineRule="exact"/>
        <w:ind w:left="27" w:firstLine="604" w:firstLineChars="200"/>
        <w:jc w:val="both"/>
        <w:textAlignment w:val="baseline"/>
        <w:rPr>
          <w:rFonts w:hint="default"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根据《中共永修县委 永修县人民政府印发关于全面实施预算绩效管理的实施办法》(永发</w:t>
      </w:r>
      <w:r>
        <w:rPr>
          <w:rFonts w:hint="eastAsia" w:ascii="仿宋" w:hAnsi="仿宋" w:eastAsia="仿宋" w:cs="仿宋"/>
          <w:spacing w:val="-9"/>
          <w:sz w:val="32"/>
          <w:szCs w:val="32"/>
          <w:highlight w:val="none"/>
        </w:rPr>
        <w:t>〔20</w:t>
      </w:r>
      <w:r>
        <w:rPr>
          <w:rFonts w:hint="eastAsia" w:ascii="仿宋" w:hAnsi="仿宋" w:eastAsia="仿宋" w:cs="仿宋"/>
          <w:spacing w:val="-9"/>
          <w:sz w:val="32"/>
          <w:szCs w:val="32"/>
          <w:highlight w:val="none"/>
          <w:lang w:val="en-US" w:eastAsia="zh-CN"/>
        </w:rPr>
        <w:t>20</w:t>
      </w:r>
      <w:r>
        <w:rPr>
          <w:rFonts w:hint="eastAsia" w:ascii="仿宋" w:hAnsi="仿宋" w:eastAsia="仿宋" w:cs="仿宋"/>
          <w:spacing w:val="-9"/>
          <w:sz w:val="32"/>
          <w:szCs w:val="32"/>
          <w:highlight w:val="none"/>
        </w:rPr>
        <w:t>〕</w:t>
      </w:r>
      <w:r>
        <w:rPr>
          <w:rFonts w:hint="eastAsia" w:ascii="仿宋" w:hAnsi="仿宋" w:eastAsia="仿宋" w:cs="仿宋"/>
          <w:spacing w:val="-9"/>
          <w:sz w:val="32"/>
          <w:szCs w:val="32"/>
          <w:lang w:val="en-US" w:eastAsia="zh-CN"/>
        </w:rPr>
        <w:t>18号)文件精神 ，我们对本项目《项目绩效目标指标表》设置绩效目标的合理性和准确性进行了审核。问题如下：</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outlineLvl w:val="1"/>
        <w:rPr>
          <w:rFonts w:hint="default" w:ascii="仿宋" w:hAnsi="仿宋" w:eastAsia="仿宋" w:cs="仿宋"/>
          <w:spacing w:val="-9"/>
          <w:sz w:val="32"/>
          <w:szCs w:val="32"/>
          <w:lang w:val="en-US" w:eastAsia="zh-CN"/>
        </w:rPr>
      </w:pPr>
      <w:bookmarkStart w:id="27" w:name="_Toc25242"/>
      <w:bookmarkStart w:id="28" w:name="_Toc10336"/>
      <w:r>
        <w:rPr>
          <w:rFonts w:hint="eastAsia" w:ascii="楷体_GB2312" w:hAnsi="楷体_GB2312" w:eastAsia="楷体_GB2312" w:cs="楷体_GB2312"/>
          <w:snapToGrid/>
          <w:kern w:val="2"/>
          <w:sz w:val="32"/>
          <w:szCs w:val="32"/>
          <w:lang w:val="en-US" w:eastAsia="zh-CN" w:bidi="ar-SA"/>
        </w:rPr>
        <w:t>（一）绩效目标设置情况</w:t>
      </w:r>
      <w:bookmarkEnd w:id="27"/>
      <w:bookmarkEnd w:id="2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29" w:name="_Toc19936"/>
      <w:bookmarkStart w:id="30" w:name="_Toc26892"/>
      <w:r>
        <w:rPr>
          <w:rFonts w:hint="eastAsia" w:ascii="仿宋" w:hAnsi="仿宋" w:eastAsia="仿宋" w:cs="仿宋"/>
          <w:spacing w:val="-9"/>
          <w:sz w:val="32"/>
          <w:szCs w:val="32"/>
          <w:highlight w:val="none"/>
          <w:lang w:val="en-US" w:eastAsia="zh-CN"/>
        </w:rPr>
        <w:t xml:space="preserve">1. </w:t>
      </w:r>
      <w:bookmarkEnd w:id="29"/>
      <w:bookmarkStart w:id="31" w:name="_Toc1861"/>
      <w:r>
        <w:rPr>
          <w:rFonts w:hint="eastAsia" w:ascii="仿宋" w:hAnsi="仿宋" w:eastAsia="仿宋" w:cs="仿宋"/>
          <w:spacing w:val="-9"/>
          <w:sz w:val="32"/>
          <w:szCs w:val="32"/>
          <w:highlight w:val="none"/>
          <w:lang w:val="en-US" w:eastAsia="zh-CN"/>
        </w:rPr>
        <w:t>绩效目标准确性方面</w:t>
      </w:r>
      <w:bookmarkEnd w:id="30"/>
      <w:bookmarkEnd w:id="3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质量指标“清理枯病死松树合格率”设置不准确。林业局理解为合格清理枯病死松树总数除以计划完成数量，实际是考核质量指标，应该为合格清理枯病死松树总数除以清理枯病死松树总数。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outlineLvl w:val="1"/>
        <w:rPr>
          <w:rFonts w:hint="eastAsia" w:ascii="仿宋" w:hAnsi="仿宋" w:eastAsia="仿宋" w:cs="仿宋"/>
          <w:spacing w:val="-9"/>
          <w:sz w:val="32"/>
          <w:szCs w:val="32"/>
          <w:lang w:val="en-US" w:eastAsia="zh-CN"/>
        </w:rPr>
      </w:pPr>
      <w:bookmarkStart w:id="32" w:name="_Toc15777"/>
      <w:bookmarkStart w:id="33" w:name="_Toc6803"/>
      <w:bookmarkStart w:id="34" w:name="_Toc11289"/>
      <w:r>
        <w:rPr>
          <w:rFonts w:hint="eastAsia" w:ascii="楷体_GB2312" w:hAnsi="楷体_GB2312" w:eastAsia="楷体_GB2312" w:cs="楷体_GB2312"/>
          <w:snapToGrid/>
          <w:kern w:val="2"/>
          <w:sz w:val="32"/>
          <w:szCs w:val="32"/>
          <w:lang w:val="en-US" w:eastAsia="zh-CN" w:bidi="ar-SA"/>
        </w:rPr>
        <w:t>（二）绩效目标的确定情况</w:t>
      </w:r>
      <w:bookmarkEnd w:id="32"/>
      <w:bookmarkEnd w:id="33"/>
      <w:bookmarkEnd w:id="34"/>
      <w:r>
        <w:rPr>
          <w:rFonts w:hint="eastAsia" w:ascii="仿宋" w:hAnsi="仿宋" w:eastAsia="仿宋" w:cs="仿宋"/>
          <w:spacing w:val="-9"/>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调整后的项目绩效指标体系如下：</w:t>
      </w:r>
    </w:p>
    <w:tbl>
      <w:tblPr>
        <w:tblStyle w:val="8"/>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7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snapToGrid w:val="0"/>
                <w:color w:val="000000"/>
                <w:kern w:val="0"/>
                <w:sz w:val="30"/>
                <w:szCs w:val="30"/>
                <w:highlight w:val="none"/>
                <w:u w:val="none"/>
                <w:lang w:val="en-US" w:eastAsia="zh-CN" w:bidi="ar"/>
              </w:rPr>
              <w:t>项目绩效指标体系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Style w:val="13"/>
                <w:snapToGrid w:val="0"/>
                <w:color w:val="000000"/>
                <w:highlight w:val="none"/>
                <w:lang w:val="en-US" w:eastAsia="zh-CN" w:bidi="ar"/>
              </w:rPr>
            </w:pPr>
            <w:r>
              <w:rPr>
                <w:rStyle w:val="13"/>
                <w:snapToGrid w:val="0"/>
                <w:color w:val="000000"/>
                <w:highlight w:val="none"/>
                <w:lang w:val="en-US" w:eastAsia="zh-CN" w:bidi="ar"/>
              </w:rPr>
              <w:t>（</w:t>
            </w:r>
            <w:r>
              <w:rPr>
                <w:rStyle w:val="14"/>
                <w:rFonts w:eastAsia="宋体"/>
                <w:snapToGrid w:val="0"/>
                <w:color w:val="000000"/>
                <w:highlight w:val="none"/>
                <w:lang w:val="en-US" w:eastAsia="zh-CN" w:bidi="ar"/>
              </w:rPr>
              <w:t xml:space="preserve">  202</w:t>
            </w:r>
            <w:r>
              <w:rPr>
                <w:rStyle w:val="14"/>
                <w:rFonts w:hint="eastAsia" w:eastAsia="宋体"/>
                <w:snapToGrid w:val="0"/>
                <w:color w:val="000000"/>
                <w:highlight w:val="none"/>
                <w:lang w:val="en-US" w:eastAsia="zh-CN" w:bidi="ar"/>
              </w:rPr>
              <w:t>3</w:t>
            </w:r>
            <w:r>
              <w:rPr>
                <w:rStyle w:val="14"/>
                <w:rFonts w:eastAsia="宋体"/>
                <w:snapToGrid w:val="0"/>
                <w:color w:val="000000"/>
                <w:highlight w:val="none"/>
                <w:lang w:val="en-US" w:eastAsia="zh-CN" w:bidi="ar"/>
              </w:rPr>
              <w:t xml:space="preserve"> </w:t>
            </w:r>
            <w:r>
              <w:rPr>
                <w:rStyle w:val="13"/>
                <w:snapToGrid w:val="0"/>
                <w:color w:val="000000"/>
                <w:highlight w:val="none"/>
                <w:lang w:val="en-US" w:eastAsia="zh-CN" w:bidi="ar"/>
              </w:rPr>
              <w:t>年度）</w:t>
            </w:r>
          </w:p>
          <w:p>
            <w:pPr>
              <w:keepNext w:val="0"/>
              <w:keepLines w:val="0"/>
              <w:widowControl/>
              <w:suppressLineNumbers w:val="0"/>
              <w:jc w:val="center"/>
              <w:textAlignment w:val="center"/>
              <w:rPr>
                <w:rStyle w:val="13"/>
                <w:snapToGrid w:val="0"/>
                <w:color w:val="000000"/>
                <w:highlight w:val="none"/>
                <w:lang w:val="en-US" w:eastAsia="zh-CN" w:bidi="ar"/>
              </w:rPr>
            </w:pPr>
          </w:p>
          <w:tbl>
            <w:tblPr>
              <w:tblStyle w:val="8"/>
              <w:tblW w:w="49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5"/>
              <w:gridCol w:w="1073"/>
              <w:gridCol w:w="1842"/>
              <w:gridCol w:w="1843"/>
              <w:gridCol w:w="110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项目名称</w:t>
                  </w:r>
                </w:p>
              </w:tc>
              <w:tc>
                <w:tcPr>
                  <w:tcW w:w="4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松材线虫病防治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主管部门</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永修县林业局</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项目实施单位</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永修县林业局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项目类型</w:t>
                  </w:r>
                </w:p>
              </w:tc>
              <w:tc>
                <w:tcPr>
                  <w:tcW w:w="4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经常性项目（√）       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计划投资额（万元）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533.8</w:t>
                  </w:r>
                  <w:r>
                    <w:rPr>
                      <w:rFonts w:hint="eastAsia" w:ascii="Times New Roman" w:hAnsi="Times New Roman" w:eastAsia="宋体" w:cs="Times New Roman"/>
                      <w:i w:val="0"/>
                      <w:iCs w:val="0"/>
                      <w:snapToGrid w:val="0"/>
                      <w:color w:val="000000"/>
                      <w:kern w:val="0"/>
                      <w:sz w:val="21"/>
                      <w:szCs w:val="21"/>
                      <w:u w:val="none"/>
                      <w:lang w:val="en-US" w:eastAsia="zh-CN" w:bidi="ar"/>
                    </w:rPr>
                    <w:t>2</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实际到位资金（万元）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533.8</w:t>
                  </w:r>
                  <w:r>
                    <w:rPr>
                      <w:rFonts w:hint="eastAsia" w:ascii="Times New Roman" w:hAnsi="Times New Roman" w:eastAsia="宋体" w:cs="Times New Roman"/>
                      <w:i w:val="0"/>
                      <w:iCs w:val="0"/>
                      <w:snapToGrid w:val="0"/>
                      <w:color w:val="000000"/>
                      <w:kern w:val="0"/>
                      <w:sz w:val="21"/>
                      <w:szCs w:val="21"/>
                      <w:u w:val="none"/>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实际使用情况（万元）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其中：中央财政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其中：中央财政</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省财政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省财政</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市县财政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市县财政</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其他</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其他</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一级指标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二级指标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三级指标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Style w:val="25"/>
                      <w:snapToGrid w:val="0"/>
                      <w:color w:val="00000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清理枯病死松树数量（株）</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77494</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采购花绒寄甲数量（头）</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采购和释放白僵菌粉炮数量（个）</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采购打孔注药数量（瓶）</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采购相关技术服务次数（次）</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清理枯病死松树合格率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花绒寄甲、白僵菌粉炮释放率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打孔注药验收合格率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相关服务验收合格率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清理枯病死松树及时性</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花绒寄甲、白僵菌粉炮采购、释放及时性</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打孔注药及时性</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相关服务完成及时性</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5"/>
                      <w:snapToGrid w:val="0"/>
                      <w:color w:val="000000"/>
                      <w:lang w:val="en-US" w:eastAsia="zh-CN" w:bidi="ar"/>
                    </w:rPr>
                    <w:t>成本指标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松材线虫病防治经费</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增加就业岗位</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生态效益</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松材线虫病疫情小班面积降低，保护生态环境</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2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林农满意度</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90%</w:t>
                  </w:r>
                  <w:r>
                    <w:rPr>
                      <w:rStyle w:val="25"/>
                      <w:snapToGrid w:val="0"/>
                      <w:color w:val="000000"/>
                      <w:lang w:val="en-US" w:eastAsia="zh-CN" w:bidi="ar"/>
                    </w:rPr>
                    <w:t>以上</w:t>
                  </w:r>
                </w:p>
              </w:tc>
            </w:tr>
          </w:tbl>
          <w:p>
            <w:pPr>
              <w:keepNext w:val="0"/>
              <w:keepLines w:val="0"/>
              <w:widowControl/>
              <w:suppressLineNumbers w:val="0"/>
              <w:jc w:val="center"/>
              <w:textAlignment w:val="center"/>
              <w:rPr>
                <w:rStyle w:val="13"/>
                <w:snapToGrid w:val="0"/>
                <w:color w:val="000000"/>
                <w:highlight w:val="none"/>
                <w:lang w:val="en-US" w:eastAsia="zh-CN" w:bidi="ar"/>
              </w:rPr>
            </w:pPr>
          </w:p>
          <w:p>
            <w:pPr>
              <w:keepNext w:val="0"/>
              <w:keepLines w:val="0"/>
              <w:widowControl/>
              <w:suppressLineNumbers w:val="0"/>
              <w:jc w:val="center"/>
              <w:textAlignment w:val="center"/>
              <w:rPr>
                <w:rStyle w:val="13"/>
                <w:rFonts w:hint="eastAsia"/>
                <w:snapToGrid w:val="0"/>
                <w:color w:val="000000"/>
                <w:highlight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35" w:name="_Toc278"/>
      <w:bookmarkStart w:id="36" w:name="_Toc7810"/>
      <w:r>
        <w:rPr>
          <w:rFonts w:hint="eastAsia" w:ascii="黑体" w:hAnsi="黑体" w:eastAsia="黑体" w:cs="Times New Roman"/>
          <w:b w:val="0"/>
          <w:bCs/>
          <w:snapToGrid/>
          <w:kern w:val="2"/>
          <w:sz w:val="32"/>
          <w:szCs w:val="32"/>
          <w:lang w:val="en-US" w:eastAsia="zh-CN" w:bidi="ar-SA"/>
        </w:rPr>
        <w:t>四、项目支出绩效目标执行监控分析</w:t>
      </w:r>
      <w:bookmarkEnd w:id="35"/>
      <w:bookmarkEnd w:id="36"/>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7" w:name="_Toc26829"/>
      <w:bookmarkStart w:id="38" w:name="_Toc18508"/>
      <w:r>
        <w:rPr>
          <w:rFonts w:hint="eastAsia" w:ascii="楷体_GB2312" w:hAnsi="楷体_GB2312" w:eastAsia="楷体_GB2312" w:cs="楷体_GB2312"/>
          <w:snapToGrid/>
          <w:kern w:val="2"/>
          <w:sz w:val="32"/>
          <w:szCs w:val="32"/>
          <w:lang w:val="en-US" w:eastAsia="zh-CN" w:bidi="ar-SA"/>
        </w:rPr>
        <w:t>(一) 项目资金情况分析</w:t>
      </w:r>
      <w:bookmarkEnd w:id="37"/>
      <w:bookmarkEnd w:id="3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highlight w:val="none"/>
          <w:lang w:val="en-US" w:eastAsia="zh-CN"/>
        </w:rPr>
        <w:t>本项目预算资金533.818万元，截止2023年9月30日，林业局2023年度松材线虫病防治项目实际使用资金570.7249万元，其中2022年支付秋季普查技术服务费9.5万元、卫星遥感普查9.9万元；2023年支付第三方监理费用9.7万元、清理枯病死松树补助费用464.964万元，采购花绒寄甲、白僵菌粉炮、打孔注药费用35.2万元，差额资金使用的为上级森林病虫害防治专项资金。</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39" w:name="_Toc6346"/>
      <w:bookmarkStart w:id="40" w:name="_Toc32347"/>
      <w:r>
        <w:rPr>
          <w:rFonts w:hint="eastAsia" w:ascii="楷体_GB2312" w:hAnsi="楷体_GB2312" w:eastAsia="楷体_GB2312" w:cs="楷体_GB2312"/>
          <w:snapToGrid/>
          <w:kern w:val="2"/>
          <w:sz w:val="32"/>
          <w:szCs w:val="32"/>
          <w:lang w:val="en-US" w:eastAsia="zh-CN" w:bidi="ar-SA"/>
        </w:rPr>
        <w:t>(二) 项目组织实施情况分析</w:t>
      </w:r>
      <w:bookmarkEnd w:id="39"/>
      <w:bookmarkEnd w:id="40"/>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default" w:ascii="仿宋" w:hAnsi="仿宋" w:eastAsia="仿宋" w:cs="仿宋"/>
          <w:spacing w:val="-9"/>
          <w:sz w:val="32"/>
          <w:szCs w:val="32"/>
          <w:highlight w:val="none"/>
          <w:lang w:val="en-US" w:eastAsia="zh-CN"/>
        </w:rPr>
      </w:pPr>
      <w:bookmarkStart w:id="41" w:name="_Toc14285"/>
      <w:bookmarkStart w:id="42" w:name="_Toc16874"/>
      <w:r>
        <w:rPr>
          <w:rFonts w:hint="eastAsia" w:ascii="仿宋" w:hAnsi="仿宋" w:eastAsia="仿宋" w:cs="仿宋"/>
          <w:spacing w:val="-9"/>
          <w:sz w:val="32"/>
          <w:szCs w:val="32"/>
          <w:highlight w:val="none"/>
          <w:lang w:val="en-US" w:eastAsia="zh-CN"/>
        </w:rPr>
        <w:t>1. 管理制度建设情况</w:t>
      </w:r>
      <w:bookmarkEnd w:id="41"/>
      <w:bookmarkEnd w:id="42"/>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林业局制定了相应的财务管理制度，业务管理制度按照《永修县松材线虫病防治条例贯彻实施方案》执行。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highlight w:val="none"/>
          <w:lang w:val="en-US" w:eastAsia="zh-CN"/>
        </w:rPr>
      </w:pPr>
      <w:bookmarkStart w:id="43" w:name="_Toc15495"/>
      <w:bookmarkStart w:id="44" w:name="_Toc10805"/>
      <w:r>
        <w:rPr>
          <w:rFonts w:hint="eastAsia" w:ascii="仿宋" w:hAnsi="仿宋" w:eastAsia="仿宋" w:cs="仿宋"/>
          <w:spacing w:val="-9"/>
          <w:sz w:val="32"/>
          <w:szCs w:val="32"/>
          <w:highlight w:val="none"/>
          <w:lang w:val="en-US" w:eastAsia="zh-CN"/>
        </w:rPr>
        <w:t>2. 制度执行情况</w:t>
      </w:r>
      <w:bookmarkEnd w:id="43"/>
      <w:bookmarkEnd w:id="44"/>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本项目资金支付基本遵守了相关法律法规和相关管理规定，项目资料齐全并及时归档，项目实施的人员条件、场地设备、信息支撑等落实到位。</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lang w:val="en-US" w:eastAsia="zh-CN" w:bidi="ar-SA"/>
        </w:rPr>
      </w:pPr>
      <w:bookmarkStart w:id="45" w:name="_Toc22914"/>
      <w:bookmarkStart w:id="46" w:name="_Toc3929"/>
      <w:r>
        <w:rPr>
          <w:rFonts w:hint="eastAsia" w:ascii="楷体_GB2312" w:hAnsi="楷体_GB2312" w:eastAsia="楷体_GB2312" w:cs="楷体_GB2312"/>
          <w:snapToGrid/>
          <w:kern w:val="2"/>
          <w:sz w:val="32"/>
          <w:szCs w:val="32"/>
          <w:lang w:val="en-US" w:eastAsia="zh-CN" w:bidi="ar-SA"/>
        </w:rPr>
        <w:t>(三) 项目绩效完成情况分析</w:t>
      </w:r>
      <w:bookmarkEnd w:id="45"/>
      <w:bookmarkEnd w:id="46"/>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47" w:name="_Toc6525"/>
      <w:bookmarkStart w:id="48" w:name="_Toc22349"/>
      <w:r>
        <w:rPr>
          <w:rFonts w:hint="eastAsia" w:ascii="仿宋" w:hAnsi="仿宋" w:eastAsia="仿宋" w:cs="仿宋"/>
          <w:spacing w:val="-9"/>
          <w:sz w:val="32"/>
          <w:szCs w:val="32"/>
          <w:lang w:val="en-US" w:eastAsia="zh-CN"/>
        </w:rPr>
        <w:t>1. 项目实际产出情况</w:t>
      </w:r>
      <w:bookmarkEnd w:id="47"/>
      <w:bookmarkEnd w:id="48"/>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（1）截至2023年9月30日，项目数量产出情况：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①永修县林业局绩效监控数量指标“清理枯病死松树数量=77494株”，实际全县除治枯、病、濒死松树总计116397株（其中合格株数99299株，不合格株数17098株）。偏差主要原因，计划77494株为2022年秋季普查数量，距离2023年实际清理枯病死松树完成时间2023年6月30日相差9个月，本年度干旱现象严重，导致松树在9个月内大量枯（病）、濒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②数量指标“采购花绒寄甲数量=50000头”，实际采购花绒寄甲数量50000头。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default" w:ascii="仿宋" w:hAnsi="仿宋" w:eastAsia="仿宋" w:cs="仿宋"/>
          <w:spacing w:val="-9"/>
          <w:sz w:val="32"/>
          <w:szCs w:val="32"/>
          <w:highlight w:val="none"/>
          <w:lang w:val="en-US" w:eastAsia="zh-CN"/>
        </w:rPr>
        <w:t>③</w:t>
      </w:r>
      <w:r>
        <w:rPr>
          <w:rFonts w:hint="eastAsia" w:ascii="仿宋" w:hAnsi="仿宋" w:eastAsia="仿宋" w:cs="仿宋"/>
          <w:spacing w:val="-9"/>
          <w:sz w:val="32"/>
          <w:szCs w:val="32"/>
          <w:highlight w:val="none"/>
          <w:lang w:val="en-US" w:eastAsia="zh-CN"/>
        </w:rPr>
        <w:t>数量指标“采购和释放白僵菌粉炮数量=3000个”，实际采购和释放白僵菌粉炮数量3000个。</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④数量指标“采购打孔注药数量=23000瓶”，实际采购打孔注药数量23000瓶。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⑤数量指标“采购相关技术服务次数=4次”，实际采购相关技术服务次数4次。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（2）截至2023年9月30日，项目质量产出情况：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①质量指标“清理枯病死松树合格率=100%”，实际全县除治枯、病、濒死松树总计116397株（其中合格株数99299株，不合格株数17098株），合格率=85.31%。偏差主要原因是林业局指标设置理解错误。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②质量指标“花绒寄甲、白僵菌粉炮释放率=100%”，实际花绒寄甲、白僵菌粉炮释放率100%。</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default" w:ascii="仿宋" w:hAnsi="仿宋" w:eastAsia="仿宋" w:cs="仿宋"/>
          <w:spacing w:val="-9"/>
          <w:sz w:val="32"/>
          <w:szCs w:val="32"/>
          <w:highlight w:val="none"/>
          <w:lang w:val="en-US" w:eastAsia="zh-CN"/>
        </w:rPr>
        <w:t>③</w:t>
      </w:r>
      <w:r>
        <w:rPr>
          <w:rFonts w:hint="eastAsia" w:ascii="仿宋" w:hAnsi="仿宋" w:eastAsia="仿宋" w:cs="仿宋"/>
          <w:spacing w:val="-9"/>
          <w:sz w:val="32"/>
          <w:szCs w:val="32"/>
          <w:highlight w:val="none"/>
          <w:lang w:val="en-US" w:eastAsia="zh-CN"/>
        </w:rPr>
        <w:t>质量指标“打孔注药验收合格率≧95%”，实际打孔注药验收合格率99.46%。</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④质量指标“</w:t>
      </w:r>
      <w:r>
        <w:rPr>
          <w:rFonts w:hint="default" w:ascii="仿宋" w:hAnsi="仿宋" w:eastAsia="仿宋" w:cs="仿宋"/>
          <w:spacing w:val="-9"/>
          <w:sz w:val="32"/>
          <w:szCs w:val="32"/>
          <w:highlight w:val="none"/>
          <w:lang w:val="en-US" w:eastAsia="zh-CN"/>
        </w:rPr>
        <w:t>相关服务验收合格率</w:t>
      </w:r>
      <w:r>
        <w:rPr>
          <w:rFonts w:hint="eastAsia" w:ascii="仿宋" w:hAnsi="仿宋" w:eastAsia="仿宋" w:cs="仿宋"/>
          <w:spacing w:val="-9"/>
          <w:sz w:val="32"/>
          <w:szCs w:val="32"/>
          <w:highlight w:val="none"/>
          <w:lang w:val="en-US" w:eastAsia="zh-CN"/>
        </w:rPr>
        <w:t>=100%”，</w:t>
      </w:r>
      <w:r>
        <w:rPr>
          <w:rFonts w:hint="default" w:ascii="仿宋" w:hAnsi="仿宋" w:eastAsia="仿宋" w:cs="仿宋"/>
          <w:spacing w:val="-9"/>
          <w:sz w:val="32"/>
          <w:szCs w:val="32"/>
          <w:highlight w:val="none"/>
          <w:lang w:val="en-US" w:eastAsia="zh-CN"/>
        </w:rPr>
        <w:t>相关服务验收合格率</w:t>
      </w:r>
      <w:r>
        <w:rPr>
          <w:rFonts w:hint="eastAsia" w:ascii="仿宋" w:hAnsi="仿宋" w:eastAsia="仿宋" w:cs="仿宋"/>
          <w:spacing w:val="-9"/>
          <w:sz w:val="32"/>
          <w:szCs w:val="32"/>
          <w:highlight w:val="none"/>
          <w:lang w:val="en-US" w:eastAsia="zh-CN"/>
        </w:rPr>
        <w:t>100%。</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（3）截至2023年9月30日，项目时效产出情况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2022年11月份完成送材线虫病秋季普查报告，2022年12月完成卫星遥感测绘图，2023年3月8日完成花绒寄甲成虫采购验收，2023年3月31日完成白僵菌粉炮采购验收，2023年5月24日完成2022-2023松材线虫病打孔注药工程验收，2023年6月30日完成2022-2023年清理枯病死松树验收工作，项目整体在计划节点2023年9月30日前完成</w:t>
      </w:r>
      <w:r>
        <w:rPr>
          <w:rFonts w:hint="eastAsia" w:ascii="仿宋" w:hAnsi="仿宋" w:eastAsia="仿宋" w:cs="仿宋"/>
          <w:color w:val="auto"/>
          <w:spacing w:val="-9"/>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（4）截至2023年9月30日，项目成本产出情况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color w:val="0000FF"/>
          <w:spacing w:val="-9"/>
          <w:sz w:val="32"/>
          <w:szCs w:val="32"/>
          <w:highlight w:val="none"/>
          <w:lang w:val="en-US" w:eastAsia="zh-CN"/>
        </w:rPr>
      </w:pPr>
      <w:r>
        <w:rPr>
          <w:rFonts w:hint="eastAsia" w:ascii="仿宋" w:hAnsi="仿宋" w:eastAsia="仿宋" w:cs="仿宋"/>
          <w:spacing w:val="-9"/>
          <w:sz w:val="32"/>
          <w:szCs w:val="32"/>
          <w:highlight w:val="none"/>
          <w:lang w:val="en-US" w:eastAsia="zh-CN"/>
        </w:rPr>
        <w:t>永修县林业局绩效成本指标“松材线虫病防治经费=533.818万元”，实际使用资金570.7249万元，偏差主要原因实际清理的枯（病）、濒死松树为计划数量150.20%，补助金额比原计划增加41.46万元，监测监理和调查费用成本节约4.554万元</w:t>
      </w:r>
      <w:r>
        <w:rPr>
          <w:rFonts w:hint="eastAsia" w:ascii="仿宋" w:hAnsi="仿宋" w:eastAsia="仿宋" w:cs="仿宋"/>
          <w:color w:val="0000FF"/>
          <w:spacing w:val="-9"/>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outlineLvl w:val="2"/>
        <w:rPr>
          <w:rFonts w:hint="eastAsia" w:ascii="仿宋" w:hAnsi="仿宋" w:eastAsia="仿宋" w:cs="仿宋"/>
          <w:spacing w:val="-9"/>
          <w:sz w:val="32"/>
          <w:szCs w:val="32"/>
          <w:lang w:val="en-US" w:eastAsia="zh-CN"/>
        </w:rPr>
      </w:pPr>
      <w:bookmarkStart w:id="49" w:name="_Toc21476"/>
      <w:bookmarkStart w:id="50" w:name="_Toc23261"/>
      <w:bookmarkStart w:id="51" w:name="_Toc7314"/>
      <w:r>
        <w:rPr>
          <w:rFonts w:hint="eastAsia" w:ascii="仿宋" w:hAnsi="仿宋" w:eastAsia="仿宋" w:cs="仿宋"/>
          <w:spacing w:val="-9"/>
          <w:sz w:val="32"/>
          <w:szCs w:val="32"/>
          <w:lang w:val="en-US" w:eastAsia="zh-CN"/>
        </w:rPr>
        <w:t>2. 项目效果和效益情况</w:t>
      </w:r>
      <w:bookmarkEnd w:id="49"/>
      <w:bookmarkEnd w:id="50"/>
      <w:bookmarkEnd w:id="51"/>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根据项目年初计划和项目绩效目标具体实施推进，项目工作陆续开展，项目绩效指标按计划实施。2023年1-9月项目运行正常，出现问题能及时处理解决。</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社会效益：项目的实施，有助于增加就业岗位。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（2）生态效益：项目的实施使得松材线虫病疫情小班面积降低，有利于保护生态环境，生态效益明显。</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lang w:val="en-US" w:eastAsia="zh-CN" w:bidi="ar-SA"/>
        </w:rPr>
      </w:pPr>
      <w:bookmarkStart w:id="52" w:name="_Toc24503"/>
      <w:bookmarkStart w:id="53" w:name="_Toc1076"/>
      <w:r>
        <w:rPr>
          <w:rFonts w:hint="eastAsia" w:ascii="黑体" w:hAnsi="黑体" w:eastAsia="黑体" w:cs="Times New Roman"/>
          <w:b w:val="0"/>
          <w:bCs/>
          <w:snapToGrid/>
          <w:kern w:val="2"/>
          <w:sz w:val="32"/>
          <w:szCs w:val="32"/>
          <w:lang w:val="en-US" w:eastAsia="zh-CN" w:bidi="ar-SA"/>
        </w:rPr>
        <w:t>五、其他需要说明的问题</w:t>
      </w:r>
      <w:bookmarkEnd w:id="52"/>
      <w:bookmarkEnd w:id="53"/>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highlight w:val="none"/>
          <w:lang w:val="en-US" w:eastAsia="zh-CN" w:bidi="ar-SA"/>
        </w:rPr>
      </w:pPr>
      <w:bookmarkStart w:id="54" w:name="_Toc31400"/>
      <w:bookmarkStart w:id="55" w:name="_Toc3297"/>
      <w:r>
        <w:rPr>
          <w:rFonts w:hint="eastAsia" w:ascii="楷体_GB2312" w:hAnsi="楷体_GB2312" w:eastAsia="楷体_GB2312" w:cs="楷体_GB2312"/>
          <w:snapToGrid/>
          <w:kern w:val="2"/>
          <w:sz w:val="32"/>
          <w:szCs w:val="32"/>
          <w:highlight w:val="none"/>
          <w:lang w:val="en-US" w:eastAsia="zh-CN" w:bidi="ar-SA"/>
        </w:rPr>
        <w:t xml:space="preserve">(一) </w:t>
      </w:r>
      <w:bookmarkEnd w:id="54"/>
      <w:bookmarkEnd w:id="55"/>
      <w:r>
        <w:rPr>
          <w:rFonts w:hint="eastAsia" w:ascii="楷体_GB2312" w:hAnsi="楷体_GB2312" w:eastAsia="楷体_GB2312" w:cs="楷体_GB2312"/>
          <w:snapToGrid/>
          <w:kern w:val="2"/>
          <w:sz w:val="32"/>
          <w:szCs w:val="32"/>
          <w:highlight w:val="none"/>
          <w:lang w:val="en-US" w:eastAsia="zh-CN" w:bidi="ar-SA"/>
        </w:rPr>
        <w:t>绩效目标设置不够合理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质量指标设置不合理。质量指标“清理枯病死松树合格率”设置不准确。林业局理解为合格清理枯病死松树总数除以计划完成数量，实际是考核质量指标，应该为合格清理枯病死松树总数除以清理枯病死松树总数。</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highlight w:val="none"/>
          <w:lang w:val="en-US" w:eastAsia="zh-CN" w:bidi="ar-SA"/>
        </w:rPr>
      </w:pPr>
      <w:bookmarkStart w:id="56" w:name="_Toc25862"/>
      <w:bookmarkStart w:id="57" w:name="_Toc15759"/>
      <w:r>
        <w:rPr>
          <w:rFonts w:hint="eastAsia" w:ascii="楷体_GB2312" w:hAnsi="楷体_GB2312" w:eastAsia="楷体_GB2312" w:cs="楷体_GB2312"/>
          <w:snapToGrid/>
          <w:kern w:val="2"/>
          <w:sz w:val="32"/>
          <w:szCs w:val="32"/>
          <w:highlight w:val="none"/>
          <w:lang w:val="en-US" w:eastAsia="zh-CN" w:bidi="ar-SA"/>
        </w:rPr>
        <w:t xml:space="preserve">(二) </w:t>
      </w:r>
      <w:bookmarkEnd w:id="56"/>
      <w:bookmarkEnd w:id="57"/>
      <w:r>
        <w:rPr>
          <w:rFonts w:hint="eastAsia" w:ascii="楷体_GB2312" w:hAnsi="楷体_GB2312" w:eastAsia="楷体_GB2312" w:cs="楷体_GB2312"/>
          <w:snapToGrid/>
          <w:kern w:val="2"/>
          <w:sz w:val="32"/>
          <w:szCs w:val="32"/>
          <w:highlight w:val="none"/>
          <w:lang w:val="en-US" w:eastAsia="zh-CN" w:bidi="ar-SA"/>
        </w:rPr>
        <w:t>预算编制缺乏前瞻性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预算编制不准确，项目资金使用超出预算，2022-2023年度松材线虫病防治经费年初预算申请资金533.818万元，因计划清理枯病死松树数量77494株，实际清理116397株，实际清理数量较原计划增加38903株，实际使用资金570.7249万元。</w:t>
      </w:r>
    </w:p>
    <w:p>
      <w:pPr>
        <w:keepNext w:val="0"/>
        <w:keepLines w:val="0"/>
        <w:pageBreakBefore w:val="0"/>
        <w:widowControl/>
        <w:numPr>
          <w:ilvl w:val="0"/>
          <w:numId w:val="4"/>
        </w:numPr>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highlight w:val="none"/>
          <w:lang w:val="en-US" w:eastAsia="zh-CN" w:bidi="ar-SA"/>
        </w:rPr>
      </w:pPr>
      <w:r>
        <w:rPr>
          <w:rFonts w:hint="eastAsia" w:ascii="楷体_GB2312" w:hAnsi="楷体_GB2312" w:eastAsia="楷体_GB2312" w:cs="楷体_GB2312"/>
          <w:snapToGrid/>
          <w:kern w:val="2"/>
          <w:sz w:val="32"/>
          <w:szCs w:val="32"/>
          <w:highlight w:val="none"/>
          <w:lang w:val="en-US" w:eastAsia="zh-CN" w:bidi="ar-SA"/>
        </w:rPr>
        <w:t>清理枯病死松树合格率偏低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全县除治枯、病、濒死松树总计116397株，其中合格株数99299株，不合格株数17098株，除治合格率为85.31%，偏低。</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Times New Roman"/>
          <w:b w:val="0"/>
          <w:bCs/>
          <w:snapToGrid/>
          <w:kern w:val="2"/>
          <w:sz w:val="32"/>
          <w:szCs w:val="32"/>
          <w:highlight w:val="none"/>
          <w:lang w:val="en-US" w:eastAsia="zh-CN" w:bidi="ar-SA"/>
        </w:rPr>
      </w:pPr>
      <w:bookmarkStart w:id="58" w:name="_Toc28437"/>
      <w:bookmarkStart w:id="59" w:name="_Toc20748"/>
      <w:r>
        <w:rPr>
          <w:rFonts w:hint="eastAsia" w:ascii="黑体" w:hAnsi="黑体" w:eastAsia="黑体" w:cs="Times New Roman"/>
          <w:b w:val="0"/>
          <w:bCs/>
          <w:snapToGrid/>
          <w:kern w:val="2"/>
          <w:sz w:val="32"/>
          <w:szCs w:val="32"/>
          <w:highlight w:val="none"/>
          <w:lang w:val="en-US" w:eastAsia="zh-CN" w:bidi="ar-SA"/>
        </w:rPr>
        <w:t>六、相关建议</w:t>
      </w:r>
      <w:bookmarkEnd w:id="58"/>
      <w:bookmarkEnd w:id="59"/>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highlight w:val="none"/>
          <w:lang w:val="en-US" w:eastAsia="zh-CN" w:bidi="ar-SA"/>
        </w:rPr>
      </w:pPr>
      <w:bookmarkStart w:id="60" w:name="_Toc25795"/>
      <w:bookmarkStart w:id="61" w:name="_Toc13701"/>
      <w:r>
        <w:rPr>
          <w:rFonts w:hint="eastAsia" w:ascii="楷体_GB2312" w:hAnsi="楷体_GB2312" w:eastAsia="楷体_GB2312" w:cs="楷体_GB2312"/>
          <w:snapToGrid/>
          <w:kern w:val="2"/>
          <w:sz w:val="32"/>
          <w:szCs w:val="32"/>
          <w:highlight w:val="none"/>
          <w:lang w:val="en-US" w:eastAsia="zh-CN" w:bidi="ar-SA"/>
        </w:rPr>
        <w:t xml:space="preserve">(一) </w:t>
      </w:r>
      <w:bookmarkEnd w:id="60"/>
      <w:bookmarkEnd w:id="61"/>
      <w:r>
        <w:rPr>
          <w:rFonts w:hint="eastAsia" w:ascii="楷体_GB2312" w:hAnsi="楷体_GB2312" w:eastAsia="楷体_GB2312" w:cs="楷体_GB2312"/>
          <w:snapToGrid/>
          <w:kern w:val="2"/>
          <w:sz w:val="32"/>
          <w:szCs w:val="32"/>
          <w:highlight w:val="none"/>
          <w:lang w:val="en-US" w:eastAsia="zh-CN" w:bidi="ar-SA"/>
        </w:rPr>
        <w:t>加强对绩效指标设置的理解，提高绩效指标编制质量</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04" w:firstLineChars="200"/>
        <w:jc w:val="both"/>
        <w:textAlignment w:val="baseline"/>
        <w:outlineLvl w:val="9"/>
        <w:rPr>
          <w:rFonts w:hint="eastAsia" w:ascii="仿宋" w:hAnsi="仿宋" w:eastAsia="仿宋" w:cs="仿宋"/>
          <w:spacing w:val="-9"/>
          <w:sz w:val="32"/>
          <w:szCs w:val="32"/>
          <w:highlight w:val="yellow"/>
          <w:lang w:val="en-US" w:eastAsia="zh-CN"/>
        </w:rPr>
      </w:pPr>
      <w:bookmarkStart w:id="62" w:name="_Toc20651"/>
      <w:bookmarkStart w:id="63" w:name="_Toc9773"/>
      <w:r>
        <w:rPr>
          <w:rFonts w:hint="eastAsia" w:ascii="仿宋" w:hAnsi="仿宋" w:eastAsia="仿宋" w:cs="仿宋"/>
          <w:spacing w:val="-9"/>
          <w:sz w:val="32"/>
          <w:szCs w:val="32"/>
          <w:highlight w:val="none"/>
          <w:lang w:val="en-US" w:eastAsia="zh-CN"/>
        </w:rPr>
        <w:t>加强对绩效指标设置的理解，强化项目绩效指标的合理性，绩效指标的设定要充分结合实际，方便后续对项目实施情况的监管。</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default" w:ascii="楷体_GB2312" w:hAnsi="楷体_GB2312" w:eastAsia="楷体_GB2312" w:cs="楷体_GB2312"/>
          <w:snapToGrid/>
          <w:kern w:val="2"/>
          <w:sz w:val="32"/>
          <w:szCs w:val="32"/>
          <w:highlight w:val="none"/>
          <w:lang w:val="en-US" w:eastAsia="zh-CN" w:bidi="ar-SA"/>
        </w:rPr>
      </w:pPr>
      <w:r>
        <w:rPr>
          <w:rFonts w:hint="eastAsia" w:ascii="楷体_GB2312" w:hAnsi="楷体_GB2312" w:eastAsia="楷体_GB2312" w:cs="楷体_GB2312"/>
          <w:snapToGrid/>
          <w:kern w:val="2"/>
          <w:sz w:val="32"/>
          <w:szCs w:val="32"/>
          <w:highlight w:val="none"/>
          <w:lang w:val="en-US" w:eastAsia="zh-CN" w:bidi="ar-SA"/>
        </w:rPr>
        <w:t xml:space="preserve">(二) </w:t>
      </w:r>
      <w:bookmarkEnd w:id="62"/>
      <w:bookmarkEnd w:id="63"/>
      <w:r>
        <w:rPr>
          <w:rFonts w:hint="eastAsia" w:ascii="楷体_GB2312" w:hAnsi="楷体_GB2312" w:eastAsia="楷体_GB2312" w:cs="楷体_GB2312"/>
          <w:snapToGrid/>
          <w:kern w:val="2"/>
          <w:sz w:val="32"/>
          <w:szCs w:val="32"/>
          <w:highlight w:val="none"/>
          <w:lang w:val="en-US" w:eastAsia="zh-CN" w:bidi="ar-SA"/>
        </w:rPr>
        <w:t>全面考虑，提高预算编制准确性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eastAsia" w:ascii="仿宋" w:hAnsi="仿宋" w:eastAsia="仿宋" w:cs="仿宋"/>
          <w:spacing w:val="-9"/>
          <w:sz w:val="32"/>
          <w:szCs w:val="32"/>
          <w:highlight w:val="none"/>
          <w:lang w:val="en-US" w:eastAsia="zh-CN"/>
        </w:rPr>
      </w:pPr>
      <w:r>
        <w:rPr>
          <w:rFonts w:hint="eastAsia" w:ascii="仿宋" w:hAnsi="仿宋" w:eastAsia="仿宋" w:cs="仿宋"/>
          <w:spacing w:val="-9"/>
          <w:sz w:val="32"/>
          <w:szCs w:val="32"/>
          <w:highlight w:val="none"/>
          <w:lang w:val="en-US" w:eastAsia="zh-CN"/>
        </w:rPr>
        <w:t xml:space="preserve"> 在制定预算时，应尽可能考虑各项不确定因素，根据预测结果编制出综合性预算方案。此外，还需精细分类，具体到每个分项的预算细节，从而全面而系统地考虑预算的实施。</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640" w:firstLineChars="200"/>
        <w:jc w:val="both"/>
        <w:textAlignment w:val="baseline"/>
        <w:outlineLvl w:val="1"/>
        <w:rPr>
          <w:rFonts w:hint="eastAsia" w:ascii="楷体_GB2312" w:hAnsi="楷体_GB2312" w:eastAsia="楷体_GB2312" w:cs="楷体_GB2312"/>
          <w:snapToGrid/>
          <w:kern w:val="2"/>
          <w:sz w:val="32"/>
          <w:szCs w:val="32"/>
          <w:highlight w:val="none"/>
          <w:lang w:val="en-US" w:eastAsia="zh-CN" w:bidi="ar-SA"/>
        </w:rPr>
      </w:pPr>
      <w:r>
        <w:rPr>
          <w:rFonts w:hint="eastAsia" w:ascii="楷体_GB2312" w:hAnsi="楷体_GB2312" w:eastAsia="楷体_GB2312" w:cs="楷体_GB2312"/>
          <w:snapToGrid/>
          <w:kern w:val="2"/>
          <w:sz w:val="32"/>
          <w:szCs w:val="32"/>
          <w:highlight w:val="none"/>
          <w:lang w:val="en-US" w:eastAsia="zh-CN" w:bidi="ar-SA"/>
        </w:rPr>
        <w:t>(三) 加强对第三方公司监管，提高清理枯病死松树合格率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600" w:lineRule="exact"/>
        <w:ind w:firstLine="604" w:firstLineChars="200"/>
        <w:jc w:val="both"/>
        <w:textAlignment w:val="baseline"/>
        <w:rPr>
          <w:rFonts w:hint="default" w:ascii="仿宋" w:hAnsi="仿宋" w:eastAsia="仿宋" w:cs="仿宋"/>
          <w:spacing w:val="-9"/>
          <w:sz w:val="32"/>
          <w:szCs w:val="32"/>
          <w:highlight w:val="none"/>
          <w:lang w:val="en-US" w:eastAsia="zh-CN"/>
        </w:rPr>
      </w:pPr>
      <w:r>
        <w:rPr>
          <w:rFonts w:hint="default" w:ascii="仿宋" w:hAnsi="仿宋" w:eastAsia="仿宋" w:cs="仿宋"/>
          <w:spacing w:val="-9"/>
          <w:sz w:val="32"/>
          <w:szCs w:val="32"/>
          <w:highlight w:val="none"/>
          <w:lang w:val="en-US" w:eastAsia="zh-CN"/>
        </w:rPr>
        <w:t>完善监督体系</w:t>
      </w:r>
      <w:r>
        <w:rPr>
          <w:rFonts w:hint="eastAsia" w:ascii="仿宋" w:hAnsi="仿宋" w:eastAsia="仿宋" w:cs="仿宋"/>
          <w:spacing w:val="-9"/>
          <w:sz w:val="32"/>
          <w:szCs w:val="32"/>
          <w:highlight w:val="none"/>
          <w:lang w:val="en-US" w:eastAsia="zh-CN"/>
        </w:rPr>
        <w:t>，加强对第三方公司监管，</w:t>
      </w:r>
      <w:r>
        <w:rPr>
          <w:rFonts w:hint="default" w:ascii="仿宋" w:hAnsi="仿宋" w:eastAsia="仿宋" w:cs="仿宋"/>
          <w:spacing w:val="-9"/>
          <w:sz w:val="32"/>
          <w:szCs w:val="32"/>
          <w:highlight w:val="none"/>
          <w:lang w:val="en-US" w:eastAsia="zh-CN"/>
        </w:rPr>
        <w:t>在实际操作过程中逐步完善</w:t>
      </w:r>
      <w:r>
        <w:rPr>
          <w:rFonts w:hint="eastAsia" w:ascii="仿宋" w:hAnsi="仿宋" w:eastAsia="仿宋" w:cs="仿宋"/>
          <w:spacing w:val="-9"/>
          <w:sz w:val="32"/>
          <w:szCs w:val="32"/>
          <w:highlight w:val="none"/>
          <w:lang w:val="en-US" w:eastAsia="zh-CN"/>
        </w:rPr>
        <w:t>监督制度</w:t>
      </w:r>
      <w:r>
        <w:rPr>
          <w:rFonts w:hint="default" w:ascii="仿宋" w:hAnsi="仿宋" w:eastAsia="仿宋" w:cs="仿宋"/>
          <w:spacing w:val="-9"/>
          <w:sz w:val="32"/>
          <w:szCs w:val="32"/>
          <w:highlight w:val="none"/>
          <w:lang w:val="en-US" w:eastAsia="zh-CN"/>
        </w:rPr>
        <w:t>，建立有效的监督工作模式</w:t>
      </w:r>
      <w:r>
        <w:rPr>
          <w:rFonts w:hint="eastAsia" w:ascii="仿宋" w:hAnsi="仿宋" w:eastAsia="仿宋" w:cs="仿宋"/>
          <w:spacing w:val="-9"/>
          <w:sz w:val="32"/>
          <w:szCs w:val="32"/>
          <w:highlight w:val="none"/>
          <w:lang w:val="en-US" w:eastAsia="zh-CN"/>
        </w:rPr>
        <w:t>，对于发现的问题及时整改</w:t>
      </w:r>
      <w:r>
        <w:rPr>
          <w:rFonts w:hint="default" w:ascii="仿宋" w:hAnsi="仿宋" w:eastAsia="仿宋" w:cs="仿宋"/>
          <w:spacing w:val="-9"/>
          <w:sz w:val="32"/>
          <w:szCs w:val="32"/>
          <w:highlight w:val="none"/>
          <w:lang w:val="en-US" w:eastAsia="zh-CN"/>
        </w:rPr>
        <w:t>，促进</w:t>
      </w:r>
      <w:r>
        <w:rPr>
          <w:rFonts w:hint="eastAsia" w:ascii="仿宋" w:hAnsi="仿宋" w:eastAsia="仿宋" w:cs="仿宋"/>
          <w:spacing w:val="-9"/>
          <w:sz w:val="32"/>
          <w:szCs w:val="32"/>
          <w:highlight w:val="none"/>
          <w:lang w:val="en-US" w:eastAsia="zh-CN"/>
        </w:rPr>
        <w:t>第三方公司</w:t>
      </w:r>
      <w:r>
        <w:rPr>
          <w:rFonts w:hint="default" w:ascii="仿宋" w:hAnsi="仿宋" w:eastAsia="仿宋" w:cs="仿宋"/>
          <w:spacing w:val="-9"/>
          <w:sz w:val="32"/>
          <w:szCs w:val="32"/>
          <w:highlight w:val="none"/>
          <w:lang w:val="en-US" w:eastAsia="zh-CN"/>
        </w:rPr>
        <w:t>服务质量提升</w:t>
      </w:r>
      <w:r>
        <w:rPr>
          <w:rFonts w:hint="eastAsia" w:ascii="仿宋" w:hAnsi="仿宋" w:eastAsia="仿宋" w:cs="仿宋"/>
          <w:spacing w:val="-9"/>
          <w:sz w:val="32"/>
          <w:szCs w:val="32"/>
          <w:highlight w:val="none"/>
          <w:lang w:val="en-US" w:eastAsia="zh-CN"/>
        </w:rPr>
        <w:t>，从而提高清理枯病死松树合格率</w:t>
      </w:r>
      <w:r>
        <w:rPr>
          <w:rFonts w:hint="default" w:ascii="仿宋" w:hAnsi="仿宋" w:eastAsia="仿宋" w:cs="仿宋"/>
          <w:spacing w:val="-9"/>
          <w:sz w:val="32"/>
          <w:szCs w:val="32"/>
          <w:highlight w:val="none"/>
          <w:lang w:val="en-US" w:eastAsia="zh-CN"/>
        </w:rPr>
        <w:t>。</w:t>
      </w:r>
    </w:p>
    <w:p>
      <w:pPr>
        <w:numPr>
          <w:ilvl w:val="0"/>
          <w:numId w:val="0"/>
        </w:numPr>
        <w:spacing w:beforeAutospacing="0" w:line="359" w:lineRule="auto"/>
        <w:ind w:firstLine="556" w:firstLineChars="200"/>
        <w:jc w:val="both"/>
        <w:rPr>
          <w:rFonts w:hint="eastAsia" w:ascii="仿宋" w:hAnsi="仿宋" w:eastAsia="仿宋" w:cs="仿宋"/>
          <w:spacing w:val="-1"/>
          <w:sz w:val="28"/>
          <w:szCs w:val="28"/>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600" w:lineRule="exact"/>
        <w:ind w:firstLine="636" w:firstLineChars="200"/>
        <w:jc w:val="both"/>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32"/>
          <w:szCs w:val="32"/>
          <w:highlight w:val="none"/>
          <w:lang w:val="en-US" w:eastAsia="zh-CN"/>
        </w:rPr>
        <w:t>附件1：项目支出绩效监控明细表</w:t>
      </w:r>
    </w:p>
    <w:p>
      <w:pPr>
        <w:spacing w:line="255" w:lineRule="auto"/>
        <w:rPr>
          <w:rFonts w:ascii="Arial"/>
          <w:sz w:val="21"/>
        </w:rPr>
      </w:pPr>
    </w:p>
    <w:p>
      <w:pPr>
        <w:widowControl/>
        <w:pBdr>
          <w:bottom w:val="none" w:color="000000" w:sz="0" w:space="15"/>
        </w:pBdr>
        <w:autoSpaceDN w:val="0"/>
        <w:spacing w:line="620" w:lineRule="exact"/>
        <w:jc w:val="left"/>
        <w:rPr>
          <w:rFonts w:hint="eastAsia" w:ascii="仿宋_GB2312" w:eastAsia="仿宋_GB2312"/>
          <w:sz w:val="32"/>
          <w:szCs w:val="32"/>
        </w:rPr>
      </w:pP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line="1000" w:lineRule="exact"/>
        <w:jc w:val="left"/>
        <w:textAlignment w:val="baseline"/>
        <w:rPr>
          <w:rFonts w:hint="eastAsia" w:ascii="仿宋_GB2312" w:eastAsia="仿宋_GB2312"/>
          <w:sz w:val="32"/>
          <w:szCs w:val="32"/>
        </w:rPr>
      </w:pPr>
      <w:r>
        <w:rPr>
          <w:rFonts w:hint="eastAsia" w:ascii="仿宋_GB2312" w:eastAsia="仿宋_GB2312"/>
          <w:sz w:val="32"/>
          <w:szCs w:val="32"/>
        </w:rPr>
        <w:t>江西华宏会计师事务所       中国注册会计师：</w:t>
      </w:r>
    </w:p>
    <w:p>
      <w:pPr>
        <w:keepNext w:val="0"/>
        <w:keepLines w:val="0"/>
        <w:pageBreakBefore w:val="0"/>
        <w:widowControl/>
        <w:pBdr>
          <w:bottom w:val="none" w:color="000000" w:sz="0" w:space="15"/>
        </w:pBdr>
        <w:kinsoku w:val="0"/>
        <w:wordWrap/>
        <w:overflowPunct/>
        <w:topLinePunct w:val="0"/>
        <w:autoSpaceDE w:val="0"/>
        <w:autoSpaceDN w:val="0"/>
        <w:bidi w:val="0"/>
        <w:adjustRightInd w:val="0"/>
        <w:snapToGrid w:val="0"/>
        <w:spacing w:afterAutospacing="0" w:line="1000" w:lineRule="exact"/>
        <w:ind w:firstLine="960" w:firstLineChars="300"/>
        <w:jc w:val="left"/>
        <w:textAlignment w:val="baseline"/>
        <w:rPr>
          <w:rFonts w:hint="eastAsia" w:ascii="仿宋_GB2312" w:eastAsia="仿宋_GB2312"/>
          <w:sz w:val="32"/>
          <w:szCs w:val="32"/>
        </w:rPr>
      </w:pPr>
      <w:r>
        <w:rPr>
          <w:rFonts w:hint="eastAsia" w:ascii="仿宋_GB2312" w:eastAsia="仿宋_GB2312"/>
          <w:sz w:val="32"/>
          <w:szCs w:val="32"/>
        </w:rPr>
        <w:t>有 限 公 司          中国注册会计师：</w:t>
      </w:r>
    </w:p>
    <w:p>
      <w:pPr>
        <w:keepNext w:val="0"/>
        <w:keepLines w:val="0"/>
        <w:pageBreakBefore w:val="0"/>
        <w:widowControl/>
        <w:kinsoku w:val="0"/>
        <w:wordWrap/>
        <w:overflowPunct/>
        <w:topLinePunct w:val="0"/>
        <w:autoSpaceDE w:val="0"/>
        <w:autoSpaceDN w:val="0"/>
        <w:bidi w:val="0"/>
        <w:adjustRightInd w:val="0"/>
        <w:snapToGrid w:val="0"/>
        <w:spacing w:before="0" w:beforeLines="150" w:beforeAutospacing="0" w:line="1000" w:lineRule="exact"/>
        <w:ind w:left="960" w:leftChars="0" w:firstLine="0" w:firstLineChars="0"/>
        <w:textAlignment w:val="baseline"/>
        <w:rPr>
          <w:rFonts w:ascii="Arial"/>
          <w:sz w:val="21"/>
        </w:rPr>
      </w:pPr>
      <w:r>
        <w:rPr>
          <w:rFonts w:hint="eastAsia" w:ascii="仿宋_GB2312" w:eastAsia="仿宋_GB2312"/>
          <w:sz w:val="32"/>
          <w:szCs w:val="32"/>
        </w:rPr>
        <w:t xml:space="preserve">中国·南昌      </w:t>
      </w:r>
      <w:bookmarkStart w:id="64" w:name="_GoBack"/>
      <w:bookmarkEnd w:id="64"/>
      <w:r>
        <w:rPr>
          <w:rFonts w:hint="eastAsia" w:ascii="仿宋_GB2312" w:eastAsia="仿宋_GB2312"/>
          <w:sz w:val="32"/>
          <w:szCs w:val="32"/>
        </w:rPr>
        <w:t xml:space="preserve">    </w:t>
      </w:r>
      <w:r>
        <w:rPr>
          <w:rFonts w:hint="eastAsia" w:ascii="仿宋_GB2312" w:eastAsia="仿宋_GB2312"/>
          <w:sz w:val="32"/>
          <w:szCs w:val="32"/>
          <w:lang w:val="en-US" w:eastAsia="zh-CN"/>
        </w:rPr>
        <w:t>二〇二三</w:t>
      </w:r>
      <w:r>
        <w:rPr>
          <w:rFonts w:hint="eastAsia" w:ascii="仿宋_GB2312" w:eastAsia="仿宋_GB2312"/>
          <w:sz w:val="32"/>
          <w:szCs w:val="32"/>
        </w:rPr>
        <w:t>年</w:t>
      </w:r>
      <w:r>
        <w:rPr>
          <w:rFonts w:hint="eastAsia" w:ascii="仿宋_GB2312" w:eastAsia="仿宋_GB2312"/>
          <w:sz w:val="32"/>
          <w:szCs w:val="32"/>
          <w:lang w:val="en-US" w:eastAsia="zh-CN"/>
        </w:rPr>
        <w:t>十一</w:t>
      </w:r>
      <w:r>
        <w:rPr>
          <w:rFonts w:hint="eastAsia" w:ascii="仿宋_GB2312" w:eastAsia="仿宋_GB2312"/>
          <w:sz w:val="32"/>
          <w:szCs w:val="32"/>
        </w:rPr>
        <w:t>月</w:t>
      </w:r>
      <w:r>
        <w:rPr>
          <w:rFonts w:hint="eastAsia" w:ascii="仿宋_GB2312" w:eastAsia="仿宋_GB2312"/>
          <w:sz w:val="32"/>
          <w:szCs w:val="32"/>
          <w:lang w:val="en-US" w:eastAsia="zh-CN"/>
        </w:rPr>
        <w:t>二十八</w:t>
      </w:r>
      <w:r>
        <w:rPr>
          <w:rFonts w:hint="eastAsia" w:ascii="仿宋_GB2312" w:eastAsia="仿宋_GB2312"/>
          <w:sz w:val="32"/>
          <w:szCs w:val="32"/>
        </w:rPr>
        <w:t>日</w:t>
      </w:r>
    </w:p>
    <w:p>
      <w:pPr>
        <w:sectPr>
          <w:footerReference r:id="rId7" w:type="default"/>
          <w:pgSz w:w="11907" w:h="16840"/>
          <w:pgMar w:top="1440" w:right="1803" w:bottom="1440" w:left="1803" w:header="907" w:footer="1191"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line="279" w:lineRule="auto"/>
        <w:rPr>
          <w:rFonts w:ascii="Arial"/>
          <w:sz w:val="21"/>
        </w:rPr>
      </w:pPr>
    </w:p>
    <w:p>
      <w:pPr>
        <w:spacing w:line="253" w:lineRule="auto"/>
        <w:rPr>
          <w:rFonts w:ascii="宋体" w:hAnsi="宋体" w:eastAsia="宋体" w:cs="宋体"/>
          <w:spacing w:val="5"/>
          <w:position w:val="1"/>
          <w:sz w:val="17"/>
          <w:szCs w:val="17"/>
        </w:rPr>
      </w:pPr>
    </w:p>
    <w:tbl>
      <w:tblPr>
        <w:tblStyle w:val="8"/>
        <w:tblpPr w:leftFromText="180" w:rightFromText="180" w:vertAnchor="text" w:horzAnchor="page" w:tblpX="778" w:tblpY="329"/>
        <w:tblOverlap w:val="never"/>
        <w:tblW w:w="153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1"/>
        <w:gridCol w:w="923"/>
        <w:gridCol w:w="2387"/>
        <w:gridCol w:w="829"/>
        <w:gridCol w:w="834"/>
        <w:gridCol w:w="926"/>
        <w:gridCol w:w="874"/>
        <w:gridCol w:w="352"/>
        <w:gridCol w:w="385"/>
        <w:gridCol w:w="360"/>
        <w:gridCol w:w="595"/>
        <w:gridCol w:w="365"/>
        <w:gridCol w:w="430"/>
        <w:gridCol w:w="430"/>
        <w:gridCol w:w="430"/>
        <w:gridCol w:w="621"/>
        <w:gridCol w:w="4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33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16"/>
                <w:szCs w:val="16"/>
                <w:u w:val="none"/>
                <w:lang w:val="en-US" w:eastAsia="zh-CN" w:bidi="ar"/>
              </w:rPr>
              <w:t xml:space="preserve">附件1                                                                      </w:t>
            </w:r>
            <w:r>
              <w:rPr>
                <w:rFonts w:hint="eastAsia" w:ascii="宋体" w:hAnsi="宋体" w:eastAsia="宋体" w:cs="宋体"/>
                <w:b/>
                <w:bCs/>
                <w:i w:val="0"/>
                <w:iCs w:val="0"/>
                <w:snapToGrid w:val="0"/>
                <w:color w:val="000000"/>
                <w:kern w:val="0"/>
                <w:sz w:val="20"/>
                <w:szCs w:val="20"/>
                <w:u w:val="none"/>
                <w:lang w:val="en-US" w:eastAsia="zh-CN" w:bidi="ar"/>
              </w:rPr>
              <w:t>项目支出绩效目标执行监控表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5333" w:type="dxa"/>
            <w:gridSpan w:val="17"/>
            <w:tcBorders>
              <w:top w:val="nil"/>
              <w:left w:val="nil"/>
              <w:bottom w:val="single" w:color="auto" w:sz="6"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（2023年）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514"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项目名称</w:t>
            </w:r>
          </w:p>
        </w:tc>
        <w:tc>
          <w:tcPr>
            <w:tcW w:w="13819" w:type="dxa"/>
            <w:gridSpan w:val="15"/>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松材线虫病防治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51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主管部门</w:t>
            </w:r>
          </w:p>
        </w:tc>
        <w:tc>
          <w:tcPr>
            <w:tcW w:w="4050"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县林业局</w:t>
            </w:r>
          </w:p>
        </w:tc>
        <w:tc>
          <w:tcPr>
            <w:tcW w:w="3492" w:type="dxa"/>
            <w:gridSpan w:val="6"/>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实施单位</w:t>
            </w:r>
          </w:p>
        </w:tc>
        <w:tc>
          <w:tcPr>
            <w:tcW w:w="6277" w:type="dxa"/>
            <w:gridSpan w:val="6"/>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514" w:type="dxa"/>
            <w:gridSpan w:val="2"/>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年度资金总额：</w:t>
            </w:r>
          </w:p>
        </w:tc>
        <w:tc>
          <w:tcPr>
            <w:tcW w:w="4050"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年初预算数</w:t>
            </w:r>
          </w:p>
        </w:tc>
        <w:tc>
          <w:tcPr>
            <w:tcW w:w="3492" w:type="dxa"/>
            <w:gridSpan w:val="6"/>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1-9月执行数</w:t>
            </w:r>
          </w:p>
        </w:tc>
        <w:tc>
          <w:tcPr>
            <w:tcW w:w="1655" w:type="dxa"/>
            <w:gridSpan w:val="4"/>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1-9月执行率</w:t>
            </w:r>
          </w:p>
        </w:tc>
        <w:tc>
          <w:tcPr>
            <w:tcW w:w="4622"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全年预计执行数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514" w:type="dxa"/>
            <w:gridSpan w:val="2"/>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50"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533.82 </w:t>
            </w:r>
          </w:p>
        </w:tc>
        <w:tc>
          <w:tcPr>
            <w:tcW w:w="3492" w:type="dxa"/>
            <w:gridSpan w:val="6"/>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570.72 </w:t>
            </w:r>
          </w:p>
        </w:tc>
        <w:tc>
          <w:tcPr>
            <w:tcW w:w="1655" w:type="dxa"/>
            <w:gridSpan w:val="4"/>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106.91%</w:t>
            </w:r>
          </w:p>
        </w:tc>
        <w:tc>
          <w:tcPr>
            <w:tcW w:w="4622" w:type="dxa"/>
            <w:gridSpan w:val="2"/>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570.72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514"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年度总目标</w:t>
            </w:r>
          </w:p>
        </w:tc>
        <w:tc>
          <w:tcPr>
            <w:tcW w:w="13819" w:type="dxa"/>
            <w:gridSpan w:val="15"/>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彻底清理枯病死松树；严防疫木流失；加强检疫监管；综合防治措施有效；松材线虫病防治五年 (2021-2025) 计划目标实现。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9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二级</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2387"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三级指标</w:t>
            </w:r>
          </w:p>
        </w:tc>
        <w:tc>
          <w:tcPr>
            <w:tcW w:w="829"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年度指标值</w:t>
            </w:r>
          </w:p>
        </w:tc>
        <w:tc>
          <w:tcPr>
            <w:tcW w:w="83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跟踪目标值</w:t>
            </w:r>
          </w:p>
        </w:tc>
        <w:tc>
          <w:tcPr>
            <w:tcW w:w="926"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跟踪执行情况</w:t>
            </w:r>
          </w:p>
        </w:tc>
        <w:tc>
          <w:tcPr>
            <w:tcW w:w="874"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全年预计完成情况</w:t>
            </w:r>
          </w:p>
        </w:tc>
        <w:tc>
          <w:tcPr>
            <w:tcW w:w="2487" w:type="dxa"/>
            <w:gridSpan w:val="6"/>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偏差原因分析</w:t>
            </w:r>
          </w:p>
        </w:tc>
        <w:tc>
          <w:tcPr>
            <w:tcW w:w="1481" w:type="dxa"/>
            <w:gridSpan w:val="3"/>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完成目标可能性</w:t>
            </w:r>
          </w:p>
        </w:tc>
        <w:tc>
          <w:tcPr>
            <w:tcW w:w="400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经费保障</w:t>
            </w:r>
          </w:p>
        </w:tc>
        <w:tc>
          <w:tcPr>
            <w:tcW w:w="38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制度保障</w:t>
            </w:r>
          </w:p>
        </w:tc>
        <w:tc>
          <w:tcPr>
            <w:tcW w:w="36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人员保障</w:t>
            </w:r>
          </w:p>
        </w:tc>
        <w:tc>
          <w:tcPr>
            <w:tcW w:w="59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硬件条件保障</w:t>
            </w:r>
          </w:p>
        </w:tc>
        <w:tc>
          <w:tcPr>
            <w:tcW w:w="36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其他</w:t>
            </w:r>
          </w:p>
        </w:tc>
        <w:tc>
          <w:tcPr>
            <w:tcW w:w="43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原因说明</w:t>
            </w:r>
          </w:p>
        </w:tc>
        <w:tc>
          <w:tcPr>
            <w:tcW w:w="43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确定能</w:t>
            </w:r>
          </w:p>
        </w:tc>
        <w:tc>
          <w:tcPr>
            <w:tcW w:w="43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有可能</w:t>
            </w:r>
          </w:p>
        </w:tc>
        <w:tc>
          <w:tcPr>
            <w:tcW w:w="62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完全不可能</w:t>
            </w:r>
          </w:p>
        </w:tc>
        <w:tc>
          <w:tcPr>
            <w:tcW w:w="400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29"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3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6"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4"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9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6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3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2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0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产出指标</w:t>
            </w:r>
          </w:p>
        </w:tc>
        <w:tc>
          <w:tcPr>
            <w:tcW w:w="9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数量</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清理枯病死松树数量（株）</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77494</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77494</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116397</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116397</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2022年-2023年出现大面积干旱，松树大量枯（病）、濒死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采购花绒寄甲数量（头）</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50000</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50000</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采购和释放白僵菌粉炮数量（个）</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3000</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3000</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采购打孔注药数量（瓶）</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23000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23000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23000</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23000</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采购相关技术服务次数（次）</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质量</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清理枯病死松树合格率</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85.31%</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85.31%</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指标理解设置问题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花绒寄甲、白僵菌粉炮释放率</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打孔注药验收合格率</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snapToGrid w:val="0"/>
                <w:color w:val="000000"/>
                <w:kern w:val="0"/>
                <w:sz w:val="16"/>
                <w:szCs w:val="16"/>
                <w:u w:val="none"/>
                <w:lang w:val="en-US" w:eastAsia="zh-CN" w:bidi="ar"/>
              </w:rPr>
              <w:t>≧</w:t>
            </w:r>
            <w:r>
              <w:rPr>
                <w:rFonts w:hint="eastAsia" w:ascii="宋体" w:hAnsi="宋体" w:eastAsia="宋体" w:cs="宋体"/>
                <w:i w:val="0"/>
                <w:iCs w:val="0"/>
                <w:snapToGrid w:val="0"/>
                <w:color w:val="000000"/>
                <w:kern w:val="0"/>
                <w:sz w:val="16"/>
                <w:szCs w:val="16"/>
                <w:u w:val="none"/>
                <w:lang w:val="en-US" w:eastAsia="zh-CN" w:bidi="ar"/>
              </w:rPr>
              <w:t>95%</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95.00%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99.46%</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99.46%</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相关服务验收合格率</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100.00%</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时效</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清理枯病死松树及时性</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352"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花绒寄甲、白僵菌粉炮采购、释放及时性</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352"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打孔注药及时性</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352"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相关服务完成及时性</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及时</w:t>
            </w:r>
          </w:p>
        </w:tc>
        <w:tc>
          <w:tcPr>
            <w:tcW w:w="352"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成本</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指标</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松材线虫病防治经费</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533.818</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533.818</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570.7249</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570.7249</w:t>
            </w:r>
          </w:p>
        </w:tc>
        <w:tc>
          <w:tcPr>
            <w:tcW w:w="352"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因清理枯病死松树数量较原计划大幅度增加，需增加相关奖补资金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9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效益指标</w:t>
            </w:r>
          </w:p>
        </w:tc>
        <w:tc>
          <w:tcPr>
            <w:tcW w:w="9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社会</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效益</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增加就业岗位</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91"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生态效益</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松材线虫病疫情小班面积降低，保护生态环境</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明显</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91"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满意度指标</w:t>
            </w:r>
          </w:p>
        </w:tc>
        <w:tc>
          <w:tcPr>
            <w:tcW w:w="9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服务对象满意度指标</w:t>
            </w:r>
          </w:p>
        </w:tc>
        <w:tc>
          <w:tcPr>
            <w:tcW w:w="238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林农满意度</w:t>
            </w:r>
          </w:p>
        </w:tc>
        <w:tc>
          <w:tcPr>
            <w:tcW w:w="829"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83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90%以上</w:t>
            </w:r>
          </w:p>
        </w:tc>
        <w:tc>
          <w:tcPr>
            <w:tcW w:w="926"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w:t>
            </w:r>
          </w:p>
        </w:tc>
        <w:tc>
          <w:tcPr>
            <w:tcW w:w="874"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99%</w:t>
            </w:r>
          </w:p>
        </w:tc>
        <w:tc>
          <w:tcPr>
            <w:tcW w:w="352"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8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59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365"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30"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621"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c>
          <w:tcPr>
            <w:tcW w:w="4001" w:type="dxa"/>
            <w:tcBorders>
              <w:top w:val="single" w:color="auto" w:sz="6" w:space="0"/>
              <w:left w:val="single" w:color="auto" w:sz="6" w:space="0"/>
              <w:bottom w:val="single" w:color="auto" w:sz="6" w:space="0"/>
              <w:right w:val="single" w:color="auto" w:sz="6"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253" w:lineRule="auto"/>
        <w:rPr>
          <w:rFonts w:ascii="宋体" w:hAnsi="宋体" w:eastAsia="宋体" w:cs="宋体"/>
          <w:spacing w:val="5"/>
          <w:position w:val="1"/>
          <w:sz w:val="17"/>
          <w:szCs w:val="17"/>
        </w:rPr>
      </w:pPr>
    </w:p>
    <w:sectPr>
      <w:footerReference r:id="rId8" w:type="default"/>
      <w:pgSz w:w="16837" w:h="11905"/>
      <w:pgMar w:top="400" w:right="545" w:bottom="951" w:left="446" w:header="0" w:footer="72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script"/>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202"/>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B559F"/>
    <w:multiLevelType w:val="singleLevel"/>
    <w:tmpl w:val="C95B559F"/>
    <w:lvl w:ilvl="0" w:tentative="0">
      <w:start w:val="2"/>
      <w:numFmt w:val="decimal"/>
      <w:suff w:val="space"/>
      <w:lvlText w:val="%1."/>
      <w:lvlJc w:val="left"/>
    </w:lvl>
  </w:abstractNum>
  <w:abstractNum w:abstractNumId="1">
    <w:nsid w:val="DBB9A072"/>
    <w:multiLevelType w:val="singleLevel"/>
    <w:tmpl w:val="DBB9A072"/>
    <w:lvl w:ilvl="0" w:tentative="0">
      <w:start w:val="1"/>
      <w:numFmt w:val="decimal"/>
      <w:suff w:val="nothing"/>
      <w:lvlText w:val="（%1）"/>
      <w:lvlJc w:val="left"/>
    </w:lvl>
  </w:abstractNum>
  <w:abstractNum w:abstractNumId="2">
    <w:nsid w:val="E1A2D72F"/>
    <w:multiLevelType w:val="singleLevel"/>
    <w:tmpl w:val="E1A2D72F"/>
    <w:lvl w:ilvl="0" w:tentative="0">
      <w:start w:val="1"/>
      <w:numFmt w:val="decimal"/>
      <w:suff w:val="nothing"/>
      <w:lvlText w:val="（%1）"/>
      <w:lvlJc w:val="left"/>
    </w:lvl>
  </w:abstractNum>
  <w:abstractNum w:abstractNumId="3">
    <w:nsid w:val="4B5BC48C"/>
    <w:multiLevelType w:val="singleLevel"/>
    <w:tmpl w:val="4B5BC48C"/>
    <w:lvl w:ilvl="0" w:tentative="0">
      <w:start w:val="3"/>
      <w:numFmt w:val="chineseCounting"/>
      <w:suff w:val="space"/>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2NGE5ZGY2NThkMjNiOGY3NGY4Nzc0NTM2YzhkNjgifQ=="/>
  </w:docVars>
  <w:rsids>
    <w:rsidRoot w:val="00000000"/>
    <w:rsid w:val="01394561"/>
    <w:rsid w:val="01B91D0C"/>
    <w:rsid w:val="04E978D1"/>
    <w:rsid w:val="05D62CA7"/>
    <w:rsid w:val="07CB04F3"/>
    <w:rsid w:val="09555E5E"/>
    <w:rsid w:val="0E6037F2"/>
    <w:rsid w:val="0E835B7C"/>
    <w:rsid w:val="112856F5"/>
    <w:rsid w:val="11537A88"/>
    <w:rsid w:val="121E62E8"/>
    <w:rsid w:val="148C30E0"/>
    <w:rsid w:val="15685D1E"/>
    <w:rsid w:val="17B80489"/>
    <w:rsid w:val="17C2413D"/>
    <w:rsid w:val="18486541"/>
    <w:rsid w:val="186C7681"/>
    <w:rsid w:val="19880116"/>
    <w:rsid w:val="1D4E37F9"/>
    <w:rsid w:val="1F0B19A2"/>
    <w:rsid w:val="220B54C1"/>
    <w:rsid w:val="26527EB6"/>
    <w:rsid w:val="27135D4E"/>
    <w:rsid w:val="28A15879"/>
    <w:rsid w:val="2B711DC2"/>
    <w:rsid w:val="2F5C3B54"/>
    <w:rsid w:val="2FB667E2"/>
    <w:rsid w:val="30000983"/>
    <w:rsid w:val="318F2519"/>
    <w:rsid w:val="32C208B9"/>
    <w:rsid w:val="35EC6C50"/>
    <w:rsid w:val="38527B5F"/>
    <w:rsid w:val="3975583A"/>
    <w:rsid w:val="3A7C40BB"/>
    <w:rsid w:val="3C533520"/>
    <w:rsid w:val="3C8E67FB"/>
    <w:rsid w:val="40AE7F87"/>
    <w:rsid w:val="427351C2"/>
    <w:rsid w:val="427632AA"/>
    <w:rsid w:val="445A46AE"/>
    <w:rsid w:val="46A55988"/>
    <w:rsid w:val="46B64129"/>
    <w:rsid w:val="4B870EAD"/>
    <w:rsid w:val="4E28454A"/>
    <w:rsid w:val="4F302BDB"/>
    <w:rsid w:val="4FA95A5B"/>
    <w:rsid w:val="51F34AA0"/>
    <w:rsid w:val="53F47681"/>
    <w:rsid w:val="54235B6D"/>
    <w:rsid w:val="55766599"/>
    <w:rsid w:val="5778511F"/>
    <w:rsid w:val="597F078E"/>
    <w:rsid w:val="5AC00AB6"/>
    <w:rsid w:val="5EBE0AA8"/>
    <w:rsid w:val="5F5F5967"/>
    <w:rsid w:val="5FF72AE6"/>
    <w:rsid w:val="636429FB"/>
    <w:rsid w:val="63E37B92"/>
    <w:rsid w:val="640B10C9"/>
    <w:rsid w:val="64FB5568"/>
    <w:rsid w:val="66E55C01"/>
    <w:rsid w:val="68E36170"/>
    <w:rsid w:val="69015271"/>
    <w:rsid w:val="6A6137D1"/>
    <w:rsid w:val="6C07486C"/>
    <w:rsid w:val="6D9D5488"/>
    <w:rsid w:val="6E4934C2"/>
    <w:rsid w:val="6E632DB0"/>
    <w:rsid w:val="6EB72579"/>
    <w:rsid w:val="71307694"/>
    <w:rsid w:val="71B20DD6"/>
    <w:rsid w:val="75483F2B"/>
    <w:rsid w:val="7782735D"/>
    <w:rsid w:val="77AE0291"/>
    <w:rsid w:val="7A5C51B6"/>
    <w:rsid w:val="7EE66563"/>
    <w:rsid w:val="7F1A58FA"/>
    <w:rsid w:val="7F5E4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9"/>
    <w:qFormat/>
    <w:uiPriority w:val="0"/>
    <w:rPr>
      <w:rFonts w:hint="eastAsia" w:ascii="宋体" w:hAnsi="宋体" w:eastAsia="宋体" w:cs="宋体"/>
      <w:color w:val="000000"/>
      <w:sz w:val="24"/>
      <w:szCs w:val="24"/>
      <w:u w:val="none"/>
    </w:rPr>
  </w:style>
  <w:style w:type="character" w:customStyle="1" w:styleId="14">
    <w:name w:val="font61"/>
    <w:basedOn w:val="9"/>
    <w:qFormat/>
    <w:uiPriority w:val="0"/>
    <w:rPr>
      <w:rFonts w:hint="default" w:ascii="Times New Roman" w:hAnsi="Times New Roman" w:cs="Times New Roman"/>
      <w:color w:val="000000"/>
      <w:sz w:val="24"/>
      <w:szCs w:val="24"/>
      <w:u w:val="none"/>
    </w:rPr>
  </w:style>
  <w:style w:type="character" w:customStyle="1" w:styleId="15">
    <w:name w:val="font01"/>
    <w:basedOn w:val="9"/>
    <w:qFormat/>
    <w:uiPriority w:val="0"/>
    <w:rPr>
      <w:rFonts w:hint="eastAsia" w:ascii="宋体" w:hAnsi="宋体" w:eastAsia="宋体" w:cs="宋体"/>
      <w:color w:val="000000"/>
      <w:sz w:val="21"/>
      <w:szCs w:val="21"/>
      <w:u w:val="none"/>
    </w:rPr>
  </w:style>
  <w:style w:type="character" w:customStyle="1" w:styleId="16">
    <w:name w:val="font21"/>
    <w:basedOn w:val="9"/>
    <w:qFormat/>
    <w:uiPriority w:val="0"/>
    <w:rPr>
      <w:rFonts w:hint="eastAsia" w:ascii="宋体" w:hAnsi="宋体" w:eastAsia="宋体" w:cs="宋体"/>
      <w:color w:val="000000"/>
      <w:sz w:val="22"/>
      <w:szCs w:val="22"/>
      <w:u w:val="none"/>
    </w:rPr>
  </w:style>
  <w:style w:type="character" w:customStyle="1" w:styleId="17">
    <w:name w:val="font41"/>
    <w:basedOn w:val="9"/>
    <w:qFormat/>
    <w:uiPriority w:val="0"/>
    <w:rPr>
      <w:rFonts w:hint="eastAsia" w:ascii="宋体" w:hAnsi="宋体" w:eastAsia="宋体" w:cs="宋体"/>
      <w:color w:val="000000"/>
      <w:sz w:val="22"/>
      <w:szCs w:val="22"/>
      <w:u w:val="none"/>
    </w:rPr>
  </w:style>
  <w:style w:type="character" w:customStyle="1" w:styleId="18">
    <w:name w:val="font71"/>
    <w:basedOn w:val="9"/>
    <w:qFormat/>
    <w:uiPriority w:val="0"/>
    <w:rPr>
      <w:rFonts w:hint="eastAsia" w:ascii="宋体" w:hAnsi="宋体" w:eastAsia="宋体" w:cs="宋体"/>
      <w:color w:val="000000"/>
      <w:sz w:val="32"/>
      <w:szCs w:val="32"/>
      <w:u w:val="none"/>
    </w:rPr>
  </w:style>
  <w:style w:type="character" w:customStyle="1" w:styleId="19">
    <w:name w:val="font191"/>
    <w:basedOn w:val="9"/>
    <w:qFormat/>
    <w:uiPriority w:val="0"/>
    <w:rPr>
      <w:rFonts w:hint="eastAsia" w:ascii="仿宋" w:hAnsi="仿宋" w:eastAsia="仿宋" w:cs="仿宋"/>
      <w:color w:val="000000"/>
      <w:sz w:val="20"/>
      <w:szCs w:val="20"/>
      <w:u w:val="none"/>
    </w:rPr>
  </w:style>
  <w:style w:type="character" w:customStyle="1" w:styleId="20">
    <w:name w:val="font131"/>
    <w:basedOn w:val="9"/>
    <w:qFormat/>
    <w:uiPriority w:val="0"/>
    <w:rPr>
      <w:rFonts w:hint="eastAsia" w:ascii="仿宋" w:hAnsi="仿宋" w:eastAsia="仿宋" w:cs="仿宋"/>
      <w:color w:val="000000"/>
      <w:sz w:val="20"/>
      <w:szCs w:val="20"/>
      <w:u w:val="none"/>
    </w:rPr>
  </w:style>
  <w:style w:type="character" w:customStyle="1" w:styleId="21">
    <w:name w:val="font201"/>
    <w:basedOn w:val="9"/>
    <w:qFormat/>
    <w:uiPriority w:val="0"/>
    <w:rPr>
      <w:rFonts w:hint="eastAsia" w:ascii="宋体" w:hAnsi="宋体" w:eastAsia="宋体" w:cs="宋体"/>
      <w:color w:val="000000"/>
      <w:sz w:val="20"/>
      <w:szCs w:val="20"/>
      <w:u w:val="none"/>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character" w:customStyle="1" w:styleId="25">
    <w:name w:val="font1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3767</Words>
  <Characters>4196</Characters>
  <TotalTime>5</TotalTime>
  <ScaleCrop>false</ScaleCrop>
  <LinksUpToDate>false</LinksUpToDate>
  <CharactersWithSpaces>4555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2022-01-17T10:50:00Z</dcterms:created>
  <dc:creator>Administrator</dc:creator>
  <cp:lastModifiedBy>Susie</cp:lastModifiedBy>
  <dcterms:modified xsi:type="dcterms:W3CDTF">2023-12-01T02:02:55Z</dcterms:modified>
  <dc:title>部门       项目绩效评价报告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2022-06-02T15:11:27Z</vt:filetime>
  </property>
  <property fmtid="{D5CDD505-2E9C-101B-9397-08002B2CF9AE}" pid="4" name="KSOProductBuildVer">
    <vt:lpwstr>2052-12.1.0.15712</vt:lpwstr>
  </property>
  <property fmtid="{D5CDD505-2E9C-101B-9397-08002B2CF9AE}" pid="5" name="ICV">
    <vt:lpwstr>40493856B3CA4B24A2035B382F2648D9</vt:lpwstr>
  </property>
</Properties>
</file>