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3" w:line="218" w:lineRule="auto"/>
        <w:ind w:left="2184"/>
        <w:rPr>
          <w:rFonts w:ascii="宋体" w:hAnsi="宋体" w:eastAsia="宋体" w:cs="宋体"/>
          <w:spacing w:val="-1"/>
          <w:sz w:val="40"/>
          <w:szCs w:val="40"/>
          <w14:textOutline w14:w="7277" w14:cap="sq" w14:cmpd="sng">
            <w14:solidFill>
              <w14:srgbClr w14:val="000000"/>
            </w14:solidFill>
            <w14:prstDash w14:val="solid"/>
            <w14:bevel/>
          </w14:textOutline>
        </w:rPr>
      </w:pPr>
    </w:p>
    <w:p>
      <w:pPr>
        <w:spacing w:before="273" w:line="218" w:lineRule="auto"/>
        <w:ind w:left="2184"/>
        <w:rPr>
          <w:rFonts w:ascii="宋体" w:hAnsi="宋体" w:eastAsia="宋体" w:cs="宋体"/>
          <w:spacing w:val="-1"/>
          <w:sz w:val="40"/>
          <w:szCs w:val="40"/>
          <w14:textOutline w14:w="7277" w14:cap="sq" w14:cmpd="sng">
            <w14:solidFill>
              <w14:srgbClr w14:val="000000"/>
            </w14:solidFill>
            <w14:prstDash w14:val="solid"/>
            <w14:bevel/>
          </w14:textOutline>
        </w:rPr>
      </w:pPr>
    </w:p>
    <w:p>
      <w:pPr>
        <w:spacing w:before="273" w:line="218" w:lineRule="auto"/>
        <w:ind w:left="2184"/>
        <w:outlineLvl w:val="0"/>
        <w:rPr>
          <w:rFonts w:ascii="宋体" w:hAnsi="宋体" w:eastAsia="宋体" w:cs="宋体"/>
          <w:sz w:val="40"/>
          <w:szCs w:val="40"/>
        </w:rPr>
      </w:pPr>
      <w:bookmarkStart w:id="0" w:name="_Toc7026"/>
      <w:r>
        <w:rPr>
          <w:rFonts w:ascii="宋体" w:hAnsi="宋体" w:eastAsia="宋体" w:cs="宋体"/>
          <w:spacing w:val="-1"/>
          <w:sz w:val="40"/>
          <w:szCs w:val="40"/>
          <w14:textOutline w14:w="7277" w14:cap="sq" w14:cmpd="sng">
            <w14:solidFill>
              <w14:srgbClr w14:val="000000"/>
            </w14:solidFill>
            <w14:prstDash w14:val="solid"/>
            <w14:bevel/>
          </w14:textOutline>
        </w:rPr>
        <w:t>项目资金绩效监</w:t>
      </w:r>
      <w:r>
        <w:rPr>
          <w:rFonts w:ascii="宋体" w:hAnsi="宋体" w:eastAsia="宋体" w:cs="宋体"/>
          <w:sz w:val="40"/>
          <w:szCs w:val="40"/>
          <w14:textOutline w14:w="7277" w14:cap="sq" w14:cmpd="sng">
            <w14:solidFill>
              <w14:srgbClr w14:val="000000"/>
            </w14:solidFill>
            <w14:prstDash w14:val="solid"/>
            <w14:bevel/>
          </w14:textOutline>
        </w:rPr>
        <w:t>控报告</w:t>
      </w:r>
      <w:bookmarkEnd w:id="0"/>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114" w:line="225" w:lineRule="auto"/>
        <w:ind w:left="29"/>
        <w:rPr>
          <w:rFonts w:hint="default" w:ascii="宋体" w:hAnsi="宋体" w:eastAsia="宋体" w:cs="宋体"/>
          <w:spacing w:val="0"/>
          <w:sz w:val="35"/>
          <w:szCs w:val="35"/>
          <w:lang w:val="en-US" w:eastAsia="zh-CN"/>
        </w:rPr>
      </w:pPr>
      <w:r>
        <w:rPr>
          <w:rFonts w:ascii="宋体" w:hAnsi="宋体" w:eastAsia="宋体" w:cs="宋体"/>
          <w:spacing w:val="0"/>
          <w:sz w:val="35"/>
          <w:szCs w:val="35"/>
        </w:rPr>
        <w:t>监控</w:t>
      </w:r>
      <w:r>
        <w:rPr>
          <w:rFonts w:hint="eastAsia" w:ascii="宋体" w:hAnsi="宋体" w:eastAsia="宋体" w:cs="宋体"/>
          <w:spacing w:val="0"/>
          <w:sz w:val="35"/>
          <w:szCs w:val="35"/>
          <w:lang w:val="en-US" w:eastAsia="zh-CN"/>
        </w:rPr>
        <w:t>时间</w:t>
      </w:r>
      <w:r>
        <w:rPr>
          <w:rFonts w:ascii="宋体" w:hAnsi="宋体" w:eastAsia="宋体" w:cs="宋体"/>
          <w:spacing w:val="0"/>
          <w:sz w:val="35"/>
          <w:szCs w:val="35"/>
        </w:rPr>
        <w:t xml:space="preserve">：    </w:t>
      </w:r>
      <w:r>
        <w:rPr>
          <w:rFonts w:ascii="宋体" w:hAnsi="宋体" w:eastAsia="宋体" w:cs="宋体"/>
          <w:spacing w:val="0"/>
          <w:sz w:val="35"/>
          <w:szCs w:val="35"/>
          <w:u w:val="single" w:color="auto"/>
        </w:rPr>
        <w:t>202</w:t>
      </w:r>
      <w:r>
        <w:rPr>
          <w:rFonts w:hint="eastAsia" w:ascii="宋体" w:hAnsi="宋体" w:eastAsia="宋体" w:cs="宋体"/>
          <w:spacing w:val="0"/>
          <w:sz w:val="35"/>
          <w:szCs w:val="35"/>
          <w:u w:val="single" w:color="auto"/>
          <w:lang w:val="en-US" w:eastAsia="zh-CN"/>
        </w:rPr>
        <w:t>2</w:t>
      </w:r>
      <w:r>
        <w:rPr>
          <w:rFonts w:ascii="宋体" w:hAnsi="宋体" w:eastAsia="宋体" w:cs="宋体"/>
          <w:spacing w:val="0"/>
          <w:sz w:val="35"/>
          <w:szCs w:val="35"/>
          <w:u w:val="single" w:color="auto"/>
        </w:rPr>
        <w:t>年</w:t>
      </w:r>
      <w:r>
        <w:rPr>
          <w:rFonts w:hint="eastAsia" w:ascii="宋体" w:hAnsi="宋体" w:eastAsia="宋体" w:cs="宋体"/>
          <w:spacing w:val="0"/>
          <w:sz w:val="35"/>
          <w:szCs w:val="35"/>
          <w:u w:val="single" w:color="auto"/>
          <w:lang w:val="en-US" w:eastAsia="zh-CN"/>
        </w:rPr>
        <w:t>1-9月</w:t>
      </w:r>
    </w:p>
    <w:p>
      <w:pPr>
        <w:spacing w:line="258"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before="114" w:line="226" w:lineRule="auto"/>
        <w:ind w:left="33"/>
        <w:rPr>
          <w:rFonts w:hint="eastAsia" w:ascii="宋体" w:hAnsi="宋体" w:eastAsia="宋体" w:cs="宋体"/>
          <w:spacing w:val="0"/>
          <w:sz w:val="35"/>
          <w:szCs w:val="35"/>
          <w:u w:val="single" w:color="auto"/>
        </w:rPr>
      </w:pPr>
      <w:r>
        <w:rPr>
          <w:rFonts w:ascii="宋体" w:hAnsi="宋体" w:eastAsia="宋体" w:cs="宋体"/>
          <w:spacing w:val="0"/>
          <w:sz w:val="35"/>
          <w:szCs w:val="35"/>
        </w:rPr>
        <w:t>项目</w:t>
      </w:r>
      <w:r>
        <w:rPr>
          <w:rFonts w:ascii="仿宋" w:hAnsi="仿宋" w:eastAsia="仿宋" w:cs="仿宋"/>
          <w:spacing w:val="0"/>
          <w:sz w:val="35"/>
          <w:szCs w:val="35"/>
        </w:rPr>
        <w:t>名称</w:t>
      </w:r>
      <w:r>
        <w:rPr>
          <w:rFonts w:ascii="宋体" w:hAnsi="宋体" w:eastAsia="宋体" w:cs="宋体"/>
          <w:spacing w:val="0"/>
          <w:sz w:val="35"/>
          <w:szCs w:val="35"/>
        </w:rPr>
        <w:t xml:space="preserve">：   </w:t>
      </w:r>
      <w:r>
        <w:rPr>
          <w:rFonts w:ascii="宋体" w:hAnsi="宋体" w:eastAsia="宋体" w:cs="宋体"/>
          <w:spacing w:val="0"/>
          <w:sz w:val="35"/>
          <w:szCs w:val="35"/>
          <w:u w:val="single"/>
        </w:rPr>
        <w:t xml:space="preserve"> </w:t>
      </w:r>
      <w:r>
        <w:rPr>
          <w:rFonts w:hint="eastAsia" w:ascii="宋体" w:hAnsi="宋体" w:eastAsia="宋体" w:cs="宋体"/>
          <w:spacing w:val="0"/>
          <w:sz w:val="35"/>
          <w:szCs w:val="35"/>
          <w:u w:val="single" w:color="auto"/>
        </w:rPr>
        <w:t>202</w:t>
      </w:r>
      <w:r>
        <w:rPr>
          <w:rFonts w:hint="eastAsia" w:ascii="宋体" w:hAnsi="宋体" w:eastAsia="宋体" w:cs="宋体"/>
          <w:spacing w:val="0"/>
          <w:sz w:val="35"/>
          <w:szCs w:val="35"/>
          <w:u w:val="single" w:color="auto"/>
          <w:lang w:val="en-US" w:eastAsia="zh-CN"/>
        </w:rPr>
        <w:t>2</w:t>
      </w:r>
      <w:r>
        <w:rPr>
          <w:rFonts w:hint="eastAsia" w:ascii="宋体" w:hAnsi="宋体" w:eastAsia="宋体" w:cs="宋体"/>
          <w:spacing w:val="0"/>
          <w:sz w:val="35"/>
          <w:szCs w:val="35"/>
          <w:u w:val="single" w:color="auto"/>
        </w:rPr>
        <w:t>年县级粮食储备贷款贴息等项目</w:t>
      </w:r>
    </w:p>
    <w:p>
      <w:pPr>
        <w:spacing w:line="258" w:lineRule="auto"/>
        <w:rPr>
          <w:rFonts w:ascii="Arial"/>
          <w:spacing w:val="0"/>
          <w:sz w:val="21"/>
        </w:rPr>
      </w:pPr>
    </w:p>
    <w:p>
      <w:pPr>
        <w:spacing w:line="258" w:lineRule="auto"/>
        <w:rPr>
          <w:rFonts w:ascii="Arial"/>
          <w:spacing w:val="0"/>
          <w:sz w:val="21"/>
        </w:rPr>
      </w:pPr>
    </w:p>
    <w:p>
      <w:pPr>
        <w:spacing w:line="258" w:lineRule="auto"/>
        <w:rPr>
          <w:rFonts w:ascii="Arial"/>
          <w:spacing w:val="0"/>
          <w:sz w:val="21"/>
        </w:rPr>
      </w:pPr>
    </w:p>
    <w:p>
      <w:pPr>
        <w:spacing w:line="259" w:lineRule="auto"/>
        <w:rPr>
          <w:rFonts w:ascii="Arial"/>
          <w:spacing w:val="0"/>
          <w:sz w:val="21"/>
        </w:rPr>
      </w:pPr>
    </w:p>
    <w:p>
      <w:pPr>
        <w:spacing w:before="114" w:line="225" w:lineRule="auto"/>
        <w:jc w:val="both"/>
        <w:rPr>
          <w:rFonts w:ascii="宋体" w:hAnsi="宋体" w:eastAsia="宋体" w:cs="宋体"/>
          <w:spacing w:val="0"/>
          <w:sz w:val="35"/>
          <w:szCs w:val="35"/>
        </w:rPr>
      </w:pPr>
      <w:r>
        <w:rPr>
          <w:rFonts w:ascii="宋体" w:hAnsi="宋体" w:eastAsia="宋体" w:cs="宋体"/>
          <w:spacing w:val="0"/>
          <w:sz w:val="35"/>
          <w:szCs w:val="35"/>
        </w:rPr>
        <w:t xml:space="preserve">项目单位：   </w:t>
      </w:r>
      <w:r>
        <w:rPr>
          <w:rFonts w:hint="eastAsia" w:ascii="宋体" w:hAnsi="宋体" w:eastAsia="宋体" w:cs="宋体"/>
          <w:spacing w:val="0"/>
          <w:sz w:val="35"/>
          <w:szCs w:val="35"/>
          <w:u w:val="single" w:color="auto"/>
        </w:rPr>
        <w:t>永修县储备粮油经营管理有限公司</w:t>
      </w:r>
    </w:p>
    <w:p>
      <w:pPr>
        <w:rPr>
          <w:spacing w:val="0"/>
        </w:rPr>
      </w:pPr>
    </w:p>
    <w:p>
      <w:pPr>
        <w:rPr>
          <w:spacing w:val="0"/>
        </w:rPr>
      </w:pPr>
    </w:p>
    <w:p>
      <w:pPr>
        <w:rPr>
          <w:spacing w:val="0"/>
        </w:rPr>
      </w:pPr>
    </w:p>
    <w:p>
      <w:pPr>
        <w:rPr>
          <w:spacing w:val="0"/>
        </w:rPr>
      </w:pPr>
    </w:p>
    <w:p>
      <w:pPr>
        <w:spacing w:line="153" w:lineRule="exact"/>
        <w:rPr>
          <w:spacing w:val="0"/>
        </w:rPr>
      </w:pPr>
    </w:p>
    <w:p>
      <w:pPr>
        <w:rPr>
          <w:spacing w:val="0"/>
        </w:rPr>
        <w:sectPr>
          <w:pgSz w:w="11907" w:h="16840"/>
          <w:pgMar w:top="1431" w:right="1786" w:bottom="0" w:left="1786" w:header="0" w:footer="0" w:gutter="0"/>
          <w:cols w:equalWidth="0" w:num="1">
            <w:col w:w="8335"/>
          </w:cols>
        </w:sectPr>
      </w:pPr>
    </w:p>
    <w:p>
      <w:pPr>
        <w:spacing w:before="71" w:line="225" w:lineRule="auto"/>
        <w:ind w:left="30"/>
        <w:rPr>
          <w:rFonts w:ascii="宋体" w:hAnsi="宋体" w:eastAsia="宋体" w:cs="宋体"/>
          <w:spacing w:val="0"/>
          <w:sz w:val="35"/>
          <w:szCs w:val="35"/>
        </w:rPr>
      </w:pPr>
      <w:r>
        <w:rPr>
          <w:rFonts w:ascii="宋体" w:hAnsi="宋体" w:eastAsia="宋体" w:cs="宋体"/>
          <w:spacing w:val="0"/>
          <w:sz w:val="35"/>
          <w:szCs w:val="35"/>
        </w:rPr>
        <w:t>主管部门：</w:t>
      </w:r>
    </w:p>
    <w:p>
      <w:pPr>
        <w:spacing w:line="258"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afterAutospacing="0" w:line="259" w:lineRule="auto"/>
        <w:rPr>
          <w:rFonts w:ascii="Arial"/>
          <w:spacing w:val="0"/>
          <w:sz w:val="21"/>
        </w:rPr>
      </w:pPr>
    </w:p>
    <w:p>
      <w:pPr>
        <w:spacing w:beforeAutospacing="0" w:afterAutospacing="0" w:line="224" w:lineRule="auto"/>
        <w:ind w:left="29"/>
        <w:rPr>
          <w:rFonts w:ascii="宋体" w:hAnsi="宋体" w:eastAsia="宋体" w:cs="宋体"/>
          <w:spacing w:val="0"/>
          <w:sz w:val="35"/>
          <w:szCs w:val="35"/>
        </w:rPr>
      </w:pPr>
      <w:r>
        <w:rPr>
          <w:rFonts w:ascii="宋体" w:hAnsi="宋体" w:eastAsia="宋体" w:cs="宋体"/>
          <w:spacing w:val="0"/>
          <w:sz w:val="35"/>
          <w:szCs w:val="35"/>
        </w:rPr>
        <w:t>监控机构：</w:t>
      </w:r>
    </w:p>
    <w:p>
      <w:pPr>
        <w:spacing w:beforeAutospacing="0"/>
        <w:rPr>
          <w:spacing w:val="0"/>
        </w:rPr>
      </w:pPr>
    </w:p>
    <w:p>
      <w:pPr>
        <w:rPr>
          <w:spacing w:val="0"/>
        </w:rPr>
      </w:pPr>
    </w:p>
    <w:p>
      <w:pPr>
        <w:spacing w:line="99" w:lineRule="exact"/>
        <w:rPr>
          <w:spacing w:val="0"/>
        </w:rPr>
      </w:pPr>
    </w:p>
    <w:p>
      <w:pPr>
        <w:spacing w:line="14" w:lineRule="auto"/>
        <w:rPr>
          <w:rFonts w:ascii="Arial"/>
          <w:spacing w:val="0"/>
          <w:sz w:val="2"/>
        </w:rPr>
      </w:pPr>
      <w:r>
        <w:rPr>
          <w:rFonts w:ascii="Arial" w:hAnsi="Arial" w:eastAsia="Arial" w:cs="Arial"/>
          <w:spacing w:val="0"/>
          <w:sz w:val="2"/>
          <w:szCs w:val="2"/>
        </w:rPr>
        <w:br w:type="column"/>
      </w:r>
    </w:p>
    <w:p>
      <w:pPr>
        <w:spacing w:before="69" w:line="225" w:lineRule="auto"/>
        <w:jc w:val="both"/>
        <w:rPr>
          <w:rFonts w:hint="default" w:ascii="宋体" w:hAnsi="宋体" w:eastAsia="宋体" w:cs="宋体"/>
          <w:spacing w:val="0"/>
          <w:sz w:val="35"/>
          <w:szCs w:val="35"/>
          <w:lang w:val="en-US" w:eastAsia="zh-CN"/>
        </w:rPr>
      </w:pPr>
      <w:r>
        <w:rPr>
          <w:rFonts w:hint="eastAsia" w:ascii="宋体" w:hAnsi="宋体" w:eastAsia="宋体" w:cs="宋体"/>
          <w:spacing w:val="0"/>
          <w:sz w:val="35"/>
          <w:szCs w:val="35"/>
          <w:u w:val="single" w:color="auto"/>
          <w:lang w:val="en-US" w:eastAsia="zh-CN"/>
        </w:rPr>
        <w:t>永修县农业农村局</w:t>
      </w:r>
    </w:p>
    <w:p>
      <w:pPr>
        <w:spacing w:line="258" w:lineRule="auto"/>
        <w:rPr>
          <w:rFonts w:ascii="Arial"/>
          <w:spacing w:val="0"/>
          <w:sz w:val="21"/>
        </w:rPr>
      </w:pPr>
    </w:p>
    <w:p>
      <w:pPr>
        <w:spacing w:line="258" w:lineRule="auto"/>
        <w:rPr>
          <w:rFonts w:ascii="Arial"/>
          <w:spacing w:val="0"/>
          <w:sz w:val="21"/>
        </w:rPr>
      </w:pPr>
    </w:p>
    <w:p>
      <w:pPr>
        <w:spacing w:line="259" w:lineRule="auto"/>
        <w:rPr>
          <w:rFonts w:ascii="Arial"/>
          <w:spacing w:val="0"/>
          <w:sz w:val="21"/>
        </w:rPr>
      </w:pPr>
    </w:p>
    <w:p>
      <w:pPr>
        <w:spacing w:afterAutospacing="0" w:line="259" w:lineRule="auto"/>
        <w:rPr>
          <w:rFonts w:ascii="Arial"/>
          <w:spacing w:val="0"/>
          <w:sz w:val="21"/>
        </w:rPr>
      </w:pPr>
    </w:p>
    <w:p>
      <w:pPr>
        <w:spacing w:beforeAutospacing="0" w:afterAutospacing="0" w:line="259" w:lineRule="auto"/>
        <w:rPr>
          <w:rFonts w:ascii="Arial"/>
          <w:spacing w:val="0"/>
          <w:sz w:val="21"/>
        </w:rPr>
      </w:pPr>
      <w:r>
        <w:rPr>
          <w:rFonts w:ascii="宋体" w:hAnsi="宋体" w:eastAsia="宋体" w:cs="宋体"/>
          <w:spacing w:val="0"/>
          <w:sz w:val="35"/>
          <w:szCs w:val="35"/>
          <w:u w:val="single" w:color="auto"/>
        </w:rPr>
        <w:t>江西</w:t>
      </w:r>
      <w:r>
        <w:rPr>
          <w:rFonts w:hint="eastAsia" w:ascii="宋体" w:hAnsi="宋体" w:eastAsia="宋体" w:cs="宋体"/>
          <w:spacing w:val="0"/>
          <w:sz w:val="35"/>
          <w:szCs w:val="35"/>
          <w:u w:val="single" w:color="auto"/>
          <w:lang w:val="en-US" w:eastAsia="zh-CN"/>
        </w:rPr>
        <w:t>华宏</w:t>
      </w:r>
      <w:r>
        <w:rPr>
          <w:rFonts w:ascii="宋体" w:hAnsi="宋体" w:eastAsia="宋体" w:cs="宋体"/>
          <w:spacing w:val="0"/>
          <w:sz w:val="35"/>
          <w:szCs w:val="35"/>
          <w:u w:val="single" w:color="auto"/>
        </w:rPr>
        <w:t>会计</w:t>
      </w:r>
      <w:r>
        <w:rPr>
          <w:rFonts w:ascii="仿宋" w:hAnsi="仿宋" w:eastAsia="仿宋" w:cs="仿宋"/>
          <w:spacing w:val="0"/>
          <w:sz w:val="35"/>
          <w:szCs w:val="35"/>
          <w:u w:val="single" w:color="auto"/>
        </w:rPr>
        <w:t>师</w:t>
      </w:r>
      <w:r>
        <w:rPr>
          <w:rFonts w:ascii="宋体" w:hAnsi="宋体" w:eastAsia="宋体" w:cs="宋体"/>
          <w:spacing w:val="0"/>
          <w:sz w:val="35"/>
          <w:szCs w:val="35"/>
          <w:u w:val="single" w:color="auto"/>
        </w:rPr>
        <w:t>事务所有限公司</w:t>
      </w:r>
    </w:p>
    <w:p>
      <w:pPr>
        <w:spacing w:beforeAutospacing="0" w:line="228" w:lineRule="auto"/>
        <w:ind w:left="15"/>
        <w:jc w:val="center"/>
        <w:rPr>
          <w:rFonts w:ascii="宋体" w:hAnsi="宋体" w:eastAsia="宋体" w:cs="宋体"/>
          <w:spacing w:val="0"/>
          <w:sz w:val="35"/>
          <w:szCs w:val="35"/>
        </w:rPr>
      </w:pPr>
    </w:p>
    <w:p>
      <w:pPr>
        <w:rPr>
          <w:spacing w:val="0"/>
        </w:rPr>
        <w:sectPr>
          <w:type w:val="continuous"/>
          <w:pgSz w:w="11907" w:h="16840"/>
          <w:pgMar w:top="1431" w:right="1786" w:bottom="0" w:left="1786" w:header="0" w:footer="0" w:gutter="0"/>
          <w:cols w:equalWidth="0" w:num="2">
            <w:col w:w="2074" w:space="100"/>
            <w:col w:w="6161"/>
          </w:cols>
        </w:sect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before="114" w:line="190" w:lineRule="auto"/>
        <w:ind w:left="0" w:leftChars="0" w:firstLine="0" w:firstLineChars="0"/>
        <w:jc w:val="center"/>
        <w:rPr>
          <w:rFonts w:hint="default"/>
          <w:spacing w:val="0"/>
          <w:lang w:val="en-US"/>
        </w:rPr>
        <w:sectPr>
          <w:type w:val="continuous"/>
          <w:pgSz w:w="11907" w:h="16840"/>
          <w:pgMar w:top="1431" w:right="1786" w:bottom="0" w:left="1786" w:header="0" w:footer="0" w:gutter="0"/>
          <w:cols w:equalWidth="0" w:num="1">
            <w:col w:w="8335"/>
          </w:cols>
        </w:sectPr>
      </w:pPr>
      <w:r>
        <w:rPr>
          <w:rFonts w:ascii="宋体" w:hAnsi="宋体" w:eastAsia="宋体" w:cs="宋体"/>
          <w:spacing w:val="0"/>
          <w:sz w:val="35"/>
          <w:szCs w:val="35"/>
        </w:rPr>
        <w:t>202</w:t>
      </w:r>
      <w:r>
        <w:rPr>
          <w:rFonts w:hint="eastAsia" w:ascii="宋体" w:hAnsi="宋体" w:eastAsia="宋体" w:cs="宋体"/>
          <w:spacing w:val="0"/>
          <w:sz w:val="35"/>
          <w:szCs w:val="35"/>
          <w:lang w:val="en-US" w:eastAsia="zh-CN"/>
        </w:rPr>
        <w:t>2</w:t>
      </w:r>
      <w:r>
        <w:rPr>
          <w:rFonts w:ascii="宋体" w:hAnsi="宋体" w:eastAsia="宋体" w:cs="宋体"/>
          <w:spacing w:val="0"/>
          <w:sz w:val="35"/>
          <w:szCs w:val="35"/>
        </w:rPr>
        <w:t>年 1</w:t>
      </w:r>
      <w:r>
        <w:rPr>
          <w:rFonts w:hint="eastAsia" w:ascii="宋体" w:hAnsi="宋体" w:eastAsia="宋体" w:cs="宋体"/>
          <w:spacing w:val="0"/>
          <w:sz w:val="35"/>
          <w:szCs w:val="35"/>
          <w:lang w:val="en-US" w:eastAsia="zh-CN"/>
        </w:rPr>
        <w:t>1 月</w:t>
      </w:r>
    </w:p>
    <w:sdt>
      <w:sdtPr>
        <w:rPr>
          <w:rFonts w:hint="eastAsia" w:ascii="方正粗宋简体" w:hAnsi="Times New Roman" w:eastAsia="方正粗宋简体" w:cs="Times New Roman"/>
          <w:b/>
          <w:snapToGrid/>
          <w:kern w:val="2"/>
          <w:sz w:val="44"/>
          <w:szCs w:val="44"/>
          <w:lang w:val="en-US" w:eastAsia="zh-CN" w:bidi="ar-SA"/>
        </w:rPr>
        <w:id w:val="147458531"/>
        <w15:color w:val="DBDBDB"/>
        <w:docPartObj>
          <w:docPartGallery w:val="Table of Contents"/>
          <w:docPartUnique/>
        </w:docPartObj>
      </w:sdtPr>
      <w:sdtContent>
        <w:p>
          <w:pPr>
            <w:spacing w:before="0" w:beforeLines="0" w:after="0" w:afterLines="0" w:line="240" w:lineRule="auto"/>
            <w:ind w:left="0" w:leftChars="0" w:right="0" w:rightChars="0" w:firstLine="0" w:firstLineChars="0"/>
            <w:jc w:val="center"/>
            <w:rPr>
              <w:rFonts w:hint="eastAsia" w:ascii="方正粗宋简体" w:hAnsi="Times New Roman" w:eastAsia="方正粗宋简体" w:cs="Times New Roman"/>
              <w:b/>
              <w:snapToGrid/>
              <w:kern w:val="2"/>
              <w:sz w:val="44"/>
              <w:szCs w:val="44"/>
              <w:lang w:val="en-US" w:eastAsia="zh-CN" w:bidi="ar-SA"/>
            </w:rPr>
          </w:pPr>
          <w:r>
            <w:rPr>
              <w:rFonts w:hint="eastAsia" w:ascii="方正粗宋简体" w:hAnsi="Times New Roman" w:eastAsia="方正粗宋简体" w:cs="Times New Roman"/>
              <w:b/>
              <w:snapToGrid/>
              <w:kern w:val="2"/>
              <w:sz w:val="44"/>
              <w:szCs w:val="44"/>
              <w:lang w:val="en-US" w:eastAsia="zh-CN" w:bidi="ar-SA"/>
            </w:rPr>
            <w:t>目  录</w:t>
          </w:r>
        </w:p>
        <w:p>
          <w:pPr>
            <w:pStyle w:val="21"/>
            <w:tabs>
              <w:tab w:val="right" w:leader="dot" w:pos="8301"/>
            </w:tabs>
          </w:pPr>
          <w:r>
            <w:fldChar w:fldCharType="begin"/>
          </w:r>
          <w:r>
            <w:instrText xml:space="preserve">TOC \o "1-3" \h \u </w:instrText>
          </w:r>
          <w:r>
            <w:fldChar w:fldCharType="separate"/>
          </w:r>
        </w:p>
        <w:p>
          <w:pPr>
            <w:pStyle w:val="21"/>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_Toc2063 </w:instrText>
          </w:r>
          <w:r>
            <w:rPr>
              <w:sz w:val="28"/>
              <w:szCs w:val="28"/>
            </w:rPr>
            <w:fldChar w:fldCharType="separate"/>
          </w:r>
          <w:r>
            <w:rPr>
              <w:rFonts w:hint="eastAsia" w:ascii="黑体" w:hAnsi="黑体" w:eastAsia="黑体" w:cs="Times New Roman"/>
              <w:bCs/>
              <w:snapToGrid/>
              <w:kern w:val="2"/>
              <w:sz w:val="28"/>
              <w:szCs w:val="28"/>
              <w:lang w:val="en-US" w:eastAsia="zh-CN" w:bidi="ar-SA"/>
            </w:rPr>
            <w:t>一、项目单位基本情况</w:t>
          </w:r>
          <w:r>
            <w:rPr>
              <w:sz w:val="28"/>
              <w:szCs w:val="28"/>
            </w:rPr>
            <w:tab/>
          </w:r>
          <w:r>
            <w:rPr>
              <w:sz w:val="28"/>
              <w:szCs w:val="28"/>
            </w:rPr>
            <w:fldChar w:fldCharType="begin"/>
          </w:r>
          <w:r>
            <w:rPr>
              <w:sz w:val="28"/>
              <w:szCs w:val="28"/>
            </w:rPr>
            <w:instrText xml:space="preserve"> PAGEREF _Toc2063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1"/>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_Toc16481 </w:instrText>
          </w:r>
          <w:r>
            <w:rPr>
              <w:sz w:val="28"/>
              <w:szCs w:val="28"/>
            </w:rPr>
            <w:fldChar w:fldCharType="separate"/>
          </w:r>
          <w:r>
            <w:rPr>
              <w:rFonts w:hint="eastAsia" w:ascii="黑体" w:hAnsi="黑体" w:eastAsia="黑体" w:cs="Times New Roman"/>
              <w:bCs/>
              <w:snapToGrid/>
              <w:kern w:val="2"/>
              <w:sz w:val="28"/>
              <w:szCs w:val="28"/>
              <w:lang w:val="en-US" w:eastAsia="zh-CN" w:bidi="ar-SA"/>
            </w:rPr>
            <w:t>二、项目基本情况</w:t>
          </w:r>
          <w:r>
            <w:rPr>
              <w:sz w:val="28"/>
              <w:szCs w:val="28"/>
            </w:rPr>
            <w:tab/>
          </w:r>
          <w:r>
            <w:rPr>
              <w:sz w:val="28"/>
              <w:szCs w:val="28"/>
            </w:rPr>
            <w:fldChar w:fldCharType="begin"/>
          </w:r>
          <w:r>
            <w:rPr>
              <w:sz w:val="28"/>
              <w:szCs w:val="28"/>
            </w:rPr>
            <w:instrText xml:space="preserve"> PAGEREF _Toc16481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_Toc4350 </w:instrText>
          </w:r>
          <w:r>
            <w:rPr>
              <w:sz w:val="28"/>
              <w:szCs w:val="28"/>
            </w:rPr>
            <w:fldChar w:fldCharType="separate"/>
          </w:r>
          <w:r>
            <w:rPr>
              <w:rFonts w:hint="eastAsia" w:ascii="楷体_GB2312" w:hAnsi="楷体_GB2312" w:eastAsia="楷体_GB2312" w:cs="楷体_GB2312"/>
              <w:snapToGrid/>
              <w:kern w:val="2"/>
              <w:sz w:val="28"/>
              <w:szCs w:val="28"/>
              <w:lang w:val="en-US" w:eastAsia="zh-CN" w:bidi="ar-SA"/>
            </w:rPr>
            <w:t>（一）项目概况</w:t>
          </w:r>
          <w:r>
            <w:rPr>
              <w:sz w:val="28"/>
              <w:szCs w:val="28"/>
            </w:rPr>
            <w:tab/>
          </w:r>
          <w:r>
            <w:rPr>
              <w:sz w:val="28"/>
              <w:szCs w:val="28"/>
            </w:rPr>
            <w:fldChar w:fldCharType="begin"/>
          </w:r>
          <w:r>
            <w:rPr>
              <w:sz w:val="28"/>
              <w:szCs w:val="28"/>
            </w:rPr>
            <w:instrText xml:space="preserve"> PAGEREF _Toc4350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_Toc10651 </w:instrText>
          </w:r>
          <w:r>
            <w:rPr>
              <w:sz w:val="28"/>
              <w:szCs w:val="28"/>
            </w:rPr>
            <w:fldChar w:fldCharType="separate"/>
          </w:r>
          <w:r>
            <w:rPr>
              <w:rFonts w:hint="eastAsia" w:ascii="仿宋" w:hAnsi="仿宋" w:eastAsia="仿宋" w:cs="仿宋"/>
              <w:spacing w:val="-9"/>
              <w:sz w:val="28"/>
              <w:szCs w:val="28"/>
              <w:lang w:val="en-US" w:eastAsia="zh-CN"/>
            </w:rPr>
            <w:t>1. 项目背景</w:t>
          </w:r>
          <w:r>
            <w:rPr>
              <w:sz w:val="28"/>
              <w:szCs w:val="28"/>
            </w:rPr>
            <w:tab/>
          </w:r>
          <w:r>
            <w:rPr>
              <w:sz w:val="28"/>
              <w:szCs w:val="28"/>
            </w:rPr>
            <w:fldChar w:fldCharType="begin"/>
          </w:r>
          <w:r>
            <w:rPr>
              <w:sz w:val="28"/>
              <w:szCs w:val="28"/>
            </w:rPr>
            <w:instrText xml:space="preserve"> PAGEREF _Toc10651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_Toc6872 </w:instrText>
          </w:r>
          <w:r>
            <w:rPr>
              <w:sz w:val="28"/>
              <w:szCs w:val="28"/>
            </w:rPr>
            <w:fldChar w:fldCharType="separate"/>
          </w:r>
          <w:r>
            <w:rPr>
              <w:rFonts w:hint="eastAsia" w:ascii="仿宋" w:hAnsi="仿宋" w:eastAsia="仿宋" w:cs="仿宋"/>
              <w:spacing w:val="-9"/>
              <w:sz w:val="28"/>
              <w:szCs w:val="28"/>
              <w:lang w:val="en-US" w:eastAsia="zh-CN"/>
            </w:rPr>
            <w:t>2. 项目主要内容</w:t>
          </w:r>
          <w:r>
            <w:rPr>
              <w:sz w:val="28"/>
              <w:szCs w:val="28"/>
            </w:rPr>
            <w:tab/>
          </w:r>
          <w:r>
            <w:rPr>
              <w:sz w:val="28"/>
              <w:szCs w:val="28"/>
            </w:rPr>
            <w:fldChar w:fldCharType="begin"/>
          </w:r>
          <w:r>
            <w:rPr>
              <w:sz w:val="28"/>
              <w:szCs w:val="28"/>
            </w:rPr>
            <w:instrText xml:space="preserve"> PAGEREF _Toc6872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_Toc18067 </w:instrText>
          </w:r>
          <w:r>
            <w:rPr>
              <w:sz w:val="28"/>
              <w:szCs w:val="28"/>
            </w:rPr>
            <w:fldChar w:fldCharType="separate"/>
          </w:r>
          <w:r>
            <w:rPr>
              <w:rFonts w:hint="eastAsia" w:ascii="仿宋" w:hAnsi="仿宋" w:eastAsia="仿宋" w:cs="仿宋"/>
              <w:spacing w:val="-9"/>
              <w:sz w:val="28"/>
              <w:szCs w:val="28"/>
              <w:lang w:val="en-US" w:eastAsia="zh-CN"/>
            </w:rPr>
            <w:t>3. 项目资金预算情况</w:t>
          </w:r>
          <w:r>
            <w:rPr>
              <w:sz w:val="28"/>
              <w:szCs w:val="28"/>
            </w:rPr>
            <w:tab/>
          </w:r>
          <w:r>
            <w:rPr>
              <w:sz w:val="28"/>
              <w:szCs w:val="28"/>
            </w:rPr>
            <w:fldChar w:fldCharType="begin"/>
          </w:r>
          <w:r>
            <w:rPr>
              <w:sz w:val="28"/>
              <w:szCs w:val="28"/>
            </w:rPr>
            <w:instrText xml:space="preserve"> PAGEREF _Toc18067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_Toc29435 </w:instrText>
          </w:r>
          <w:r>
            <w:rPr>
              <w:sz w:val="28"/>
              <w:szCs w:val="28"/>
            </w:rPr>
            <w:fldChar w:fldCharType="separate"/>
          </w:r>
          <w:r>
            <w:rPr>
              <w:rFonts w:hint="eastAsia" w:ascii="楷体_GB2312" w:hAnsi="楷体_GB2312" w:eastAsia="楷体_GB2312" w:cs="楷体_GB2312"/>
              <w:snapToGrid/>
              <w:kern w:val="2"/>
              <w:sz w:val="28"/>
              <w:szCs w:val="28"/>
              <w:lang w:val="en-US" w:eastAsia="zh-CN" w:bidi="ar-SA"/>
            </w:rPr>
            <w:t>（二）项目绩效目标</w:t>
          </w:r>
          <w:r>
            <w:rPr>
              <w:sz w:val="28"/>
              <w:szCs w:val="28"/>
            </w:rPr>
            <w:tab/>
          </w:r>
          <w:r>
            <w:rPr>
              <w:sz w:val="28"/>
              <w:szCs w:val="28"/>
            </w:rPr>
            <w:fldChar w:fldCharType="begin"/>
          </w:r>
          <w:r>
            <w:rPr>
              <w:sz w:val="28"/>
              <w:szCs w:val="28"/>
            </w:rPr>
            <w:instrText xml:space="preserve"> PAGEREF _Toc29435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_Toc5419 </w:instrText>
          </w:r>
          <w:r>
            <w:rPr>
              <w:sz w:val="28"/>
              <w:szCs w:val="28"/>
            </w:rPr>
            <w:fldChar w:fldCharType="separate"/>
          </w:r>
          <w:r>
            <w:rPr>
              <w:rFonts w:hint="eastAsia" w:ascii="仿宋" w:hAnsi="仿宋" w:eastAsia="仿宋" w:cs="仿宋"/>
              <w:spacing w:val="-9"/>
              <w:sz w:val="28"/>
              <w:szCs w:val="28"/>
              <w:lang w:val="en-US" w:eastAsia="zh-CN"/>
            </w:rPr>
            <w:t>1. 项目总体目标</w:t>
          </w:r>
          <w:r>
            <w:rPr>
              <w:sz w:val="28"/>
              <w:szCs w:val="28"/>
            </w:rPr>
            <w:tab/>
          </w:r>
          <w:r>
            <w:rPr>
              <w:sz w:val="28"/>
              <w:szCs w:val="28"/>
            </w:rPr>
            <w:fldChar w:fldCharType="begin"/>
          </w:r>
          <w:r>
            <w:rPr>
              <w:sz w:val="28"/>
              <w:szCs w:val="28"/>
            </w:rPr>
            <w:instrText xml:space="preserve"> PAGEREF _Toc5419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_Toc21969 </w:instrText>
          </w:r>
          <w:r>
            <w:rPr>
              <w:sz w:val="28"/>
              <w:szCs w:val="28"/>
            </w:rPr>
            <w:fldChar w:fldCharType="separate"/>
          </w:r>
          <w:r>
            <w:rPr>
              <w:rFonts w:hint="eastAsia" w:ascii="仿宋" w:hAnsi="仿宋" w:eastAsia="仿宋" w:cs="仿宋"/>
              <w:spacing w:val="-9"/>
              <w:sz w:val="28"/>
              <w:szCs w:val="28"/>
              <w:lang w:val="en-US" w:eastAsia="zh-CN"/>
            </w:rPr>
            <w:t>2. 项目阶段性目标</w:t>
          </w:r>
          <w:r>
            <w:rPr>
              <w:sz w:val="28"/>
              <w:szCs w:val="28"/>
            </w:rPr>
            <w:tab/>
          </w:r>
          <w:r>
            <w:rPr>
              <w:sz w:val="28"/>
              <w:szCs w:val="28"/>
            </w:rPr>
            <w:fldChar w:fldCharType="begin"/>
          </w:r>
          <w:r>
            <w:rPr>
              <w:sz w:val="28"/>
              <w:szCs w:val="28"/>
            </w:rPr>
            <w:instrText xml:space="preserve"> PAGEREF _Toc21969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1"/>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_Toc1517 </w:instrText>
          </w:r>
          <w:r>
            <w:rPr>
              <w:sz w:val="28"/>
              <w:szCs w:val="28"/>
            </w:rPr>
            <w:fldChar w:fldCharType="separate"/>
          </w:r>
          <w:r>
            <w:rPr>
              <w:rFonts w:hint="eastAsia" w:ascii="黑体" w:hAnsi="黑体" w:eastAsia="黑体" w:cs="Times New Roman"/>
              <w:bCs/>
              <w:snapToGrid/>
              <w:kern w:val="2"/>
              <w:sz w:val="28"/>
              <w:szCs w:val="28"/>
              <w:lang w:val="en-US" w:eastAsia="zh-CN" w:bidi="ar-SA"/>
            </w:rPr>
            <w:t>三、绩效目标的核对和确定情况</w:t>
          </w:r>
          <w:r>
            <w:rPr>
              <w:sz w:val="28"/>
              <w:szCs w:val="28"/>
            </w:rPr>
            <w:tab/>
          </w:r>
          <w:r>
            <w:rPr>
              <w:sz w:val="28"/>
              <w:szCs w:val="28"/>
            </w:rPr>
            <w:fldChar w:fldCharType="begin"/>
          </w:r>
          <w:r>
            <w:rPr>
              <w:sz w:val="28"/>
              <w:szCs w:val="28"/>
            </w:rPr>
            <w:instrText xml:space="preserve"> PAGEREF _Toc1517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_Toc10336 </w:instrText>
          </w:r>
          <w:r>
            <w:rPr>
              <w:sz w:val="28"/>
              <w:szCs w:val="28"/>
            </w:rPr>
            <w:fldChar w:fldCharType="separate"/>
          </w:r>
          <w:r>
            <w:rPr>
              <w:rFonts w:hint="eastAsia" w:ascii="楷体_GB2312" w:hAnsi="楷体_GB2312" w:eastAsia="楷体_GB2312" w:cs="楷体_GB2312"/>
              <w:snapToGrid/>
              <w:kern w:val="2"/>
              <w:sz w:val="28"/>
              <w:szCs w:val="28"/>
              <w:lang w:val="en-US" w:eastAsia="zh-CN" w:bidi="ar-SA"/>
            </w:rPr>
            <w:t>（一）绩效目标设置情况</w:t>
          </w:r>
          <w:r>
            <w:rPr>
              <w:sz w:val="28"/>
              <w:szCs w:val="28"/>
            </w:rPr>
            <w:tab/>
          </w:r>
          <w:r>
            <w:rPr>
              <w:sz w:val="28"/>
              <w:szCs w:val="28"/>
            </w:rPr>
            <w:fldChar w:fldCharType="begin"/>
          </w:r>
          <w:r>
            <w:rPr>
              <w:sz w:val="28"/>
              <w:szCs w:val="28"/>
            </w:rPr>
            <w:instrText xml:space="preserve"> PAGEREF _Toc10336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_Toc19936 </w:instrText>
          </w:r>
          <w:r>
            <w:rPr>
              <w:sz w:val="28"/>
              <w:szCs w:val="28"/>
            </w:rPr>
            <w:fldChar w:fldCharType="separate"/>
          </w:r>
          <w:r>
            <w:rPr>
              <w:rFonts w:hint="eastAsia" w:ascii="仿宋" w:hAnsi="仿宋" w:eastAsia="仿宋" w:cs="仿宋"/>
              <w:spacing w:val="-9"/>
              <w:sz w:val="28"/>
              <w:szCs w:val="28"/>
              <w:lang w:val="en-US" w:eastAsia="zh-CN"/>
            </w:rPr>
            <w:t>1. 绩效目标不合理性</w:t>
          </w:r>
          <w:r>
            <w:rPr>
              <w:sz w:val="28"/>
              <w:szCs w:val="28"/>
            </w:rPr>
            <w:tab/>
          </w:r>
          <w:r>
            <w:rPr>
              <w:sz w:val="28"/>
              <w:szCs w:val="28"/>
            </w:rPr>
            <w:fldChar w:fldCharType="begin"/>
          </w:r>
          <w:r>
            <w:rPr>
              <w:sz w:val="28"/>
              <w:szCs w:val="28"/>
            </w:rPr>
            <w:instrText xml:space="preserve"> PAGEREF _Toc19936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_Toc1861 </w:instrText>
          </w:r>
          <w:r>
            <w:rPr>
              <w:sz w:val="28"/>
              <w:szCs w:val="28"/>
            </w:rPr>
            <w:fldChar w:fldCharType="separate"/>
          </w:r>
          <w:r>
            <w:rPr>
              <w:rFonts w:hint="eastAsia" w:ascii="仿宋" w:hAnsi="仿宋" w:eastAsia="仿宋" w:cs="仿宋"/>
              <w:spacing w:val="-9"/>
              <w:sz w:val="28"/>
              <w:szCs w:val="28"/>
              <w:lang w:val="en-US" w:eastAsia="zh-CN"/>
            </w:rPr>
            <w:t>2. 绩效目标准确性方面</w:t>
          </w:r>
          <w:r>
            <w:rPr>
              <w:sz w:val="28"/>
              <w:szCs w:val="28"/>
            </w:rPr>
            <w:tab/>
          </w:r>
          <w:r>
            <w:rPr>
              <w:sz w:val="28"/>
              <w:szCs w:val="28"/>
            </w:rPr>
            <w:fldChar w:fldCharType="begin"/>
          </w:r>
          <w:r>
            <w:rPr>
              <w:sz w:val="28"/>
              <w:szCs w:val="28"/>
            </w:rPr>
            <w:instrText xml:space="preserve"> PAGEREF _Toc1861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_Toc11289 </w:instrText>
          </w:r>
          <w:r>
            <w:rPr>
              <w:sz w:val="28"/>
              <w:szCs w:val="28"/>
            </w:rPr>
            <w:fldChar w:fldCharType="separate"/>
          </w:r>
          <w:r>
            <w:rPr>
              <w:rFonts w:hint="eastAsia" w:ascii="楷体_GB2312" w:hAnsi="楷体_GB2312" w:eastAsia="楷体_GB2312" w:cs="楷体_GB2312"/>
              <w:snapToGrid/>
              <w:kern w:val="2"/>
              <w:sz w:val="28"/>
              <w:szCs w:val="28"/>
              <w:lang w:val="en-US" w:eastAsia="zh-CN" w:bidi="ar-SA"/>
            </w:rPr>
            <w:t>（二）绩效目标的确定情况</w:t>
          </w:r>
          <w:r>
            <w:rPr>
              <w:sz w:val="28"/>
              <w:szCs w:val="28"/>
            </w:rPr>
            <w:tab/>
          </w:r>
          <w:r>
            <w:rPr>
              <w:sz w:val="28"/>
              <w:szCs w:val="28"/>
            </w:rPr>
            <w:fldChar w:fldCharType="begin"/>
          </w:r>
          <w:r>
            <w:rPr>
              <w:sz w:val="28"/>
              <w:szCs w:val="28"/>
            </w:rPr>
            <w:instrText xml:space="preserve"> PAGEREF _Toc11289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21"/>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_Toc7810 </w:instrText>
          </w:r>
          <w:r>
            <w:rPr>
              <w:sz w:val="28"/>
              <w:szCs w:val="28"/>
            </w:rPr>
            <w:fldChar w:fldCharType="separate"/>
          </w:r>
          <w:r>
            <w:rPr>
              <w:rFonts w:hint="eastAsia" w:ascii="黑体" w:hAnsi="黑体" w:eastAsia="黑体" w:cs="Times New Roman"/>
              <w:bCs/>
              <w:snapToGrid/>
              <w:kern w:val="2"/>
              <w:sz w:val="28"/>
              <w:szCs w:val="28"/>
              <w:lang w:val="en-US" w:eastAsia="zh-CN" w:bidi="ar-SA"/>
            </w:rPr>
            <w:t>四、项目支出绩效目标执行监控分析</w:t>
          </w:r>
          <w:r>
            <w:rPr>
              <w:sz w:val="28"/>
              <w:szCs w:val="28"/>
            </w:rPr>
            <w:tab/>
          </w:r>
          <w:r>
            <w:rPr>
              <w:sz w:val="28"/>
              <w:szCs w:val="28"/>
            </w:rPr>
            <w:fldChar w:fldCharType="begin"/>
          </w:r>
          <w:r>
            <w:rPr>
              <w:sz w:val="28"/>
              <w:szCs w:val="28"/>
            </w:rPr>
            <w:instrText xml:space="preserve"> PAGEREF _Toc7810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_Toc26829 </w:instrText>
          </w:r>
          <w:r>
            <w:rPr>
              <w:sz w:val="28"/>
              <w:szCs w:val="28"/>
            </w:rPr>
            <w:fldChar w:fldCharType="separate"/>
          </w:r>
          <w:r>
            <w:rPr>
              <w:rFonts w:hint="eastAsia" w:ascii="楷体_GB2312" w:hAnsi="楷体_GB2312" w:eastAsia="楷体_GB2312" w:cs="楷体_GB2312"/>
              <w:snapToGrid/>
              <w:kern w:val="2"/>
              <w:sz w:val="28"/>
              <w:szCs w:val="28"/>
              <w:lang w:val="en-US" w:eastAsia="zh-CN" w:bidi="ar-SA"/>
            </w:rPr>
            <w:t>(一) 项目资金情况分析</w:t>
          </w:r>
          <w:r>
            <w:rPr>
              <w:sz w:val="28"/>
              <w:szCs w:val="28"/>
            </w:rPr>
            <w:tab/>
          </w:r>
          <w:r>
            <w:rPr>
              <w:sz w:val="28"/>
              <w:szCs w:val="28"/>
            </w:rPr>
            <w:fldChar w:fldCharType="begin"/>
          </w:r>
          <w:r>
            <w:rPr>
              <w:sz w:val="28"/>
              <w:szCs w:val="28"/>
            </w:rPr>
            <w:instrText xml:space="preserve"> PAGEREF _Toc26829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_Toc6346 </w:instrText>
          </w:r>
          <w:r>
            <w:rPr>
              <w:sz w:val="28"/>
              <w:szCs w:val="28"/>
            </w:rPr>
            <w:fldChar w:fldCharType="separate"/>
          </w:r>
          <w:r>
            <w:rPr>
              <w:rFonts w:hint="eastAsia" w:ascii="楷体_GB2312" w:hAnsi="楷体_GB2312" w:eastAsia="楷体_GB2312" w:cs="楷体_GB2312"/>
              <w:snapToGrid/>
              <w:kern w:val="2"/>
              <w:sz w:val="28"/>
              <w:szCs w:val="28"/>
              <w:lang w:val="en-US" w:eastAsia="zh-CN" w:bidi="ar-SA"/>
            </w:rPr>
            <w:t>(二) 项目组织实施情况分析</w:t>
          </w:r>
          <w:r>
            <w:rPr>
              <w:sz w:val="28"/>
              <w:szCs w:val="28"/>
            </w:rPr>
            <w:tab/>
          </w:r>
          <w:r>
            <w:rPr>
              <w:sz w:val="28"/>
              <w:szCs w:val="28"/>
            </w:rPr>
            <w:fldChar w:fldCharType="begin"/>
          </w:r>
          <w:r>
            <w:rPr>
              <w:sz w:val="28"/>
              <w:szCs w:val="28"/>
            </w:rPr>
            <w:instrText xml:space="preserve"> PAGEREF _Toc6346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_Toc16874 </w:instrText>
          </w:r>
          <w:r>
            <w:rPr>
              <w:sz w:val="28"/>
              <w:szCs w:val="28"/>
            </w:rPr>
            <w:fldChar w:fldCharType="separate"/>
          </w:r>
          <w:r>
            <w:rPr>
              <w:rFonts w:hint="eastAsia" w:ascii="仿宋" w:hAnsi="仿宋" w:eastAsia="仿宋" w:cs="仿宋"/>
              <w:spacing w:val="-9"/>
              <w:sz w:val="28"/>
              <w:szCs w:val="28"/>
              <w:lang w:val="en-US" w:eastAsia="zh-CN"/>
            </w:rPr>
            <w:t>1. 管理制度建设情况</w:t>
          </w:r>
          <w:r>
            <w:rPr>
              <w:sz w:val="28"/>
              <w:szCs w:val="28"/>
            </w:rPr>
            <w:tab/>
          </w:r>
          <w:r>
            <w:rPr>
              <w:sz w:val="28"/>
              <w:szCs w:val="28"/>
            </w:rPr>
            <w:fldChar w:fldCharType="begin"/>
          </w:r>
          <w:r>
            <w:rPr>
              <w:sz w:val="28"/>
              <w:szCs w:val="28"/>
            </w:rPr>
            <w:instrText xml:space="preserve"> PAGEREF _Toc16874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_Toc10805 </w:instrText>
          </w:r>
          <w:r>
            <w:rPr>
              <w:sz w:val="28"/>
              <w:szCs w:val="28"/>
            </w:rPr>
            <w:fldChar w:fldCharType="separate"/>
          </w:r>
          <w:r>
            <w:rPr>
              <w:rFonts w:hint="eastAsia" w:ascii="仿宋" w:hAnsi="仿宋" w:eastAsia="仿宋" w:cs="仿宋"/>
              <w:spacing w:val="-9"/>
              <w:sz w:val="28"/>
              <w:szCs w:val="28"/>
              <w:lang w:val="en-US" w:eastAsia="zh-CN"/>
            </w:rPr>
            <w:t>2. 制度执行情况</w:t>
          </w:r>
          <w:r>
            <w:rPr>
              <w:sz w:val="28"/>
              <w:szCs w:val="28"/>
            </w:rPr>
            <w:tab/>
          </w:r>
          <w:r>
            <w:rPr>
              <w:sz w:val="28"/>
              <w:szCs w:val="28"/>
            </w:rPr>
            <w:fldChar w:fldCharType="begin"/>
          </w:r>
          <w:r>
            <w:rPr>
              <w:sz w:val="28"/>
              <w:szCs w:val="28"/>
            </w:rPr>
            <w:instrText xml:space="preserve"> PAGEREF _Toc10805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_Toc22914 </w:instrText>
          </w:r>
          <w:r>
            <w:rPr>
              <w:sz w:val="28"/>
              <w:szCs w:val="28"/>
            </w:rPr>
            <w:fldChar w:fldCharType="separate"/>
          </w:r>
          <w:r>
            <w:rPr>
              <w:rFonts w:hint="eastAsia" w:ascii="楷体_GB2312" w:hAnsi="楷体_GB2312" w:eastAsia="楷体_GB2312" w:cs="楷体_GB2312"/>
              <w:snapToGrid/>
              <w:kern w:val="2"/>
              <w:sz w:val="28"/>
              <w:szCs w:val="28"/>
              <w:lang w:val="en-US" w:eastAsia="zh-CN" w:bidi="ar-SA"/>
            </w:rPr>
            <w:t>(三) 项目绩效完成情况分析</w:t>
          </w:r>
          <w:r>
            <w:rPr>
              <w:sz w:val="28"/>
              <w:szCs w:val="28"/>
            </w:rPr>
            <w:tab/>
          </w:r>
          <w:r>
            <w:rPr>
              <w:sz w:val="28"/>
              <w:szCs w:val="28"/>
            </w:rPr>
            <w:fldChar w:fldCharType="begin"/>
          </w:r>
          <w:r>
            <w:rPr>
              <w:sz w:val="28"/>
              <w:szCs w:val="28"/>
            </w:rPr>
            <w:instrText xml:space="preserve"> PAGEREF _Toc22914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_Toc6525 </w:instrText>
          </w:r>
          <w:r>
            <w:rPr>
              <w:sz w:val="28"/>
              <w:szCs w:val="28"/>
            </w:rPr>
            <w:fldChar w:fldCharType="separate"/>
          </w:r>
          <w:r>
            <w:rPr>
              <w:rFonts w:hint="eastAsia" w:ascii="仿宋" w:hAnsi="仿宋" w:eastAsia="仿宋" w:cs="仿宋"/>
              <w:spacing w:val="-9"/>
              <w:sz w:val="28"/>
              <w:szCs w:val="28"/>
              <w:lang w:val="en-US" w:eastAsia="zh-CN"/>
            </w:rPr>
            <w:t>1. 项目实际产出情况</w:t>
          </w:r>
          <w:r>
            <w:rPr>
              <w:sz w:val="28"/>
              <w:szCs w:val="28"/>
            </w:rPr>
            <w:tab/>
          </w:r>
          <w:r>
            <w:rPr>
              <w:sz w:val="28"/>
              <w:szCs w:val="28"/>
            </w:rPr>
            <w:fldChar w:fldCharType="begin"/>
          </w:r>
          <w:r>
            <w:rPr>
              <w:sz w:val="28"/>
              <w:szCs w:val="28"/>
            </w:rPr>
            <w:instrText xml:space="preserve"> PAGEREF _Toc6525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_Toc7314 </w:instrText>
          </w:r>
          <w:r>
            <w:rPr>
              <w:sz w:val="28"/>
              <w:szCs w:val="28"/>
            </w:rPr>
            <w:fldChar w:fldCharType="separate"/>
          </w:r>
          <w:r>
            <w:rPr>
              <w:rFonts w:hint="eastAsia" w:ascii="仿宋" w:hAnsi="仿宋" w:eastAsia="仿宋" w:cs="仿宋"/>
              <w:spacing w:val="-9"/>
              <w:sz w:val="28"/>
              <w:szCs w:val="28"/>
              <w:lang w:val="en-US" w:eastAsia="zh-CN"/>
            </w:rPr>
            <w:t>2. 项目效果和效益情况</w:t>
          </w:r>
          <w:r>
            <w:rPr>
              <w:sz w:val="28"/>
              <w:szCs w:val="28"/>
            </w:rPr>
            <w:tab/>
          </w:r>
          <w:r>
            <w:rPr>
              <w:sz w:val="28"/>
              <w:szCs w:val="28"/>
            </w:rPr>
            <w:fldChar w:fldCharType="begin"/>
          </w:r>
          <w:r>
            <w:rPr>
              <w:sz w:val="28"/>
              <w:szCs w:val="28"/>
            </w:rPr>
            <w:instrText xml:space="preserve"> PAGEREF _Toc7314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21"/>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_Toc1076 </w:instrText>
          </w:r>
          <w:r>
            <w:rPr>
              <w:sz w:val="28"/>
              <w:szCs w:val="28"/>
            </w:rPr>
            <w:fldChar w:fldCharType="separate"/>
          </w:r>
          <w:r>
            <w:rPr>
              <w:rFonts w:hint="eastAsia" w:ascii="黑体" w:hAnsi="黑体" w:eastAsia="黑体" w:cs="Times New Roman"/>
              <w:bCs/>
              <w:snapToGrid/>
              <w:kern w:val="2"/>
              <w:sz w:val="28"/>
              <w:szCs w:val="28"/>
              <w:lang w:val="en-US" w:eastAsia="zh-CN" w:bidi="ar-SA"/>
            </w:rPr>
            <w:t>五、其他需要说明的问题</w:t>
          </w:r>
          <w:r>
            <w:rPr>
              <w:sz w:val="28"/>
              <w:szCs w:val="28"/>
            </w:rPr>
            <w:tab/>
          </w:r>
          <w:r>
            <w:rPr>
              <w:sz w:val="28"/>
              <w:szCs w:val="28"/>
            </w:rPr>
            <w:fldChar w:fldCharType="begin"/>
          </w:r>
          <w:r>
            <w:rPr>
              <w:sz w:val="28"/>
              <w:szCs w:val="28"/>
            </w:rPr>
            <w:instrText xml:space="preserve"> PAGEREF _Toc1076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_Toc3297 </w:instrText>
          </w:r>
          <w:r>
            <w:rPr>
              <w:sz w:val="28"/>
              <w:szCs w:val="28"/>
            </w:rPr>
            <w:fldChar w:fldCharType="separate"/>
          </w:r>
          <w:r>
            <w:rPr>
              <w:rFonts w:hint="eastAsia" w:ascii="楷体_GB2312" w:hAnsi="楷体_GB2312" w:eastAsia="楷体_GB2312" w:cs="楷体_GB2312"/>
              <w:snapToGrid/>
              <w:kern w:val="2"/>
              <w:sz w:val="28"/>
              <w:szCs w:val="28"/>
              <w:lang w:val="en-US" w:eastAsia="zh-CN" w:bidi="ar-SA"/>
            </w:rPr>
            <w:t>(一) 项目内控制度不够健全</w:t>
          </w:r>
          <w:r>
            <w:rPr>
              <w:sz w:val="28"/>
              <w:szCs w:val="28"/>
            </w:rPr>
            <w:tab/>
          </w:r>
          <w:r>
            <w:rPr>
              <w:sz w:val="28"/>
              <w:szCs w:val="28"/>
            </w:rPr>
            <w:fldChar w:fldCharType="begin"/>
          </w:r>
          <w:r>
            <w:rPr>
              <w:sz w:val="28"/>
              <w:szCs w:val="28"/>
            </w:rPr>
            <w:instrText xml:space="preserve"> PAGEREF _Toc3297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_Toc15759 </w:instrText>
          </w:r>
          <w:r>
            <w:rPr>
              <w:sz w:val="28"/>
              <w:szCs w:val="28"/>
            </w:rPr>
            <w:fldChar w:fldCharType="separate"/>
          </w:r>
          <w:r>
            <w:rPr>
              <w:rFonts w:hint="eastAsia" w:ascii="楷体_GB2312" w:hAnsi="楷体_GB2312" w:eastAsia="楷体_GB2312" w:cs="楷体_GB2312"/>
              <w:snapToGrid/>
              <w:kern w:val="2"/>
              <w:sz w:val="28"/>
              <w:szCs w:val="28"/>
              <w:lang w:val="en-US" w:eastAsia="zh-CN" w:bidi="ar-SA"/>
            </w:rPr>
            <w:t>(二) 绩效目标设置不够科学、合理、准确</w:t>
          </w:r>
          <w:r>
            <w:rPr>
              <w:sz w:val="28"/>
              <w:szCs w:val="28"/>
            </w:rPr>
            <w:tab/>
          </w:r>
          <w:r>
            <w:rPr>
              <w:sz w:val="28"/>
              <w:szCs w:val="28"/>
            </w:rPr>
            <w:fldChar w:fldCharType="begin"/>
          </w:r>
          <w:r>
            <w:rPr>
              <w:sz w:val="28"/>
              <w:szCs w:val="28"/>
            </w:rPr>
            <w:instrText xml:space="preserve"> PAGEREF _Toc15759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21"/>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_Toc28437 </w:instrText>
          </w:r>
          <w:r>
            <w:rPr>
              <w:sz w:val="28"/>
              <w:szCs w:val="28"/>
            </w:rPr>
            <w:fldChar w:fldCharType="separate"/>
          </w:r>
          <w:r>
            <w:rPr>
              <w:rFonts w:hint="eastAsia" w:ascii="黑体" w:hAnsi="黑体" w:eastAsia="黑体" w:cs="Times New Roman"/>
              <w:bCs/>
              <w:snapToGrid/>
              <w:kern w:val="2"/>
              <w:sz w:val="28"/>
              <w:szCs w:val="28"/>
              <w:lang w:val="en-US" w:eastAsia="zh-CN" w:bidi="ar-SA"/>
            </w:rPr>
            <w:t>六、相关建议</w:t>
          </w:r>
          <w:r>
            <w:rPr>
              <w:sz w:val="28"/>
              <w:szCs w:val="28"/>
            </w:rPr>
            <w:tab/>
          </w:r>
          <w:r>
            <w:rPr>
              <w:sz w:val="28"/>
              <w:szCs w:val="28"/>
            </w:rPr>
            <w:fldChar w:fldCharType="begin"/>
          </w:r>
          <w:r>
            <w:rPr>
              <w:sz w:val="28"/>
              <w:szCs w:val="28"/>
            </w:rPr>
            <w:instrText xml:space="preserve"> PAGEREF _Toc28437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_Toc25795 </w:instrText>
          </w:r>
          <w:r>
            <w:rPr>
              <w:sz w:val="28"/>
              <w:szCs w:val="28"/>
            </w:rPr>
            <w:fldChar w:fldCharType="separate"/>
          </w:r>
          <w:r>
            <w:rPr>
              <w:rFonts w:hint="eastAsia" w:ascii="楷体_GB2312" w:hAnsi="楷体_GB2312" w:eastAsia="楷体_GB2312" w:cs="楷体_GB2312"/>
              <w:snapToGrid/>
              <w:kern w:val="2"/>
              <w:sz w:val="28"/>
              <w:szCs w:val="28"/>
              <w:lang w:val="en-US" w:eastAsia="zh-CN" w:bidi="ar-SA"/>
            </w:rPr>
            <w:t>(一) 加强内控制度建设</w:t>
          </w:r>
          <w:r>
            <w:rPr>
              <w:sz w:val="28"/>
              <w:szCs w:val="28"/>
            </w:rPr>
            <w:tab/>
          </w:r>
          <w:r>
            <w:rPr>
              <w:sz w:val="28"/>
              <w:szCs w:val="28"/>
            </w:rPr>
            <w:fldChar w:fldCharType="begin"/>
          </w:r>
          <w:r>
            <w:rPr>
              <w:sz w:val="28"/>
              <w:szCs w:val="28"/>
            </w:rPr>
            <w:instrText xml:space="preserve"> PAGEREF _Toc25795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sz w:val="28"/>
              <w:szCs w:val="28"/>
            </w:rPr>
            <w:fldChar w:fldCharType="begin"/>
          </w:r>
          <w:r>
            <w:rPr>
              <w:sz w:val="28"/>
              <w:szCs w:val="28"/>
            </w:rPr>
            <w:instrText xml:space="preserve"> HYPERLINK \l _Toc9773 </w:instrText>
          </w:r>
          <w:r>
            <w:rPr>
              <w:sz w:val="28"/>
              <w:szCs w:val="28"/>
            </w:rPr>
            <w:fldChar w:fldCharType="separate"/>
          </w:r>
          <w:r>
            <w:rPr>
              <w:rFonts w:hint="eastAsia" w:ascii="楷体_GB2312" w:hAnsi="楷体_GB2312" w:eastAsia="楷体_GB2312" w:cs="楷体_GB2312"/>
              <w:snapToGrid/>
              <w:kern w:val="2"/>
              <w:sz w:val="28"/>
              <w:szCs w:val="28"/>
              <w:lang w:val="en-US" w:eastAsia="zh-CN" w:bidi="ar-SA"/>
            </w:rPr>
            <w:t>(二) 设置全面合理可行的指标</w:t>
          </w:r>
          <w:r>
            <w:rPr>
              <w:sz w:val="28"/>
              <w:szCs w:val="28"/>
            </w:rPr>
            <w:tab/>
          </w:r>
          <w:r>
            <w:rPr>
              <w:sz w:val="28"/>
              <w:szCs w:val="28"/>
            </w:rPr>
            <w:fldChar w:fldCharType="begin"/>
          </w:r>
          <w:r>
            <w:rPr>
              <w:sz w:val="28"/>
              <w:szCs w:val="28"/>
            </w:rPr>
            <w:instrText xml:space="preserve"> PAGEREF _Toc9773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600" w:lineRule="exact"/>
            <w:ind w:left="0" w:leftChars="0" w:firstLine="0" w:firstLineChars="0"/>
            <w:textAlignment w:val="auto"/>
            <w:rPr>
              <w:sz w:val="28"/>
              <w:szCs w:val="28"/>
            </w:rPr>
          </w:pPr>
          <w:r>
            <w:rPr>
              <w:sz w:val="28"/>
              <w:szCs w:val="28"/>
            </w:rPr>
            <w:fldChar w:fldCharType="begin"/>
          </w:r>
          <w:r>
            <w:rPr>
              <w:sz w:val="28"/>
              <w:szCs w:val="28"/>
            </w:rPr>
            <w:instrText xml:space="preserve"> HYPERLINK \l _Toc9773 </w:instrText>
          </w:r>
          <w:r>
            <w:rPr>
              <w:sz w:val="28"/>
              <w:szCs w:val="28"/>
            </w:rPr>
            <w:fldChar w:fldCharType="separate"/>
          </w:r>
          <w:r>
            <w:rPr>
              <w:rFonts w:hint="eastAsia" w:ascii="仿宋" w:hAnsi="仿宋" w:eastAsia="仿宋" w:cs="仿宋"/>
              <w:spacing w:val="-9"/>
              <w:sz w:val="28"/>
              <w:szCs w:val="28"/>
              <w:lang w:val="en-US" w:eastAsia="zh-CN"/>
            </w:rPr>
            <w:t>附件1：项目支出绩效监控明细表</w:t>
          </w:r>
          <w:r>
            <w:rPr>
              <w:sz w:val="28"/>
              <w:szCs w:val="28"/>
            </w:rPr>
            <w:tab/>
          </w:r>
          <w:r>
            <w:rPr>
              <w:sz w:val="28"/>
              <w:szCs w:val="28"/>
            </w:rPr>
            <w:fldChar w:fldCharType="begin"/>
          </w:r>
          <w:r>
            <w:rPr>
              <w:sz w:val="28"/>
              <w:szCs w:val="28"/>
            </w:rPr>
            <w:instrText xml:space="preserve"> PAGEREF _Toc9773 \h </w:instrText>
          </w:r>
          <w:r>
            <w:rPr>
              <w:sz w:val="28"/>
              <w:szCs w:val="28"/>
            </w:rPr>
            <w:fldChar w:fldCharType="separate"/>
          </w:r>
          <w:r>
            <w:rPr>
              <w:sz w:val="28"/>
              <w:szCs w:val="28"/>
            </w:rPr>
            <w:t>1</w:t>
          </w:r>
          <w:r>
            <w:rPr>
              <w:rFonts w:hint="eastAsia"/>
              <w:sz w:val="28"/>
              <w:szCs w:val="28"/>
              <w:lang w:val="en-US" w:eastAsia="zh-CN"/>
            </w:rPr>
            <w:t>4</w:t>
          </w:r>
          <w:r>
            <w:rPr>
              <w:sz w:val="28"/>
              <w:szCs w:val="28"/>
            </w:rPr>
            <w:fldChar w:fldCharType="end"/>
          </w:r>
          <w:r>
            <w:rPr>
              <w:sz w:val="28"/>
              <w:szCs w:val="28"/>
            </w:rPr>
            <w:fldChar w:fldCharType="end"/>
          </w:r>
        </w:p>
        <w:p>
          <w:r>
            <w:fldChar w:fldCharType="end"/>
          </w:r>
        </w:p>
        <w:p/>
      </w:sdtContent>
    </w:sdt>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bookmarkStart w:id="1" w:name="_Toc26627"/>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sectPr>
          <w:headerReference r:id="rId5" w:type="default"/>
          <w:footerReference r:id="rId6" w:type="default"/>
          <w:pgSz w:w="11907" w:h="16840"/>
          <w:pgMar w:top="1440" w:right="1803" w:bottom="1440" w:left="1803" w:header="907" w:footer="1191" w:gutter="0"/>
          <w:paperSrc/>
          <w:pgNumType w:fmt="decimal" w:start="1"/>
          <w:cols w:space="0" w:num="1"/>
          <w:rtlGutter w:val="0"/>
          <w:docGrid w:linePitch="0" w:charSpace="0"/>
        </w:sect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r>
        <w:rPr>
          <w:rFonts w:hint="eastAsia" w:ascii="方正粗宋简体" w:hAnsi="方正小标宋简体" w:eastAsia="方正粗宋简体" w:cs="Times New Roman"/>
          <w:b/>
          <w:snapToGrid/>
          <w:color w:val="auto"/>
          <w:spacing w:val="-20"/>
          <w:kern w:val="2"/>
          <w:sz w:val="44"/>
          <w:szCs w:val="44"/>
          <w:lang w:val="en-US" w:eastAsia="zh-CN" w:bidi="ar-SA"/>
        </w:rPr>
        <w:t>2022年县级粮食储备贷款贴息等项目支出 绩效目标执行监控报告</w:t>
      </w:r>
      <w:bookmarkEnd w:id="1"/>
    </w:p>
    <w:p>
      <w:pPr>
        <w:spacing w:before="114" w:line="260" w:lineRule="auto"/>
        <w:ind w:left="2389" w:right="819" w:hanging="1623"/>
        <w:rPr>
          <w:rFonts w:ascii="仿宋" w:hAnsi="仿宋" w:eastAsia="仿宋" w:cs="仿宋"/>
          <w:spacing w:val="8"/>
          <w:sz w:val="35"/>
          <w:szCs w:val="35"/>
          <w14:textOutline w14:w="6537" w14:cap="sq" w14:cmpd="sng">
            <w14:solidFill>
              <w14:srgbClr w14:val="000000"/>
            </w14:solidFill>
            <w14:prstDash w14:val="solid"/>
            <w14:bevel/>
          </w14:textOutline>
        </w:rPr>
      </w:pPr>
    </w:p>
    <w:p>
      <w:pPr>
        <w:keepNext w:val="0"/>
        <w:keepLines w:val="0"/>
        <w:pageBreakBefore w:val="0"/>
        <w:widowControl w:val="0"/>
        <w:kinsoku/>
        <w:wordWrap/>
        <w:overflowPunct/>
        <w:topLinePunct w:val="0"/>
        <w:autoSpaceDE w:val="0"/>
        <w:autoSpaceDN w:val="0"/>
        <w:bidi w:val="0"/>
        <w:adjustRightInd w:val="0"/>
        <w:snapToGrid w:val="0"/>
        <w:spacing w:before="91" w:line="600" w:lineRule="exact"/>
        <w:ind w:left="27" w:firstLine="604" w:firstLineChars="200"/>
        <w:jc w:val="both"/>
        <w:textAlignment w:val="baseline"/>
        <w:rPr>
          <w:rFonts w:ascii="仿宋" w:hAnsi="仿宋" w:eastAsia="仿宋" w:cs="仿宋"/>
          <w:sz w:val="32"/>
          <w:szCs w:val="32"/>
        </w:rPr>
      </w:pPr>
      <w:r>
        <w:rPr>
          <w:rFonts w:hint="eastAsia" w:ascii="仿宋" w:hAnsi="仿宋" w:eastAsia="仿宋" w:cs="仿宋"/>
          <w:spacing w:val="-9"/>
          <w:sz w:val="32"/>
          <w:szCs w:val="32"/>
        </w:rPr>
        <w:t>为深入贯彻落实《中共中央 国务院关于全面实施预算绩效管理的意见》(中发〔2018〕34号),加快建成全方位、全过程、全覆盖的预算绩效管理体系，提高财政资源配置效率和使用效益，结合《中共江西省委 江西省人民政府关于全面实施预算绩效管理的实施意见》(赣发</w:t>
      </w:r>
      <w:r>
        <w:rPr>
          <w:rFonts w:hint="eastAsia" w:ascii="仿宋" w:hAnsi="仿宋" w:eastAsia="仿宋" w:cs="仿宋"/>
          <w:spacing w:val="-9"/>
          <w:sz w:val="32"/>
          <w:szCs w:val="32"/>
        </w:rPr>
        <w:t>〔201</w:t>
      </w:r>
      <w:r>
        <w:rPr>
          <w:rFonts w:hint="eastAsia" w:ascii="仿宋" w:hAnsi="仿宋" w:eastAsia="仿宋" w:cs="仿宋"/>
          <w:spacing w:val="-9"/>
          <w:sz w:val="32"/>
          <w:szCs w:val="32"/>
          <w:lang w:val="en-US" w:eastAsia="zh-CN"/>
        </w:rPr>
        <w:t>9</w:t>
      </w:r>
      <w:r>
        <w:rPr>
          <w:rFonts w:hint="eastAsia" w:ascii="仿宋" w:hAnsi="仿宋" w:eastAsia="仿宋" w:cs="仿宋"/>
          <w:spacing w:val="-9"/>
          <w:sz w:val="32"/>
          <w:szCs w:val="32"/>
        </w:rPr>
        <w:t>〕</w:t>
      </w:r>
      <w:r>
        <w:rPr>
          <w:rFonts w:hint="eastAsia" w:ascii="仿宋" w:hAnsi="仿宋" w:eastAsia="仿宋" w:cs="仿宋"/>
          <w:spacing w:val="-9"/>
          <w:sz w:val="32"/>
          <w:szCs w:val="32"/>
        </w:rPr>
        <w:t>8号)和《中共永修县委 永修县人民政府印发关于全面实施预算绩效管理的实施办法》(永发</w:t>
      </w:r>
      <w:r>
        <w:rPr>
          <w:rFonts w:hint="eastAsia" w:ascii="仿宋" w:hAnsi="仿宋" w:eastAsia="仿宋" w:cs="仿宋"/>
          <w:spacing w:val="-9"/>
          <w:sz w:val="32"/>
          <w:szCs w:val="32"/>
        </w:rPr>
        <w:t>〔20</w:t>
      </w:r>
      <w:r>
        <w:rPr>
          <w:rFonts w:hint="eastAsia" w:ascii="仿宋" w:hAnsi="仿宋" w:eastAsia="仿宋" w:cs="仿宋"/>
          <w:spacing w:val="-9"/>
          <w:sz w:val="32"/>
          <w:szCs w:val="32"/>
          <w:lang w:val="en-US" w:eastAsia="zh-CN"/>
        </w:rPr>
        <w:t>20</w:t>
      </w:r>
      <w:r>
        <w:rPr>
          <w:rFonts w:hint="eastAsia" w:ascii="仿宋" w:hAnsi="仿宋" w:eastAsia="仿宋" w:cs="仿宋"/>
          <w:spacing w:val="-9"/>
          <w:sz w:val="32"/>
          <w:szCs w:val="32"/>
        </w:rPr>
        <w:t>〕</w:t>
      </w:r>
      <w:r>
        <w:rPr>
          <w:rFonts w:hint="eastAsia" w:ascii="仿宋" w:hAnsi="仿宋" w:eastAsia="仿宋" w:cs="仿宋"/>
          <w:spacing w:val="-9"/>
          <w:sz w:val="32"/>
          <w:szCs w:val="32"/>
        </w:rPr>
        <w:t>18号)文件精神</w:t>
      </w:r>
      <w:r>
        <w:rPr>
          <w:rFonts w:ascii="仿宋" w:hAnsi="仿宋" w:eastAsia="仿宋" w:cs="仿宋"/>
          <w:spacing w:val="-9"/>
          <w:sz w:val="32"/>
          <w:szCs w:val="32"/>
        </w:rPr>
        <w:t>，受</w:t>
      </w:r>
      <w:r>
        <w:rPr>
          <w:rFonts w:hint="eastAsia" w:ascii="仿宋" w:hAnsi="仿宋" w:eastAsia="仿宋" w:cs="仿宋"/>
          <w:spacing w:val="-9"/>
          <w:sz w:val="32"/>
          <w:szCs w:val="32"/>
        </w:rPr>
        <w:t>永修县</w:t>
      </w:r>
      <w:r>
        <w:rPr>
          <w:rFonts w:ascii="仿宋" w:hAnsi="仿宋" w:eastAsia="仿宋" w:cs="仿宋"/>
          <w:spacing w:val="-9"/>
          <w:sz w:val="32"/>
          <w:szCs w:val="32"/>
        </w:rPr>
        <w:t>财政局的委托，</w:t>
      </w:r>
      <w:r>
        <w:rPr>
          <w:rFonts w:hint="eastAsia" w:ascii="仿宋" w:hAnsi="仿宋" w:eastAsia="仿宋" w:cs="仿宋"/>
          <w:spacing w:val="-9"/>
          <w:sz w:val="32"/>
          <w:szCs w:val="32"/>
        </w:rPr>
        <w:t>江西华宏会计师事务所有限公司组成绩效评价工作组，于2022年10月，对永修县储备粮油经营管理有限公司</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lang w:val="en-US" w:eastAsia="zh-CN"/>
        </w:rPr>
        <w:t>以下简称“永修粮油公司”</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rPr>
        <w:t>202</w:t>
      </w:r>
      <w:r>
        <w:rPr>
          <w:rFonts w:hint="eastAsia" w:ascii="仿宋" w:hAnsi="仿宋" w:eastAsia="仿宋" w:cs="仿宋"/>
          <w:spacing w:val="-9"/>
          <w:sz w:val="32"/>
          <w:szCs w:val="32"/>
          <w:lang w:val="en-US" w:eastAsia="zh-CN"/>
        </w:rPr>
        <w:t>2</w:t>
      </w:r>
      <w:r>
        <w:rPr>
          <w:rFonts w:hint="eastAsia" w:ascii="仿宋" w:hAnsi="仿宋" w:eastAsia="仿宋" w:cs="仿宋"/>
          <w:spacing w:val="-9"/>
          <w:sz w:val="32"/>
          <w:szCs w:val="32"/>
        </w:rPr>
        <w:t>年县级粮食储备贷款贴息等项目202</w:t>
      </w:r>
      <w:r>
        <w:rPr>
          <w:rFonts w:hint="eastAsia" w:ascii="仿宋" w:hAnsi="仿宋" w:eastAsia="仿宋" w:cs="仿宋"/>
          <w:spacing w:val="-9"/>
          <w:sz w:val="32"/>
          <w:szCs w:val="32"/>
          <w:lang w:val="en-US" w:eastAsia="zh-CN"/>
        </w:rPr>
        <w:t>2</w:t>
      </w:r>
      <w:r>
        <w:rPr>
          <w:rFonts w:hint="eastAsia" w:ascii="仿宋" w:hAnsi="仿宋" w:eastAsia="仿宋" w:cs="仿宋"/>
          <w:spacing w:val="-9"/>
          <w:sz w:val="32"/>
          <w:szCs w:val="32"/>
        </w:rPr>
        <w:t>年度1-</w:t>
      </w:r>
      <w:r>
        <w:rPr>
          <w:rFonts w:hint="eastAsia" w:ascii="仿宋" w:hAnsi="仿宋" w:eastAsia="仿宋" w:cs="仿宋"/>
          <w:spacing w:val="-9"/>
          <w:sz w:val="32"/>
          <w:szCs w:val="32"/>
          <w:lang w:val="en-US" w:eastAsia="zh-CN"/>
        </w:rPr>
        <w:t>9</w:t>
      </w:r>
      <w:r>
        <w:rPr>
          <w:rFonts w:hint="eastAsia" w:ascii="仿宋" w:hAnsi="仿宋" w:eastAsia="仿宋" w:cs="仿宋"/>
          <w:spacing w:val="-9"/>
          <w:sz w:val="32"/>
          <w:szCs w:val="32"/>
        </w:rPr>
        <w:t>月项目支出进行了跟踪绩效监控。提供真实、完整的监控</w:t>
      </w:r>
      <w:r>
        <w:rPr>
          <w:rFonts w:ascii="仿宋" w:hAnsi="仿宋" w:eastAsia="仿宋" w:cs="仿宋"/>
          <w:spacing w:val="-9"/>
          <w:sz w:val="32"/>
          <w:szCs w:val="32"/>
        </w:rPr>
        <w:t>资料是</w:t>
      </w:r>
      <w:r>
        <w:rPr>
          <w:rFonts w:hint="eastAsia" w:ascii="仿宋" w:hAnsi="仿宋" w:eastAsia="仿宋" w:cs="仿宋"/>
          <w:spacing w:val="-9"/>
          <w:sz w:val="32"/>
          <w:szCs w:val="32"/>
          <w:lang w:val="en-US" w:eastAsia="zh-CN"/>
        </w:rPr>
        <w:t>永修粮油公司</w:t>
      </w:r>
      <w:r>
        <w:rPr>
          <w:rFonts w:ascii="仿宋" w:hAnsi="仿宋" w:eastAsia="仿宋" w:cs="仿宋"/>
          <w:spacing w:val="-9"/>
          <w:sz w:val="32"/>
          <w:szCs w:val="32"/>
        </w:rPr>
        <w:t>的责任，我们的责任是对该项目进行绩效监控。监控工作得到了</w:t>
      </w:r>
      <w:r>
        <w:rPr>
          <w:rFonts w:hint="eastAsia" w:ascii="仿宋" w:hAnsi="仿宋" w:eastAsia="仿宋" w:cs="仿宋"/>
          <w:spacing w:val="-9"/>
          <w:sz w:val="32"/>
          <w:szCs w:val="32"/>
          <w:lang w:val="en-US" w:eastAsia="zh-CN"/>
        </w:rPr>
        <w:t>永修粮油公司</w:t>
      </w:r>
      <w:r>
        <w:rPr>
          <w:rFonts w:ascii="仿宋" w:hAnsi="仿宋" w:eastAsia="仿宋" w:cs="仿宋"/>
          <w:spacing w:val="-9"/>
          <w:sz w:val="32"/>
          <w:szCs w:val="32"/>
        </w:rPr>
        <w:t>的积极配合，工作进展较为顺利。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2" w:name="_Toc2063"/>
      <w:r>
        <w:rPr>
          <w:rFonts w:hint="eastAsia" w:ascii="黑体" w:hAnsi="黑体" w:eastAsia="黑体" w:cs="Times New Roman"/>
          <w:b w:val="0"/>
          <w:bCs/>
          <w:snapToGrid/>
          <w:kern w:val="2"/>
          <w:sz w:val="32"/>
          <w:szCs w:val="32"/>
          <w:lang w:val="en-US" w:eastAsia="zh-CN" w:bidi="ar-SA"/>
        </w:rPr>
        <w:t>一、项目单位基本情况</w:t>
      </w:r>
      <w:bookmarkEnd w:id="2"/>
    </w:p>
    <w:p>
      <w:pPr>
        <w:keepNext w:val="0"/>
        <w:keepLines w:val="0"/>
        <w:pageBreakBefore w:val="0"/>
        <w:widowControl w:val="0"/>
        <w:kinsoku/>
        <w:wordWrap/>
        <w:overflowPunct/>
        <w:topLinePunct w:val="0"/>
        <w:autoSpaceDE w:val="0"/>
        <w:autoSpaceDN w:val="0"/>
        <w:bidi w:val="0"/>
        <w:adjustRightInd w:val="0"/>
        <w:snapToGrid w:val="0"/>
        <w:spacing w:before="91"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rPr>
        <w:t>永修县储备粮油经营管理有限公司</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lang w:val="en-US" w:eastAsia="zh-CN"/>
        </w:rPr>
        <w:t>以下简称</w:t>
      </w:r>
      <w:r>
        <w:rPr>
          <w:rFonts w:hint="eastAsia" w:ascii="仿宋" w:hAnsi="仿宋" w:eastAsia="仿宋" w:cs="仿宋"/>
          <w:spacing w:val="-9"/>
          <w:sz w:val="32"/>
          <w:szCs w:val="32"/>
        </w:rPr>
        <w:t>永修粮油公司</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lang w:val="en-US" w:eastAsia="zh-CN"/>
        </w:rPr>
        <w:t>成立于1999年8月9日，国有控股有限公司，主要承担</w:t>
      </w:r>
      <w:r>
        <w:rPr>
          <w:rFonts w:hint="eastAsia" w:ascii="仿宋" w:hAnsi="仿宋" w:eastAsia="仿宋" w:cs="仿宋"/>
          <w:spacing w:val="-9"/>
          <w:sz w:val="32"/>
          <w:szCs w:val="32"/>
          <w:lang w:eastAsia="zh-CN"/>
        </w:rPr>
        <w:t>常态储备国家托市粮及省、县级储备粮</w:t>
      </w:r>
      <w:r>
        <w:rPr>
          <w:rFonts w:hint="eastAsia" w:ascii="仿宋" w:hAnsi="仿宋" w:eastAsia="仿宋" w:cs="仿宋"/>
          <w:spacing w:val="-9"/>
          <w:sz w:val="32"/>
          <w:szCs w:val="32"/>
          <w:lang w:val="en-US" w:eastAsia="zh-CN"/>
        </w:rPr>
        <w:t>工作，现有</w:t>
      </w:r>
      <w:r>
        <w:rPr>
          <w:rFonts w:hint="eastAsia" w:ascii="仿宋" w:hAnsi="仿宋" w:eastAsia="仿宋" w:cs="仿宋"/>
          <w:spacing w:val="-9"/>
          <w:sz w:val="32"/>
          <w:szCs w:val="32"/>
          <w:lang w:eastAsia="zh-CN"/>
        </w:rPr>
        <w:t>3个粮库和10个乡镇粮所，</w:t>
      </w:r>
      <w:r>
        <w:rPr>
          <w:rFonts w:hint="eastAsia" w:ascii="仿宋" w:hAnsi="仿宋" w:eastAsia="仿宋" w:cs="仿宋"/>
          <w:spacing w:val="-9"/>
          <w:sz w:val="32"/>
          <w:szCs w:val="32"/>
          <w:lang w:val="en-US" w:eastAsia="zh-CN"/>
        </w:rPr>
        <w:t>根据</w:t>
      </w:r>
      <w:r>
        <w:rPr>
          <w:rFonts w:hint="eastAsia" w:ascii="仿宋" w:hAnsi="仿宋" w:eastAsia="仿宋" w:cs="仿宋"/>
          <w:spacing w:val="-9"/>
          <w:sz w:val="32"/>
          <w:szCs w:val="32"/>
        </w:rPr>
        <w:t>永修粮油公司</w:t>
      </w:r>
      <w:r>
        <w:rPr>
          <w:rFonts w:hint="eastAsia" w:ascii="仿宋" w:hAnsi="仿宋" w:eastAsia="仿宋" w:cs="仿宋"/>
          <w:spacing w:val="-9"/>
          <w:sz w:val="32"/>
          <w:szCs w:val="32"/>
          <w:lang w:val="en-US" w:eastAsia="zh-CN"/>
        </w:rPr>
        <w:t>提供的《全县国有粮食企业现有仓容及使用情况统计表》及《</w:t>
      </w:r>
      <w:r>
        <w:rPr>
          <w:rFonts w:hint="eastAsia" w:ascii="仿宋" w:hAnsi="仿宋" w:eastAsia="仿宋" w:cs="仿宋"/>
          <w:spacing w:val="-9"/>
          <w:sz w:val="32"/>
          <w:szCs w:val="32"/>
        </w:rPr>
        <w:t>全县国有粮食企业储备粮实际库存数量统计表</w:t>
      </w:r>
      <w:r>
        <w:rPr>
          <w:rFonts w:hint="eastAsia" w:ascii="仿宋" w:hAnsi="仿宋" w:eastAsia="仿宋" w:cs="仿宋"/>
          <w:spacing w:val="-9"/>
          <w:sz w:val="32"/>
          <w:szCs w:val="32"/>
          <w:lang w:val="en-US" w:eastAsia="zh-CN"/>
        </w:rPr>
        <w:t>》统计，截止2022年9月30日，</w:t>
      </w:r>
      <w:r>
        <w:rPr>
          <w:rFonts w:hint="eastAsia" w:ascii="仿宋" w:hAnsi="仿宋" w:eastAsia="仿宋" w:cs="仿宋"/>
          <w:spacing w:val="-9"/>
          <w:sz w:val="32"/>
          <w:szCs w:val="32"/>
          <w:lang w:eastAsia="zh-CN"/>
        </w:rPr>
        <w:t>储备国家托市粮</w:t>
      </w:r>
      <w:r>
        <w:rPr>
          <w:rFonts w:hint="eastAsia" w:ascii="仿宋" w:hAnsi="仿宋" w:eastAsia="仿宋" w:cs="仿宋"/>
          <w:spacing w:val="-9"/>
          <w:sz w:val="32"/>
          <w:szCs w:val="32"/>
          <w:lang w:val="en-US" w:eastAsia="zh-CN"/>
        </w:rPr>
        <w:t>35279.82吨、省级储备粮4500吨、县级储备粮6500吨、县级储备油67吨（四级菜籽油）。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3" w:name="_Toc16481"/>
      <w:r>
        <w:rPr>
          <w:rFonts w:hint="eastAsia" w:ascii="黑体" w:hAnsi="黑体" w:eastAsia="黑体" w:cs="Times New Roman"/>
          <w:b w:val="0"/>
          <w:bCs/>
          <w:snapToGrid/>
          <w:kern w:val="2"/>
          <w:sz w:val="32"/>
          <w:szCs w:val="32"/>
          <w:lang w:val="en-US" w:eastAsia="zh-CN" w:bidi="ar-SA"/>
        </w:rPr>
        <w:t>二、项目基本情况</w:t>
      </w:r>
      <w:bookmarkEnd w:id="3"/>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楷体_GB2312" w:hAnsi="楷体_GB2312" w:eastAsia="楷体_GB2312" w:cs="楷体_GB2312"/>
          <w:snapToGrid/>
          <w:kern w:val="2"/>
          <w:sz w:val="32"/>
          <w:szCs w:val="32"/>
          <w:lang w:val="en-US" w:eastAsia="zh-CN" w:bidi="ar-SA"/>
        </w:rPr>
      </w:pPr>
      <w:bookmarkStart w:id="4" w:name="_Toc4350"/>
      <w:r>
        <w:rPr>
          <w:rFonts w:hint="eastAsia" w:ascii="楷体_GB2312" w:hAnsi="楷体_GB2312" w:eastAsia="楷体_GB2312" w:cs="楷体_GB2312"/>
          <w:snapToGrid/>
          <w:kern w:val="2"/>
          <w:sz w:val="32"/>
          <w:szCs w:val="32"/>
          <w:lang w:val="en-US" w:eastAsia="zh-CN" w:bidi="ar-SA"/>
        </w:rPr>
        <w:t>（一）项目概况</w:t>
      </w:r>
      <w:bookmarkEnd w:id="4"/>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2"/>
        <w:rPr>
          <w:rFonts w:hint="eastAsia" w:ascii="仿宋" w:hAnsi="仿宋" w:eastAsia="仿宋" w:cs="仿宋"/>
          <w:spacing w:val="-9"/>
          <w:sz w:val="32"/>
          <w:szCs w:val="32"/>
          <w:lang w:val="en-US" w:eastAsia="zh-CN"/>
        </w:rPr>
      </w:pPr>
      <w:bookmarkStart w:id="5" w:name="_Toc10651"/>
      <w:r>
        <w:rPr>
          <w:rFonts w:hint="eastAsia" w:ascii="仿宋" w:hAnsi="仿宋" w:eastAsia="仿宋" w:cs="仿宋"/>
          <w:spacing w:val="-9"/>
          <w:sz w:val="32"/>
          <w:szCs w:val="32"/>
          <w:lang w:val="en-US" w:eastAsia="zh-CN"/>
        </w:rPr>
        <w:t>1. 项目背景</w:t>
      </w:r>
      <w:bookmarkEnd w:id="5"/>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以习近平新时代中国特色社会主义思想为指导，全面贯彻党的十九大和十九届二中、三中、四中全会精神，紧紧围绕市委、市政府工作，以保障粮食安全为中心任务，全面落实粮食安全责任，管好地方粮食储备，促进粮食产业健康发展，持续提升保障能力，保障军粮供应，满足部队需要，开创粮食储备工作新格局。</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2"/>
        <w:rPr>
          <w:rFonts w:hint="eastAsia" w:ascii="仿宋" w:hAnsi="仿宋" w:eastAsia="仿宋" w:cs="仿宋"/>
          <w:spacing w:val="-9"/>
          <w:sz w:val="32"/>
          <w:szCs w:val="32"/>
          <w:lang w:val="en-US" w:eastAsia="zh-CN"/>
        </w:rPr>
      </w:pPr>
      <w:bookmarkStart w:id="6" w:name="_Toc6872"/>
      <w:r>
        <w:rPr>
          <w:rFonts w:hint="eastAsia" w:ascii="仿宋" w:hAnsi="仿宋" w:eastAsia="仿宋" w:cs="仿宋"/>
          <w:spacing w:val="-9"/>
          <w:sz w:val="32"/>
          <w:szCs w:val="32"/>
          <w:lang w:val="en-US" w:eastAsia="zh-CN"/>
        </w:rPr>
        <w:t>项目主要内容</w:t>
      </w:r>
      <w:bookmarkEnd w:id="6"/>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项目主要内容是确保2022年永修县级储备粮6500吨、油67吨数据真实、存储安全；负责全县部队军粮供应和服务工作；实现配送中心网点全面覆盖。</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Autospacing="0" w:line="600" w:lineRule="exact"/>
        <w:ind w:left="27" w:leftChars="0" w:firstLine="604" w:firstLineChars="200"/>
        <w:jc w:val="both"/>
        <w:textAlignment w:val="baseline"/>
        <w:outlineLvl w:val="2"/>
        <w:rPr>
          <w:rFonts w:hint="eastAsia" w:ascii="仿宋" w:hAnsi="仿宋" w:eastAsia="仿宋" w:cs="仿宋"/>
          <w:spacing w:val="-9"/>
          <w:sz w:val="32"/>
          <w:szCs w:val="32"/>
          <w:lang w:val="en-US" w:eastAsia="zh-CN"/>
        </w:rPr>
      </w:pPr>
      <w:bookmarkStart w:id="7" w:name="_Toc18067"/>
      <w:r>
        <w:rPr>
          <w:rFonts w:hint="eastAsia" w:ascii="仿宋" w:hAnsi="仿宋" w:eastAsia="仿宋" w:cs="仿宋"/>
          <w:spacing w:val="-9"/>
          <w:sz w:val="32"/>
          <w:szCs w:val="32"/>
          <w:lang w:val="en-US" w:eastAsia="zh-CN"/>
        </w:rPr>
        <w:t>项目资金预算情况</w:t>
      </w:r>
      <w:bookmarkEnd w:id="7"/>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2022年，永修县财政局预算安排县级储备粮油贷款利息及费用等补贴资金445万元（在产粮大县奖补资金中打包列支）。根据项目单位提供的《项目绩效目标指标表》（2022年）年度主要任务预算资金安排分四类：一是县级储备粮贷款利息及粮食保管费等158.86万元，利息按农发行当期贷款利率据实计算；二是储备粮仓库维修资金、质检工作经费等212.14万元；三是军粮供应站职工工资及工作经费35万元；四是“放心粮油”经营示范工作经费及租仓资金39万元。</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楷体_GB2312" w:hAnsi="楷体_GB2312" w:eastAsia="楷体_GB2312" w:cs="楷体_GB2312"/>
          <w:snapToGrid/>
          <w:kern w:val="2"/>
          <w:sz w:val="32"/>
          <w:szCs w:val="32"/>
          <w:lang w:val="en-US" w:eastAsia="zh-CN" w:bidi="ar-SA"/>
        </w:rPr>
      </w:pPr>
      <w:bookmarkStart w:id="8" w:name="_Toc28204_WPSOffice_Level2"/>
      <w:bookmarkStart w:id="9" w:name="_Toc29435"/>
      <w:r>
        <w:rPr>
          <w:rFonts w:hint="eastAsia" w:ascii="楷体_GB2312" w:hAnsi="楷体_GB2312" w:eastAsia="楷体_GB2312" w:cs="楷体_GB2312"/>
          <w:snapToGrid/>
          <w:kern w:val="2"/>
          <w:sz w:val="32"/>
          <w:szCs w:val="32"/>
          <w:lang w:val="en-US" w:eastAsia="zh-CN" w:bidi="ar-SA"/>
        </w:rPr>
        <w:t>（二）项目绩效目标</w:t>
      </w:r>
      <w:bookmarkEnd w:id="8"/>
      <w:bookmarkEnd w:id="9"/>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2"/>
        <w:rPr>
          <w:rFonts w:hint="eastAsia" w:ascii="仿宋" w:hAnsi="仿宋" w:eastAsia="仿宋" w:cs="仿宋"/>
          <w:spacing w:val="-9"/>
          <w:sz w:val="32"/>
          <w:szCs w:val="32"/>
          <w:lang w:val="en-US" w:eastAsia="zh-CN"/>
        </w:rPr>
      </w:pPr>
      <w:bookmarkStart w:id="10" w:name="_Toc30508_WPSOffice_Level3"/>
      <w:bookmarkStart w:id="11" w:name="_Toc5419"/>
      <w:r>
        <w:rPr>
          <w:rFonts w:hint="eastAsia" w:ascii="仿宋" w:hAnsi="仿宋" w:eastAsia="仿宋" w:cs="仿宋"/>
          <w:spacing w:val="-9"/>
          <w:sz w:val="32"/>
          <w:szCs w:val="32"/>
          <w:lang w:val="en-US" w:eastAsia="zh-CN"/>
        </w:rPr>
        <w:t>1. 项目总体目标</w:t>
      </w:r>
      <w:bookmarkEnd w:id="10"/>
      <w:bookmarkEnd w:id="11"/>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确保县级储备粮库存数真实、存储安全；确保驻军部队粮食供给，加强部队后勤保障；实现配送中心网点全面覆盖，让群众吃上放心粮油。确保国家粮食安全省长责任制落实，顺利完成各级储备粮管理任务，履行粮食行业管理职能作用，抓实粮食流通监督检查，促进粮食产业经济健康发展。</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2"/>
        <w:rPr>
          <w:rFonts w:hint="eastAsia" w:ascii="仿宋" w:hAnsi="仿宋" w:eastAsia="仿宋" w:cs="仿宋"/>
          <w:spacing w:val="-9"/>
          <w:sz w:val="32"/>
          <w:szCs w:val="32"/>
          <w:lang w:val="en-US" w:eastAsia="zh-CN"/>
        </w:rPr>
      </w:pPr>
      <w:bookmarkStart w:id="12" w:name="_Toc8001_WPSOffice_Level3"/>
      <w:bookmarkStart w:id="13" w:name="_Toc21969"/>
      <w:r>
        <w:rPr>
          <w:rFonts w:hint="eastAsia" w:ascii="仿宋" w:hAnsi="仿宋" w:eastAsia="仿宋" w:cs="仿宋"/>
          <w:spacing w:val="-9"/>
          <w:sz w:val="32"/>
          <w:szCs w:val="32"/>
          <w:lang w:val="en-US" w:eastAsia="zh-CN"/>
        </w:rPr>
        <w:t>2. 项目阶段性目标</w:t>
      </w:r>
      <w:bookmarkEnd w:id="12"/>
      <w:bookmarkEnd w:id="13"/>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核定2022年永修县粮食储备总规模计划数6500吨、食用油储备67吨，通过加强对县级储备粮的管理，确保县级储备粮库存数真实、存储安全，保障军需民食、维护正常的社会和生活秩序，防范粮食短缺风险。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14" w:name="_Toc1517"/>
      <w:r>
        <w:rPr>
          <w:rFonts w:hint="eastAsia" w:ascii="黑体" w:hAnsi="黑体" w:eastAsia="黑体" w:cs="Times New Roman"/>
          <w:b w:val="0"/>
          <w:bCs/>
          <w:snapToGrid/>
          <w:kern w:val="2"/>
          <w:sz w:val="32"/>
          <w:szCs w:val="32"/>
          <w:lang w:val="en-US" w:eastAsia="zh-CN" w:bidi="ar-SA"/>
        </w:rPr>
        <w:t>三、绩效目标的核对和确定情况</w:t>
      </w:r>
      <w:bookmarkEnd w:id="14"/>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根据《中共永修县委 永修县人民政府印发关于全面实施预算绩效管理的实施办法》(永发(2020)18号)文件精神 ，我们对本项目《项目绩效目标指标表》设置绩效目标的合理性和准确性进行了审核。问题如下：</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outlineLvl w:val="1"/>
        <w:rPr>
          <w:rFonts w:hint="default" w:ascii="仿宋" w:hAnsi="仿宋" w:eastAsia="仿宋" w:cs="仿宋"/>
          <w:spacing w:val="-9"/>
          <w:sz w:val="32"/>
          <w:szCs w:val="32"/>
          <w:lang w:val="en-US" w:eastAsia="zh-CN"/>
        </w:rPr>
      </w:pPr>
      <w:bookmarkStart w:id="15" w:name="_Toc10336"/>
      <w:r>
        <w:rPr>
          <w:rFonts w:hint="eastAsia" w:ascii="楷体_GB2312" w:hAnsi="楷体_GB2312" w:eastAsia="楷体_GB2312" w:cs="楷体_GB2312"/>
          <w:snapToGrid/>
          <w:kern w:val="2"/>
          <w:sz w:val="32"/>
          <w:szCs w:val="32"/>
          <w:lang w:val="en-US" w:eastAsia="zh-CN" w:bidi="ar-SA"/>
        </w:rPr>
        <w:t>（一）绩效目标设置情况</w:t>
      </w:r>
      <w:bookmarkEnd w:id="15"/>
    </w:p>
    <w:p>
      <w:pPr>
        <w:keepNext w:val="0"/>
        <w:keepLines w:val="0"/>
        <w:pageBreakBefore w:val="0"/>
        <w:widowControl w:val="0"/>
        <w:numPr>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16" w:name="_Toc19936"/>
      <w:r>
        <w:rPr>
          <w:rFonts w:hint="eastAsia" w:ascii="仿宋" w:hAnsi="仿宋" w:eastAsia="仿宋" w:cs="仿宋"/>
          <w:spacing w:val="-9"/>
          <w:sz w:val="32"/>
          <w:szCs w:val="32"/>
          <w:lang w:val="en-US" w:eastAsia="zh-CN"/>
        </w:rPr>
        <w:t>1. 绩效目标不合理性</w:t>
      </w:r>
      <w:bookmarkEnd w:id="16"/>
    </w:p>
    <w:p>
      <w:pPr>
        <w:keepNext w:val="0"/>
        <w:keepLines w:val="0"/>
        <w:pageBreakBefore w:val="0"/>
        <w:widowControl w:val="0"/>
        <w:numPr>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目前国家粮食储备库多个仓库处于空仓或对外出租状态，列支租金14万元不合理。绩效目标预期效果未能体现粮油储备对稳定粮油市场价格波动的作用，且缺少项目实施对县级应对重大自然灾害或其他突发事件的能力持续影响。</w:t>
      </w:r>
    </w:p>
    <w:p>
      <w:pPr>
        <w:keepNext w:val="0"/>
        <w:keepLines w:val="0"/>
        <w:pageBreakBefore w:val="0"/>
        <w:widowControl w:val="0"/>
        <w:numPr>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17" w:name="_Toc1861"/>
      <w:r>
        <w:rPr>
          <w:rFonts w:hint="eastAsia" w:ascii="仿宋" w:hAnsi="仿宋" w:eastAsia="仿宋" w:cs="仿宋"/>
          <w:spacing w:val="-9"/>
          <w:sz w:val="32"/>
          <w:szCs w:val="32"/>
          <w:lang w:val="en-US" w:eastAsia="zh-CN"/>
        </w:rPr>
        <w:t>2. 绩效目标准确性方面</w:t>
      </w:r>
      <w:bookmarkEnd w:id="17"/>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（1）对放心粮应急配送工作、食用油储备工作未设置数量目标。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质量与成本指标设置不准确。2022年县级储备无轮换任务（2020年入库粮食2500吨、2021年入库4000吨，每3年轮换一次；2021年入库食用油67吨，每2年轮换一次）。2022年县级储备无收购任务，质量指标设置粮食收购质量水平不相关，应根据储备任务设置县级储备粮油合格率进行考核；2022年无轮换任务，成本指标中设置县级储备轮换费用≤31万元与当年工作不符。</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outlineLvl w:val="1"/>
        <w:rPr>
          <w:rFonts w:hint="eastAsia" w:ascii="仿宋" w:hAnsi="仿宋" w:eastAsia="仿宋" w:cs="仿宋"/>
          <w:spacing w:val="-9"/>
          <w:sz w:val="32"/>
          <w:szCs w:val="32"/>
          <w:lang w:val="en-US" w:eastAsia="zh-CN"/>
        </w:rPr>
      </w:pPr>
      <w:bookmarkStart w:id="18" w:name="_Toc6803"/>
      <w:bookmarkStart w:id="19" w:name="_Toc11289"/>
      <w:r>
        <w:rPr>
          <w:rFonts w:hint="eastAsia" w:ascii="楷体_GB2312" w:hAnsi="楷体_GB2312" w:eastAsia="楷体_GB2312" w:cs="楷体_GB2312"/>
          <w:snapToGrid/>
          <w:kern w:val="2"/>
          <w:sz w:val="32"/>
          <w:szCs w:val="32"/>
          <w:lang w:val="en-US" w:eastAsia="zh-CN" w:bidi="ar-SA"/>
        </w:rPr>
        <w:t>（二）绩效目标的确定情况</w:t>
      </w:r>
      <w:bookmarkEnd w:id="18"/>
      <w:bookmarkEnd w:id="19"/>
      <w:r>
        <w:rPr>
          <w:rFonts w:hint="eastAsia" w:ascii="仿宋" w:hAnsi="仿宋" w:eastAsia="仿宋" w:cs="仿宋"/>
          <w:spacing w:val="-9"/>
          <w:sz w:val="32"/>
          <w:szCs w:val="32"/>
          <w:lang w:val="en-US" w:eastAsia="zh-CN"/>
        </w:rPr>
        <w:t xml:space="preserve"> </w:t>
      </w:r>
      <w:r>
        <w:rPr>
          <w:rFonts w:hint="eastAsia" w:ascii="仿宋" w:hAnsi="仿宋" w:eastAsia="仿宋" w:cs="仿宋"/>
          <w:spacing w:val="-9"/>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调整后的项目绩效指标体系如下：</w:t>
      </w:r>
    </w:p>
    <w:tbl>
      <w:tblPr>
        <w:tblStyle w:val="7"/>
        <w:tblW w:w="87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2"/>
        <w:gridCol w:w="1538"/>
        <w:gridCol w:w="2455"/>
        <w:gridCol w:w="1345"/>
        <w:gridCol w:w="121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0"/>
                <w:szCs w:val="30"/>
                <w:u w:val="none"/>
                <w:lang w:val="en-US" w:eastAsia="zh-CN" w:bidi="ar"/>
              </w:rPr>
              <w:t>项目绩效指标体系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snapToGrid w:val="0"/>
                <w:color w:val="000000"/>
                <w:lang w:val="en-US" w:eastAsia="zh-CN" w:bidi="ar"/>
              </w:rPr>
              <w:t>（</w:t>
            </w:r>
            <w:r>
              <w:rPr>
                <w:rStyle w:val="13"/>
                <w:rFonts w:eastAsia="宋体"/>
                <w:snapToGrid w:val="0"/>
                <w:color w:val="000000"/>
                <w:lang w:val="en-US" w:eastAsia="zh-CN" w:bidi="ar"/>
              </w:rPr>
              <w:t xml:space="preserve">  2022  </w:t>
            </w:r>
            <w:r>
              <w:rPr>
                <w:rStyle w:val="12"/>
                <w:snapToGrid w:val="0"/>
                <w:color w:val="00000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2022年县级粮食储备贷款贴息等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主管部门</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永修县农业农村局</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项目实施单位</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永修县储备粮油经营管理有限公司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项目类型</w:t>
            </w:r>
          </w:p>
        </w:tc>
        <w:tc>
          <w:tcPr>
            <w:tcW w:w="7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经常性项目（√）       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计划投资额（万元）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实际到位资金（万元）</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实际使用情况（万元）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其中：中央财政</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其中：中央财政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省财政</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省财政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市县财政</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市县财政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标</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粮食储备总规模</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=6500</w:t>
            </w:r>
            <w:r>
              <w:rPr>
                <w:rStyle w:val="14"/>
                <w:snapToGrid w:val="0"/>
                <w:color w:val="000000"/>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食用油储备总规模</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=67</w:t>
            </w:r>
            <w:r>
              <w:rPr>
                <w:rStyle w:val="14"/>
                <w:snapToGrid w:val="0"/>
                <w:color w:val="000000"/>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仓库维修和电网改造等</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r>
              <w:rPr>
                <w:rStyle w:val="14"/>
                <w:snapToGrid w:val="0"/>
                <w:color w:val="000000"/>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保障军供服务人员数量</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Style w:val="14"/>
                <w:snapToGrid w:val="0"/>
                <w:color w:val="000000"/>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应急配送经费保障数</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r>
              <w:rPr>
                <w:rStyle w:val="14"/>
                <w:snapToGrid w:val="0"/>
                <w:color w:val="000000"/>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县级储备粮油贷款金额</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=1706</w:t>
            </w:r>
            <w:r>
              <w:rPr>
                <w:rStyle w:val="14"/>
                <w:snapToGrid w:val="0"/>
                <w:color w:val="00000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县级储备粮食合格率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县级储备油合格率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储备粮仓库维修验收合格率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资金使用合规率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县级储备粮油定期检查及时率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仓库维修工作及时率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军粮供应及时率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配送中心配送及时率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储备粮贷款利息</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≤64</w:t>
            </w:r>
            <w:r>
              <w:rPr>
                <w:rStyle w:val="14"/>
                <w:snapToGrid w:val="0"/>
                <w:color w:val="00000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储备粮油保管费</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66.61</w:t>
            </w:r>
            <w:r>
              <w:rPr>
                <w:rStyle w:val="14"/>
                <w:snapToGrid w:val="0"/>
                <w:color w:val="00000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质检人员费用和工作经费</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r>
              <w:rPr>
                <w:rStyle w:val="14"/>
                <w:snapToGrid w:val="0"/>
                <w:color w:val="00000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仓库维修资金</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w:t>
            </w:r>
            <w:r>
              <w:rPr>
                <w:rStyle w:val="14"/>
                <w:snapToGrid w:val="0"/>
                <w:color w:val="00000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军供服务职工工资</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r>
              <w:rPr>
                <w:rStyle w:val="14"/>
                <w:snapToGrid w:val="0"/>
                <w:color w:val="00000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粮油配送网点费用</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r>
              <w:rPr>
                <w:rStyle w:val="14"/>
                <w:snapToGrid w:val="0"/>
                <w:color w:val="00000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县级储备轮换费用</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r>
              <w:rPr>
                <w:rStyle w:val="14"/>
                <w:snapToGrid w:val="0"/>
                <w:color w:val="00000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仓库租金</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经济效益</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稳定粮油市场价格波动</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有效保障粮油储备安全</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有效增强政府调控粮食市场能力</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有效提升县级储备粮食管理机制</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加强部队后勤保障</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可持续指标</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持续增强应对重大自然灾害或其他突发事件的能力</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持续增强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群众对当地粮油价格波动满意度90%以上</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90%</w:t>
            </w:r>
            <w:r>
              <w:rPr>
                <w:rStyle w:val="14"/>
                <w:snapToGrid w:val="0"/>
                <w:color w:val="000000"/>
                <w:lang w:val="en-US" w:eastAsia="zh-CN" w:bidi="ar"/>
              </w:rPr>
              <w:t>以上</w:t>
            </w:r>
          </w:p>
        </w:tc>
      </w:tr>
    </w:tbl>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20" w:name="_Toc7810"/>
      <w:r>
        <w:rPr>
          <w:rFonts w:hint="eastAsia" w:ascii="黑体" w:hAnsi="黑体" w:eastAsia="黑体" w:cs="Times New Roman"/>
          <w:b w:val="0"/>
          <w:bCs/>
          <w:snapToGrid/>
          <w:kern w:val="2"/>
          <w:sz w:val="32"/>
          <w:szCs w:val="32"/>
          <w:lang w:val="en-US" w:eastAsia="zh-CN" w:bidi="ar-SA"/>
        </w:rPr>
        <w:t>四、项目支出绩效目标执行监控分析</w:t>
      </w:r>
      <w:bookmarkEnd w:id="20"/>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1" w:name="_Toc26829"/>
      <w:r>
        <w:rPr>
          <w:rFonts w:hint="eastAsia" w:ascii="楷体_GB2312" w:hAnsi="楷体_GB2312" w:eastAsia="楷体_GB2312" w:cs="楷体_GB2312"/>
          <w:snapToGrid/>
          <w:kern w:val="2"/>
          <w:sz w:val="32"/>
          <w:szCs w:val="32"/>
          <w:lang w:val="en-US" w:eastAsia="zh-CN" w:bidi="ar-SA"/>
        </w:rPr>
        <w:t>(一) 项目资金情况分析</w:t>
      </w:r>
      <w:bookmarkEnd w:id="21"/>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本项目预算资金 445万元，截止2022年9月30日，永修粮油公司申报资金使用明细汇总金额362.09万元。</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2" w:name="_Toc6346"/>
      <w:r>
        <w:rPr>
          <w:rFonts w:hint="eastAsia" w:ascii="楷体_GB2312" w:hAnsi="楷体_GB2312" w:eastAsia="楷体_GB2312" w:cs="楷体_GB2312"/>
          <w:snapToGrid/>
          <w:kern w:val="2"/>
          <w:sz w:val="32"/>
          <w:szCs w:val="32"/>
          <w:lang w:val="en-US" w:eastAsia="zh-CN" w:bidi="ar-SA"/>
        </w:rPr>
        <w:t>(二) 项目组织实施情况分析</w:t>
      </w:r>
      <w:bookmarkEnd w:id="22"/>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default" w:ascii="仿宋" w:hAnsi="仿宋" w:eastAsia="仿宋" w:cs="仿宋"/>
          <w:spacing w:val="-9"/>
          <w:sz w:val="32"/>
          <w:szCs w:val="32"/>
          <w:lang w:val="en-US" w:eastAsia="zh-CN"/>
        </w:rPr>
      </w:pPr>
      <w:bookmarkStart w:id="23" w:name="_Toc16874"/>
      <w:r>
        <w:rPr>
          <w:rFonts w:hint="eastAsia" w:ascii="仿宋" w:hAnsi="仿宋" w:eastAsia="仿宋" w:cs="仿宋"/>
          <w:spacing w:val="-9"/>
          <w:sz w:val="32"/>
          <w:szCs w:val="32"/>
          <w:lang w:val="en-US" w:eastAsia="zh-CN"/>
        </w:rPr>
        <w:t>1. 管理制度建设情况</w:t>
      </w:r>
      <w:bookmarkEnd w:id="23"/>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永修粮油公司仅制定了《永修县国有粮食企业财务管理制度》，未制定项目资金管理办法及专门业务管理制度。</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24" w:name="_Toc10805"/>
      <w:r>
        <w:rPr>
          <w:rFonts w:hint="eastAsia" w:ascii="仿宋" w:hAnsi="仿宋" w:eastAsia="仿宋" w:cs="仿宋"/>
          <w:spacing w:val="-9"/>
          <w:sz w:val="32"/>
          <w:szCs w:val="32"/>
          <w:lang w:val="en-US" w:eastAsia="zh-CN"/>
        </w:rPr>
        <w:t>2. 制度执行情况</w:t>
      </w:r>
      <w:bookmarkEnd w:id="24"/>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本项目资金支付基本遵守了相关法律法规和相关管理规定，但存在一些问题：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（1）该财政补助项目支出财务未独立核算，提供审核的项目支出凭证为零散复印件。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（2）部分经费支出未能提供支付标准及支付事由。</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5" w:name="_Toc22914"/>
      <w:r>
        <w:rPr>
          <w:rFonts w:hint="eastAsia" w:ascii="楷体_GB2312" w:hAnsi="楷体_GB2312" w:eastAsia="楷体_GB2312" w:cs="楷体_GB2312"/>
          <w:snapToGrid/>
          <w:kern w:val="2"/>
          <w:sz w:val="32"/>
          <w:szCs w:val="32"/>
          <w:lang w:val="en-US" w:eastAsia="zh-CN" w:bidi="ar-SA"/>
        </w:rPr>
        <w:t>(三) 项目绩效完成情况分析</w:t>
      </w:r>
      <w:bookmarkEnd w:id="25"/>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26" w:name="_Toc6525"/>
      <w:r>
        <w:rPr>
          <w:rFonts w:hint="eastAsia" w:ascii="仿宋" w:hAnsi="仿宋" w:eastAsia="仿宋" w:cs="仿宋"/>
          <w:spacing w:val="-9"/>
          <w:sz w:val="32"/>
          <w:szCs w:val="32"/>
          <w:lang w:val="en-US" w:eastAsia="zh-CN"/>
        </w:rPr>
        <w:t>1. 项目实际产出情况</w:t>
      </w:r>
      <w:bookmarkEnd w:id="26"/>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（1）截至2022年9月30日，项目数量产出情况：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①粮食储备总规模6500吨，执行情况与目标值一致。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②食用油储备总规模67吨，执行情况与目标值一致。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③仓库维修和电网改造等≥20个，实际&gt;20个。</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④保障军供服务人员数量≥5人，实际8人，其中7名在职人员（2021年5名，2022年新增2名在职人员，未增加军供服务任务，增加人员合理性不详），1名遗嘱人。</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⑤应急配送经费保障数1个，执行情况与目标值一致。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⑥县级储备粮油贷款金额1706万元，账面数与目标值一致。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（2）截至2022年9月30日，项目质量产出情况：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①县级储备粮油合格率。原县级储备仓库3个，其中2个超高堆粮，整改前县级储备粮油合格率33.33%。根据永修粮油公司提供的《全县国有粮食企业储备粮实际库存数量统计表》显示，永修县燕坊粮油管理所储备的县级储备粮2仓超高移出307212公斤、4仓超高移出201914公斤，已整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②储备粮仓库维修验收合格率。大部分仓库维修未见验收手续，如2022年8月1日，江西永修国家粮食储备库仓库屋面维修41905.5元，未见验收手续。</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③资金使用合规率。存在其他费用合计约498,025元，明细见差异金额：</w:t>
      </w:r>
    </w:p>
    <w:tbl>
      <w:tblPr>
        <w:tblStyle w:val="7"/>
        <w:tblW w:w="853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
        <w:gridCol w:w="509"/>
        <w:gridCol w:w="2499"/>
        <w:gridCol w:w="1368"/>
        <w:gridCol w:w="855"/>
        <w:gridCol w:w="1231"/>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项目内容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金额（元）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差异金额</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差异说明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8"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09" w:type="dxa"/>
            <w:vMerge w:val="restart"/>
            <w:tcBorders>
              <w:top w:val="single" w:color="000000" w:sz="4" w:space="0"/>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县级储备粮</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贷款利息</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519,991.86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小计：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519,991.86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县级储备粮保管费6500吨*100元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650,000.00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县级储备粮轮换费6500吨*140元/3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303,333.00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县级储备油保管费67吨*240元</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16,080.00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县级储备油粮轮换费67吨*320元/2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10,720.00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药品</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116,142.00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小计：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1,096,275.00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基础设施</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2021年粮食仓储设施维修工程</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258,351.39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2022年1月10日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储备粮油经营管理有限公司工程咨询费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6,555.53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2022年1月10日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消防器材</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7,360.00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2022年1月11日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永修国家粮食储备库重新安装扦样房屋顶、仓库零星维修、</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1-2、3-2、6-2、7-2、8-1等仓门头做防水</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8,151.00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2022年1月13日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柘林湖粮油购销公司安装轴流风机、封窗</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21,800.00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梅棠、燕坊粮管所门窗改造及安装轴流风机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63,800.00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燕坊粮管所4号仓更换脊瓦及修补屋面漏点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2,700.00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滩溪粮管所安装轴流风机、布线管、接线</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18,142.00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新城国家粮食储备库601仓翻盖石棉瓦及修复仓库窗户、仓库屋面漏点修补</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38,925.00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三角所一卡通费用</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7,428.00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2022年1月19日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新城国家粮食储备库机器设备维修费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8,900.00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新城国家粮食储备库办公室维修</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2,162.80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滩溪粮管所地面硬化、仓库安装室外铁楼梯</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110,740.00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2022年4月1日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梅棠粮管所4仓、5仓屋顶翻新</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40,665.00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2022年4月7日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三角粮管所二仓更换窗户</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7,150.00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2022年4月18日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梅棠、三角粮管所安装智能粮情检测系统</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106,000.00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2022年4月22日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梅棠粮管所维修抛粮机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3,500.00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2022年4月22日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柘林湖粮油购销公司三溪桥1、2、3仓外墙防水</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9,800.00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2022年4月22日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梅棠粮管所2、3、4、5仓内外墙粉刷</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8,345.00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2022年4月22日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柘林湖粮油购销公司仓库安装槽管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6,000.00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2022年4月22日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新城粮库安装监控设备</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28,000.00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2022年4月25日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滩溪粮管所产后服务中心广告制作及办公家具</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16,840.00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2022年5月7日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滩溪粮管所产后服务中心围墙粉刷、地面硬化</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不锈钢门</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16,740.00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2022年5月9日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虬津八仓屋面维修</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41,010.85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2022年7月4日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马口工程款</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49,500.00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2022年7月7日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柘林湖（三溪桥）仓库捡漏</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1,600.00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2022年7月11日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柘林湖地磅维修</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1,600.00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2022年7月11日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滩溪地磅维修</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2,600.00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2022年7月19日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新城国家粮食储备库粮库办公室屋面翻新</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25,220.00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2022年8月1日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江西永修国家粮食储备库仓库安装槽管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3,080.00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2022年8月1日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江西永修国家粮食储备库电力维修</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3,000.00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2022年8月1日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新城国家粮食储备库办公室维修等费用</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7,788.00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2022年8月1日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江西永修国家粮食储备库仓库维修</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12,800.00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2022年8月1日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江西永修国家粮食储备库仓库屋面维修</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41,905.50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2022年8月1日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新城国家粮食储备库地磅避雷及接地设施</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14,255.00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2022年8月15日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新城国家粮食储备库（白莲）2-1仓屋面翻新</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5,587.00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2022年8月15日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滩溪围墙挡土修复</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9,320.00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2022年8月15日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江西永修国家粮食储备库机器设备维修费用</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9,120.00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2022年8月16日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何家山国家粮食储备库机器设备维修费用</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15,000.00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2022年8月16日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梅棠（燕坊）4仓屋面维修</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5,940.00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2022年9月2日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柘林湖购买白膜</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4,610.00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2022年9月21日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三角地磅维修</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6,800.00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2022年9月26日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江西永修国家粮食储备库维修更换监控设备</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4,950.00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2022年9月29日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小计：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1,063,742.07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军供站费用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军供站张敬圩、万爱华、岳永斌、龙绪华、焦娇、彭玉煌、邹华、江桂萍2022年1-6月工资</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103,911.40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云山粮管所2022年1-6月工资</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57,200.00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57,200.00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云山粮管所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军粮供应站经费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2022年1月10日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军粮供应站经费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2022年2月16日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军粮供应站经费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2022年4月18日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军供站张敬圩、万爱华、 岳永斌 邹华、江桂萍2022年7-9月工资</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61,590.00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云山2022年7-9月工资</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22,400.00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22,400.00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云山粮管所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军粮供应站经费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2022年9月21日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小计：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305,101.40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79,600.00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检测费用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质检人员申家法、张魁、杨汉卿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2022年1-6月工资</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59,990.00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样品检验费（永修国家储备库、何家山、柘林湖、马口、虬津、滩溪、新城、云山）</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16,150.00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2022年3月9日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13,300.00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17个样，每个950元，其中县级储备何家山3个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样品检验费（永修国家储备库、滩溪、虬津）</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2,850.00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2022年3月29日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2,850.00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样品检验费（新城8-2仓）</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175.00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2022年4月27日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175.00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储备粮油经营管理有限公司粮食脂肪酸值仪器检定证书费用</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900.00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2021年12月22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质检人员申家发、张魁、杨汉卿2022年7-9月工资</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33,190.00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检测费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3,200.00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2022年7月19日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小计：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116,455.00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16,325.00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应急配送中心</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粮油应急配送中心2022年1-6月工资</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59,112.00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粮油应急配送中心经费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2022年2月23日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50,000.00 </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未能提供应急网点建设相关文件依据及支付理由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粮油应急配送中心经费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2022年6月24日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50,000.00 </w:t>
            </w: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粮油配送中心2022年7-9月工资</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33,280.00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小计：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192,392.00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100,000.00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粮油事务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柘林湖年终办公经费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柘林湖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梅棠（燕坊）年终办公经费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10,000.00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6个在用库，县级储备3个，国家储备3个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虬津年终办公经费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虬津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云山年终办公经费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云山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马口年终办公经费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马口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三角年终办公经费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三角粮管所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江西永修国家粮食储备库年终办公经费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50,000.00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国家粮食储备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新城国家粮食储备库年终办公经费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2022年1月26日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50,000.00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新城国家粮食储备库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何家山国家粮食储备库年终办公经费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50,000.00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2022年1月27日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40,000.00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5个在用仓库，其中县级储备1个、国家储备4个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九合年终办公经费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2022年1月29日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九合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滩溪年终办公经费</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2022年1月29日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20,000.00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滩溪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出库监管补助</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1,025.00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2022年8月15日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1,025.00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白莲库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储备粮油经营管理有限公司中晚稻收购监管补助</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11,075.00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2022年1月6日至2022</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年1月19日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11,075.00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晚稻收购监管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2022年度全省政策性粮油库存检查费用</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4,860.00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2022年6月23日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小计：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326,960.00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302,100.00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34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3,620,917.33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498,025.00  </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（3）截至2022年9月30日，项目时效产出情况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①县级储备粮油定期检查及时率100%。抽查保管员工作日志及粮情检查记录，显示县级储备粮油定期检查记录及时、完整；但未按照国家和物资储备局关于印发《政府储备粮食仓储管理办法》第三十条“承储单位应当建立和落实政府储备粮情…分析研判制度，做好粮情分析记录并归档备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②仓库维修工作及时率100%。未发现维修不及时的情况。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③</w:t>
      </w:r>
      <w:r>
        <w:rPr>
          <w:rFonts w:hint="default" w:ascii="仿宋" w:hAnsi="仿宋" w:eastAsia="仿宋" w:cs="仿宋"/>
          <w:spacing w:val="-9"/>
          <w:sz w:val="32"/>
          <w:szCs w:val="32"/>
          <w:lang w:val="en-US" w:eastAsia="zh-CN"/>
        </w:rPr>
        <w:t>军粮供应及时率</w:t>
      </w:r>
      <w:r>
        <w:rPr>
          <w:rFonts w:hint="eastAsia" w:ascii="仿宋" w:hAnsi="仿宋" w:eastAsia="仿宋" w:cs="仿宋"/>
          <w:spacing w:val="-9"/>
          <w:sz w:val="32"/>
          <w:szCs w:val="32"/>
          <w:lang w:val="en-US" w:eastAsia="zh-CN"/>
        </w:rPr>
        <w:t>100%。未发现</w:t>
      </w:r>
      <w:r>
        <w:rPr>
          <w:rFonts w:hint="default" w:ascii="仿宋" w:hAnsi="仿宋" w:eastAsia="仿宋" w:cs="仿宋"/>
          <w:spacing w:val="-9"/>
          <w:sz w:val="32"/>
          <w:szCs w:val="32"/>
          <w:lang w:val="en-US" w:eastAsia="zh-CN"/>
        </w:rPr>
        <w:t>军粮供应</w:t>
      </w:r>
      <w:r>
        <w:rPr>
          <w:rFonts w:hint="eastAsia" w:ascii="仿宋" w:hAnsi="仿宋" w:eastAsia="仿宋" w:cs="仿宋"/>
          <w:spacing w:val="-9"/>
          <w:sz w:val="32"/>
          <w:szCs w:val="32"/>
          <w:lang w:val="en-US" w:eastAsia="zh-CN"/>
        </w:rPr>
        <w:t>不及时的情况。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④配送中心配送及时率100%。未发现配送中心配送不及时的情况。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（4）截至2022年9月30日，项目成本产出情况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①储备粮贷款利息≤64万元。预计66.53万元，储备粮贷款利息据实计算。</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②储备粮油保管费65万元，实际66.61万元，定额包干，未计算食用油67吨保管费。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③质检人员费用和工作经费≤25万元，预计不超过。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④仓库维修资金≤100万元，2022年1-9月106.37万元，已超过计划成本。</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⑤军供服务职工工资≤35万元，2022年1-9月30.51万元，全年将&gt;35万元，原因是列支了非军供服务职工云山粮管所2名人员工资，无分摊计算依据。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⑥粮油配送网点费用≤25万元，2022年1-9月19.24万元，全年将&gt;25万元，原因是转出至粮油配送中心的10多万元工作经费无相关支付标准。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⑦县级储备轮换费用≤31万元，包干收入，但2022年无轮换任务，不发生轮换支出。</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⑧仓库租金14万元，预计不超过。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27" w:name="_Toc23261"/>
      <w:bookmarkStart w:id="28" w:name="_Toc7314"/>
      <w:r>
        <w:rPr>
          <w:rFonts w:hint="eastAsia" w:ascii="仿宋" w:hAnsi="仿宋" w:eastAsia="仿宋" w:cs="仿宋"/>
          <w:spacing w:val="-9"/>
          <w:sz w:val="32"/>
          <w:szCs w:val="32"/>
          <w:lang w:val="en-US" w:eastAsia="zh-CN"/>
        </w:rPr>
        <w:t>2. 项目效果和效益情况</w:t>
      </w:r>
      <w:bookmarkEnd w:id="27"/>
      <w:bookmarkEnd w:id="28"/>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根据项目年初计划和项目绩效目标具体实施推进，项目工作陆续开展，项目绩效指标按计划实施。2022年1-9月项目运行正常，出现问题能及时处理解决。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（1）经济效益：稳定粮油市场价格波动。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（2）社会效益：项目的实施，确保县级储备粮食安全长期稳定，增强了政府调控粮食市场能力，有效提升县级储备粮食管理机制，加强部队后勤保障，维护社会稳定。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（3）可持续效益：城镇生态环境保障情况，巡查环保结果。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（4）可持续影响：项目实施持续增强了政府部门应对重大自然灾害或其他突发事件的能力。</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29" w:name="_Toc1076"/>
      <w:r>
        <w:rPr>
          <w:rFonts w:hint="eastAsia" w:ascii="黑体" w:hAnsi="黑体" w:eastAsia="黑体" w:cs="Times New Roman"/>
          <w:b w:val="0"/>
          <w:bCs/>
          <w:snapToGrid/>
          <w:kern w:val="2"/>
          <w:sz w:val="32"/>
          <w:szCs w:val="32"/>
          <w:lang w:val="en-US" w:eastAsia="zh-CN" w:bidi="ar-SA"/>
        </w:rPr>
        <w:t>五、其他需要说明的问题</w:t>
      </w:r>
      <w:bookmarkEnd w:id="29"/>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30" w:name="_Toc3297"/>
      <w:r>
        <w:rPr>
          <w:rFonts w:hint="eastAsia" w:ascii="楷体_GB2312" w:hAnsi="楷体_GB2312" w:eastAsia="楷体_GB2312" w:cs="楷体_GB2312"/>
          <w:snapToGrid/>
          <w:kern w:val="2"/>
          <w:sz w:val="32"/>
          <w:szCs w:val="32"/>
          <w:lang w:val="en-US" w:eastAsia="zh-CN" w:bidi="ar-SA"/>
        </w:rPr>
        <w:t>(一) 项目内控制度不够健全</w:t>
      </w:r>
      <w:bookmarkEnd w:id="30"/>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县级粮食储备贷款贴息等项目是常态化项目，未能制定专项资金管理办法，项目资金开支范围及标准不详，导致部分列支无文件标准；相关业务管理制度缺失，如未建立和落实政府储备粮情分析研判制度。</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lang w:val="en-US" w:eastAsia="zh-CN" w:bidi="ar-SA"/>
        </w:rPr>
      </w:pPr>
      <w:bookmarkStart w:id="31" w:name="_Toc15759"/>
      <w:r>
        <w:rPr>
          <w:rFonts w:hint="eastAsia" w:ascii="楷体_GB2312" w:hAnsi="楷体_GB2312" w:eastAsia="楷体_GB2312" w:cs="楷体_GB2312"/>
          <w:snapToGrid/>
          <w:kern w:val="2"/>
          <w:sz w:val="32"/>
          <w:szCs w:val="32"/>
          <w:lang w:val="en-US" w:eastAsia="zh-CN" w:bidi="ar-SA"/>
        </w:rPr>
        <w:t>(二) 绩效目标设置不够科学、合理、准确</w:t>
      </w:r>
      <w:bookmarkEnd w:id="31"/>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成本指标中租金成本、效益效果指标不够合理；放心粮应急配送工作、食用油储备工作未设置数量目标；2022年县级储备无收购任务，设置粮食收购质量水平与当年任务不相关，未设置县级储备质量指标等。</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32" w:name="_Toc28437"/>
      <w:r>
        <w:rPr>
          <w:rFonts w:hint="eastAsia" w:ascii="黑体" w:hAnsi="黑体" w:eastAsia="黑体" w:cs="Times New Roman"/>
          <w:b w:val="0"/>
          <w:bCs/>
          <w:snapToGrid/>
          <w:kern w:val="2"/>
          <w:sz w:val="32"/>
          <w:szCs w:val="32"/>
          <w:lang w:val="en-US" w:eastAsia="zh-CN" w:bidi="ar-SA"/>
        </w:rPr>
        <w:t>六、相关建议</w:t>
      </w:r>
      <w:bookmarkEnd w:id="32"/>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lang w:val="en-US" w:eastAsia="zh-CN" w:bidi="ar-SA"/>
        </w:rPr>
      </w:pPr>
      <w:bookmarkStart w:id="33" w:name="_Toc25795"/>
      <w:r>
        <w:rPr>
          <w:rFonts w:hint="eastAsia" w:ascii="楷体_GB2312" w:hAnsi="楷体_GB2312" w:eastAsia="楷体_GB2312" w:cs="楷体_GB2312"/>
          <w:snapToGrid/>
          <w:kern w:val="2"/>
          <w:sz w:val="32"/>
          <w:szCs w:val="32"/>
          <w:lang w:val="en-US" w:eastAsia="zh-CN" w:bidi="ar-SA"/>
        </w:rPr>
        <w:t>(一) 加强内控制度建设</w:t>
      </w:r>
      <w:bookmarkEnd w:id="33"/>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制定项目资金管理办法，明确县级补贴资金使用范围及标准，同时加强项目事前绩效评估管理，通过专家论证重新审定项目应补贴金额；加强业务管理制度建设，规范项目组织管理，建立健全的项目管理机制。</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34" w:name="_Toc9773"/>
      <w:r>
        <w:rPr>
          <w:rFonts w:hint="eastAsia" w:ascii="楷体_GB2312" w:hAnsi="楷体_GB2312" w:eastAsia="楷体_GB2312" w:cs="楷体_GB2312"/>
          <w:snapToGrid/>
          <w:kern w:val="2"/>
          <w:sz w:val="32"/>
          <w:szCs w:val="32"/>
          <w:lang w:val="en-US" w:eastAsia="zh-CN" w:bidi="ar-SA"/>
        </w:rPr>
        <w:t>(二) 设置全面合理可行的指标</w:t>
      </w:r>
      <w:bookmarkEnd w:id="34"/>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一套契合目标、明确具体、完整可行和便于衡量的指标体系既是财政部门进行预算安排的重要依据，也是过程管理有效性和评价结果应用有效性的保障，有利于提高预算绩效管理质量。</w:t>
      </w:r>
    </w:p>
    <w:p>
      <w:pPr>
        <w:numPr>
          <w:ilvl w:val="0"/>
          <w:numId w:val="0"/>
        </w:numPr>
        <w:spacing w:beforeAutospacing="0" w:line="359" w:lineRule="auto"/>
        <w:ind w:firstLine="556" w:firstLineChars="200"/>
        <w:jc w:val="both"/>
        <w:rPr>
          <w:rFonts w:hint="eastAsia" w:ascii="仿宋" w:hAnsi="仿宋" w:eastAsia="仿宋" w:cs="仿宋"/>
          <w:spacing w:val="-1"/>
          <w:sz w:val="28"/>
          <w:szCs w:val="2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32"/>
          <w:szCs w:val="32"/>
          <w:highlight w:val="none"/>
          <w:lang w:val="en-US" w:eastAsia="zh-CN"/>
        </w:rPr>
        <w:t>附件1：项目支出绩效监控明细表</w:t>
      </w:r>
    </w:p>
    <w:p>
      <w:pPr>
        <w:spacing w:line="255" w:lineRule="auto"/>
        <w:rPr>
          <w:rFonts w:ascii="Arial"/>
          <w:sz w:val="21"/>
        </w:rPr>
      </w:pPr>
    </w:p>
    <w:p>
      <w:pPr>
        <w:widowControl/>
        <w:pBdr>
          <w:bottom w:val="none" w:color="000000" w:sz="0" w:space="15"/>
        </w:pBdr>
        <w:autoSpaceDN w:val="0"/>
        <w:spacing w:line="620" w:lineRule="exact"/>
        <w:jc w:val="left"/>
        <w:rPr>
          <w:rFonts w:hint="eastAsia" w:ascii="仿宋_GB2312" w:eastAsia="仿宋_GB2312"/>
          <w:sz w:val="32"/>
          <w:szCs w:val="32"/>
        </w:rPr>
      </w:pPr>
    </w:p>
    <w:p>
      <w:pPr>
        <w:widowControl/>
        <w:pBdr>
          <w:bottom w:val="none" w:color="000000" w:sz="0" w:space="15"/>
        </w:pBdr>
        <w:autoSpaceDN w:val="0"/>
        <w:spacing w:line="620" w:lineRule="exact"/>
        <w:jc w:val="left"/>
        <w:rPr>
          <w:rFonts w:hint="eastAsia" w:ascii="仿宋_GB2312" w:eastAsia="仿宋_GB2312"/>
          <w:sz w:val="32"/>
          <w:szCs w:val="32"/>
        </w:rPr>
      </w:pPr>
      <w:r>
        <w:rPr>
          <w:rFonts w:hint="eastAsia" w:ascii="仿宋_GB2312" w:eastAsia="仿宋_GB2312"/>
          <w:sz w:val="32"/>
          <w:szCs w:val="32"/>
        </w:rPr>
        <w:t xml:space="preserve">江西华宏会计师事务所          </w:t>
      </w:r>
      <w:r>
        <w:rPr>
          <w:rFonts w:hint="eastAsia" w:ascii="仿宋_GB2312" w:eastAsia="仿宋_GB2312"/>
          <w:sz w:val="32"/>
          <w:szCs w:val="32"/>
          <w:lang w:val="en-US" w:eastAsia="zh-CN"/>
        </w:rPr>
        <w:t xml:space="preserve">   </w:t>
      </w:r>
      <w:r>
        <w:rPr>
          <w:rFonts w:hint="eastAsia" w:ascii="仿宋_GB2312" w:eastAsia="仿宋_GB2312"/>
          <w:sz w:val="32"/>
          <w:szCs w:val="32"/>
        </w:rPr>
        <w:t>中国注册会计师：</w:t>
      </w:r>
    </w:p>
    <w:p>
      <w:pPr>
        <w:widowControl/>
        <w:pBdr>
          <w:bottom w:val="none" w:color="000000" w:sz="0" w:space="15"/>
        </w:pBdr>
        <w:autoSpaceDN w:val="0"/>
        <w:spacing w:afterAutospacing="0" w:line="620" w:lineRule="exact"/>
        <w:ind w:firstLine="960" w:firstLineChars="300"/>
        <w:jc w:val="left"/>
        <w:rPr>
          <w:rFonts w:hint="eastAsia" w:ascii="仿宋_GB2312" w:eastAsia="仿宋_GB2312"/>
          <w:sz w:val="32"/>
          <w:szCs w:val="32"/>
        </w:rPr>
      </w:pPr>
      <w:r>
        <w:rPr>
          <w:rFonts w:hint="eastAsia" w:ascii="仿宋_GB2312" w:eastAsia="仿宋_GB2312"/>
          <w:sz w:val="32"/>
          <w:szCs w:val="32"/>
        </w:rPr>
        <w:t>有 限 公 司                中国注册会计师：</w:t>
      </w:r>
    </w:p>
    <w:p>
      <w:pPr>
        <w:spacing w:before="0" w:beforeLines="150" w:beforeAutospacing="0" w:line="253" w:lineRule="auto"/>
        <w:ind w:left="960" w:leftChars="0" w:firstLine="0" w:firstLineChars="0"/>
        <w:rPr>
          <w:rFonts w:ascii="Arial"/>
          <w:sz w:val="21"/>
        </w:rPr>
      </w:pPr>
      <w:r>
        <w:rPr>
          <w:rFonts w:hint="eastAsia" w:ascii="仿宋_GB2312" w:eastAsia="仿宋_GB2312"/>
          <w:sz w:val="32"/>
          <w:szCs w:val="32"/>
        </w:rPr>
        <w:t>中国·南昌                   2022年1</w:t>
      </w:r>
      <w:r>
        <w:rPr>
          <w:rFonts w:hint="eastAsia" w:ascii="仿宋_GB2312" w:eastAsia="仿宋_GB2312"/>
          <w:sz w:val="32"/>
          <w:szCs w:val="32"/>
          <w:lang w:val="en-US" w:eastAsia="zh-CN"/>
        </w:rPr>
        <w:t>1</w:t>
      </w:r>
      <w:r>
        <w:rPr>
          <w:rFonts w:hint="eastAsia" w:ascii="仿宋_GB2312" w:eastAsia="仿宋_GB2312"/>
          <w:sz w:val="32"/>
          <w:szCs w:val="32"/>
        </w:rPr>
        <w:t>月8日</w:t>
      </w:r>
    </w:p>
    <w:p>
      <w:pPr>
        <w:sectPr>
          <w:footerReference r:id="rId7" w:type="default"/>
          <w:pgSz w:w="11907" w:h="16840"/>
          <w:pgMar w:top="1440" w:right="1803" w:bottom="1440" w:left="1803" w:header="907" w:footer="1191" w:gutter="0"/>
          <w:paperSrc/>
          <w:pgNumType w:fmt="decimal" w:start="1"/>
          <w:cols w:space="0" w:num="1"/>
          <w:rtlGutter w:val="0"/>
          <w:docGrid w:linePitch="0" w:charSpace="0"/>
        </w:sectPr>
      </w:pPr>
    </w:p>
    <w:p>
      <w:pPr>
        <w:spacing w:line="279" w:lineRule="auto"/>
        <w:rPr>
          <w:rFonts w:ascii="Arial"/>
          <w:sz w:val="21"/>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750"/>
        <w:gridCol w:w="2477"/>
        <w:gridCol w:w="1054"/>
        <w:gridCol w:w="1184"/>
        <w:gridCol w:w="1070"/>
        <w:gridCol w:w="1061"/>
        <w:gridCol w:w="600"/>
        <w:gridCol w:w="569"/>
        <w:gridCol w:w="539"/>
        <w:gridCol w:w="708"/>
        <w:gridCol w:w="300"/>
        <w:gridCol w:w="592"/>
        <w:gridCol w:w="569"/>
        <w:gridCol w:w="596"/>
        <w:gridCol w:w="777"/>
        <w:gridCol w:w="2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40" w:type="dxa"/>
            <w:gridSpan w:val="2"/>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附件1</w:t>
            </w:r>
          </w:p>
        </w:tc>
        <w:tc>
          <w:tcPr>
            <w:tcW w:w="2477"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1054"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1184"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1070"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1061"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600"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569"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539"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708"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300"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592"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569"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596"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777"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c>
          <w:tcPr>
            <w:tcW w:w="2626"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16062" w:type="dxa"/>
            <w:gridSpan w:val="17"/>
            <w:tcBorders>
              <w:top w:val="nil"/>
              <w:left w:val="nil"/>
              <w:bottom w:val="nil"/>
              <w:right w:val="nil"/>
            </w:tcBorders>
            <w:shd w:val="clear" w:color="auto" w:fill="auto"/>
            <w:vAlign w:val="bottom"/>
          </w:tcPr>
          <w:p>
            <w:pPr>
              <w:spacing w:before="31" w:line="219" w:lineRule="auto"/>
              <w:ind w:left="5770"/>
              <w:jc w:val="both"/>
              <w:rPr>
                <w:rFonts w:hint="eastAsia" w:ascii="宋体" w:hAnsi="宋体" w:eastAsia="宋体" w:cs="宋体"/>
                <w:i w:val="0"/>
                <w:iCs w:val="0"/>
                <w:color w:val="000000"/>
                <w:sz w:val="16"/>
                <w:szCs w:val="16"/>
                <w:u w:val="none"/>
              </w:rPr>
            </w:pPr>
            <w:r>
              <w:rPr>
                <w:rFonts w:hint="eastAsia" w:ascii="宋体" w:hAnsi="宋体" w:eastAsia="宋体" w:cs="宋体"/>
                <w:spacing w:val="19"/>
                <w:sz w:val="20"/>
                <w:szCs w:val="20"/>
                <w14:textOutline w14:w="5782" w14:cap="sq" w14:cmpd="sng">
                  <w14:solidFill>
                    <w14:srgbClr w14:val="000000"/>
                  </w14:solidFill>
                  <w14:prstDash w14:val="solid"/>
                  <w14:bevel/>
                </w14:textOutline>
              </w:rPr>
              <w:t>项</w:t>
            </w:r>
            <w:r>
              <w:rPr>
                <w:rFonts w:hint="eastAsia" w:ascii="宋体" w:hAnsi="宋体" w:eastAsia="宋体" w:cs="宋体"/>
                <w:spacing w:val="10"/>
                <w:sz w:val="20"/>
                <w:szCs w:val="20"/>
                <w14:textOutline w14:w="5782" w14:cap="sq" w14:cmpd="sng">
                  <w14:solidFill>
                    <w14:srgbClr w14:val="000000"/>
                  </w14:solidFill>
                  <w14:prstDash w14:val="solid"/>
                  <w14:bevel/>
                </w14:textOutline>
              </w:rPr>
              <w:t>目支出绩效目标执行监控表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16062" w:type="dxa"/>
            <w:gridSpan w:val="17"/>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Style w:val="17"/>
                <w:rFonts w:hint="eastAsia" w:ascii="宋体" w:hAnsi="宋体" w:eastAsia="宋体" w:cs="宋体"/>
                <w:snapToGrid w:val="0"/>
                <w:color w:val="000000"/>
                <w:sz w:val="16"/>
                <w:szCs w:val="16"/>
                <w:lang w:val="en-US" w:eastAsia="zh-CN" w:bidi="ar"/>
              </w:rPr>
              <w:t xml:space="preserve"> （2022年）                                                                                             </w:t>
            </w:r>
            <w:r>
              <w:rPr>
                <w:rFonts w:hint="eastAsia" w:ascii="宋体" w:hAnsi="宋体" w:eastAsia="宋体" w:cs="宋体"/>
                <w:i w:val="0"/>
                <w:iCs w:val="0"/>
                <w:snapToGrid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项目名称</w:t>
            </w:r>
          </w:p>
        </w:tc>
        <w:tc>
          <w:tcPr>
            <w:tcW w:w="14722"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2022年县级粮食储备贷款贴息等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trPr>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主管部门</w:t>
            </w:r>
          </w:p>
        </w:tc>
        <w:tc>
          <w:tcPr>
            <w:tcW w:w="4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永修县农业农村局</w:t>
            </w:r>
          </w:p>
        </w:tc>
        <w:tc>
          <w:tcPr>
            <w:tcW w:w="4547"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实施单位</w:t>
            </w:r>
          </w:p>
        </w:tc>
        <w:tc>
          <w:tcPr>
            <w:tcW w:w="54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永修县储备粮油经营管理有限公司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1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年度资金总额：</w:t>
            </w:r>
          </w:p>
        </w:tc>
        <w:tc>
          <w:tcPr>
            <w:tcW w:w="4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年初预算数</w:t>
            </w:r>
          </w:p>
        </w:tc>
        <w:tc>
          <w:tcPr>
            <w:tcW w:w="454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1-9月执行数</w:t>
            </w:r>
          </w:p>
        </w:tc>
        <w:tc>
          <w:tcPr>
            <w:tcW w:w="20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1-9月执行率</w:t>
            </w:r>
          </w:p>
        </w:tc>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全年预计执行数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4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445</w:t>
            </w:r>
          </w:p>
        </w:tc>
        <w:tc>
          <w:tcPr>
            <w:tcW w:w="454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362.09</w:t>
            </w:r>
          </w:p>
        </w:tc>
        <w:tc>
          <w:tcPr>
            <w:tcW w:w="20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81.37%</w:t>
            </w:r>
          </w:p>
        </w:tc>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年度总目标</w:t>
            </w:r>
          </w:p>
        </w:tc>
        <w:tc>
          <w:tcPr>
            <w:tcW w:w="1472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确保县级储备粮库存数真实、存储安全。负责全县部队军粮供应和服务工作，确保驻军部队粮食供给，加强部队后勤保障。实现配送中心网点全面覆盖，让群众吃上放心粮油。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二级</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指标</w:t>
            </w:r>
          </w:p>
        </w:tc>
        <w:tc>
          <w:tcPr>
            <w:tcW w:w="2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三级指标</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年度指标值</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跟踪目标值</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跟踪执行情况</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全年预计完成情况</w:t>
            </w:r>
          </w:p>
        </w:tc>
        <w:tc>
          <w:tcPr>
            <w:tcW w:w="33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偏差原因分析</w:t>
            </w:r>
          </w:p>
        </w:tc>
        <w:tc>
          <w:tcPr>
            <w:tcW w:w="19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完成目标可能性</w:t>
            </w:r>
          </w:p>
        </w:tc>
        <w:tc>
          <w:tcPr>
            <w:tcW w:w="2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经费</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保障</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制度</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保障</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人员</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保障</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硬件条</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件保障</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其他</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原因</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说明</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确定能</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有可能</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完全</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不可能</w:t>
            </w:r>
          </w:p>
        </w:tc>
        <w:tc>
          <w:tcPr>
            <w:tcW w:w="2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标</w:t>
            </w:r>
          </w:p>
        </w:tc>
        <w:tc>
          <w:tcPr>
            <w:tcW w:w="7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粮食储备总规模</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=6500吨</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=6500吨</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=6500吨</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=6500吨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食用油储备总规模</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=67吨</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=67吨</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=67吨</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=67吨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仓库维修和电网改造等</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≥20个</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&gt;20个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&gt;20个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保障军供服务人员数量</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≥5人</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≥5人</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8人</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应急配送经费保障数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1个</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县级储备粮油贷款金额</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=1706万元</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=1706万元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=1706万元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=1706万元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质量</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县级储备粮食合格率</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县级储备油合格率</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储备粮仓库维修验收合格率</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资金使用合规率</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&lt;100%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&lt;100%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2626" w:type="dxa"/>
            <w:tcBorders>
              <w:top w:val="nil"/>
              <w:left w:val="nil"/>
              <w:bottom w:val="nil"/>
              <w:right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333333"/>
                <w:sz w:val="13"/>
                <w:szCs w:val="13"/>
                <w:u w:val="none"/>
              </w:rPr>
            </w:pPr>
            <w:r>
              <w:rPr>
                <w:rFonts w:hint="eastAsia" w:ascii="宋体" w:hAnsi="宋体" w:eastAsia="宋体" w:cs="宋体"/>
                <w:i w:val="0"/>
                <w:iCs w:val="0"/>
                <w:snapToGrid w:val="0"/>
                <w:color w:val="000000"/>
                <w:kern w:val="0"/>
                <w:sz w:val="13"/>
                <w:szCs w:val="13"/>
                <w:u w:val="none"/>
                <w:lang w:val="en-US" w:eastAsia="zh-CN" w:bidi="ar"/>
              </w:rPr>
              <w:t>存在</w:t>
            </w:r>
            <w:r>
              <w:rPr>
                <w:rStyle w:val="18"/>
                <w:rFonts w:hint="eastAsia" w:ascii="宋体" w:hAnsi="宋体" w:eastAsia="宋体" w:cs="宋体"/>
                <w:snapToGrid w:val="0"/>
                <w:color w:val="000000"/>
                <w:sz w:val="13"/>
                <w:szCs w:val="13"/>
                <w:lang w:val="en-US" w:eastAsia="zh-CN" w:bidi="ar"/>
              </w:rPr>
              <w:t>无文件标准列支的费用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时效</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县级储备粮油定期检查及时率</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仓库维修工作及时率</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军粮供应及时率</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配送中心配送及时率</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成本</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储备粮贷款利息</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≤64万元</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据实计算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52万元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66.53万元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nil"/>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储备粮油保管费</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66.61万元</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66.61万元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定额包干</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66.61万元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nil"/>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质检人员费用和工作经费</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≤25万元</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≤18.75万元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11.65万元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≤25万元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77"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nil"/>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仓库维修资金</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≤100万元</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≤100万元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106.37万元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Style w:val="19"/>
                <w:rFonts w:hint="eastAsia" w:ascii="宋体" w:hAnsi="宋体" w:eastAsia="宋体" w:cs="宋体"/>
                <w:snapToGrid w:val="0"/>
                <w:color w:val="000000"/>
                <w:sz w:val="16"/>
                <w:szCs w:val="16"/>
                <w:lang w:val="en-US" w:eastAsia="zh-CN" w:bidi="ar"/>
              </w:rPr>
              <w:t>&gt;</w:t>
            </w:r>
            <w:r>
              <w:rPr>
                <w:rStyle w:val="20"/>
                <w:rFonts w:hint="eastAsia" w:ascii="宋体" w:hAnsi="宋体" w:eastAsia="宋体" w:cs="宋体"/>
                <w:snapToGrid w:val="0"/>
                <w:color w:val="000000"/>
                <w:sz w:val="16"/>
                <w:szCs w:val="16"/>
                <w:lang w:val="en-US" w:eastAsia="zh-CN" w:bidi="ar"/>
              </w:rPr>
              <w:t>150万元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列支了国家储备粮、托市粮储备及对外出租用等维修费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nil"/>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军供服务职工工资</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≤35万元</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≤26.25万元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30.51万元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&gt;</w:t>
            </w:r>
            <w:r>
              <w:rPr>
                <w:rStyle w:val="20"/>
                <w:rFonts w:hint="eastAsia" w:ascii="宋体" w:hAnsi="宋体" w:eastAsia="宋体" w:cs="宋体"/>
                <w:snapToGrid w:val="0"/>
                <w:color w:val="000000"/>
                <w:sz w:val="16"/>
                <w:szCs w:val="16"/>
                <w:lang w:val="en-US" w:eastAsia="zh-CN" w:bidi="ar"/>
              </w:rPr>
              <w:t>35万元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含云山粮管所2名人员工资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nil"/>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粮油配送网点费用</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≤25万元</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≤18.75万元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19.24万元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Style w:val="19"/>
                <w:rFonts w:hint="eastAsia" w:ascii="宋体" w:hAnsi="宋体" w:eastAsia="宋体" w:cs="宋体"/>
                <w:snapToGrid w:val="0"/>
                <w:color w:val="000000"/>
                <w:sz w:val="16"/>
                <w:szCs w:val="16"/>
                <w:lang w:val="en-US" w:eastAsia="zh-CN" w:bidi="ar"/>
              </w:rPr>
              <w:t>&gt;</w:t>
            </w:r>
            <w:r>
              <w:rPr>
                <w:rStyle w:val="20"/>
                <w:rFonts w:hint="eastAsia" w:ascii="宋体" w:hAnsi="宋体" w:eastAsia="宋体" w:cs="宋体"/>
                <w:snapToGrid w:val="0"/>
                <w:color w:val="000000"/>
                <w:sz w:val="16"/>
                <w:szCs w:val="16"/>
                <w:lang w:val="en-US" w:eastAsia="zh-CN" w:bidi="ar"/>
              </w:rPr>
              <w:t>25万元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无相关文件支付标准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nil"/>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县级储备轮换费用</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≤31万元</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2022年无轮换任务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nil"/>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仓库租金</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≤14万元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snapToGrid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经济</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效益</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稳定粮油市场价格波动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社会</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效益</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有效保障粮油储备安全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有效增强政府调控粮食市场能力</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有效提升县级储备粮食管理机制</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加强部队后勤保障</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可持续</w:t>
            </w:r>
          </w:p>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效益</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持续增强应对重大自然灾害或其他突发事件的能力</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持续增强</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持续增强</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持续增强</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持续增强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服务对象满意度指标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群众对当地粮油价格波动满意度90%以上</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90%以上</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90%以上</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90%以上</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bl>
    <w:p>
      <w:pPr>
        <w:spacing w:line="253" w:lineRule="auto"/>
        <w:rPr>
          <w:rFonts w:ascii="宋体" w:hAnsi="宋体" w:eastAsia="宋体" w:cs="宋体"/>
          <w:spacing w:val="5"/>
          <w:position w:val="1"/>
          <w:sz w:val="17"/>
          <w:szCs w:val="17"/>
        </w:rPr>
      </w:pPr>
      <w:bookmarkStart w:id="35" w:name="_GoBack"/>
      <w:bookmarkEnd w:id="35"/>
    </w:p>
    <w:sectPr>
      <w:footerReference r:id="rId8" w:type="default"/>
      <w:pgSz w:w="16837" w:h="11905"/>
      <w:pgMar w:top="400" w:right="545" w:bottom="951" w:left="446" w:header="0" w:footer="72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粗宋简体">
    <w:altName w:val="宋体"/>
    <w:panose1 w:val="03000509000000000000"/>
    <w:charset w:val="86"/>
    <w:family w:val="script"/>
    <w:pitch w:val="default"/>
    <w:sig w:usb0="00000000" w:usb1="00000000" w:usb2="0000001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7202"/>
      <w:rPr>
        <w:rFonts w:ascii="宋体" w:hAnsi="宋体" w:eastAsia="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B559F"/>
    <w:multiLevelType w:val="singleLevel"/>
    <w:tmpl w:val="C95B559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JhNDc5YTllYWQzMDAzMzUxNzk4ZDljODFkMzMzNGIifQ=="/>
  </w:docVars>
  <w:rsids>
    <w:rsidRoot w:val="00000000"/>
    <w:rsid w:val="04E978D1"/>
    <w:rsid w:val="07CB04F3"/>
    <w:rsid w:val="0E6037F2"/>
    <w:rsid w:val="0E835B7C"/>
    <w:rsid w:val="11537A88"/>
    <w:rsid w:val="18486541"/>
    <w:rsid w:val="186C7681"/>
    <w:rsid w:val="1F0B19A2"/>
    <w:rsid w:val="27135D4E"/>
    <w:rsid w:val="2B711DC2"/>
    <w:rsid w:val="2FB667E2"/>
    <w:rsid w:val="35EC6C50"/>
    <w:rsid w:val="38527B5F"/>
    <w:rsid w:val="3A7C40BB"/>
    <w:rsid w:val="3C8E67FB"/>
    <w:rsid w:val="427632AA"/>
    <w:rsid w:val="445A46AE"/>
    <w:rsid w:val="53F47681"/>
    <w:rsid w:val="55766599"/>
    <w:rsid w:val="5778511F"/>
    <w:rsid w:val="597F078E"/>
    <w:rsid w:val="5AC00AB6"/>
    <w:rsid w:val="5EBE0AA8"/>
    <w:rsid w:val="5F5F5967"/>
    <w:rsid w:val="5FF72AE6"/>
    <w:rsid w:val="64FB5568"/>
    <w:rsid w:val="68E36170"/>
    <w:rsid w:val="6E632DB0"/>
    <w:rsid w:val="71307694"/>
    <w:rsid w:val="75483F2B"/>
    <w:rsid w:val="7782735D"/>
    <w:rsid w:val="77AE0291"/>
    <w:rsid w:val="7EE665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31"/>
    <w:basedOn w:val="8"/>
    <w:qFormat/>
    <w:uiPriority w:val="0"/>
    <w:rPr>
      <w:rFonts w:hint="eastAsia" w:ascii="宋体" w:hAnsi="宋体" w:eastAsia="宋体" w:cs="宋体"/>
      <w:color w:val="000000"/>
      <w:sz w:val="24"/>
      <w:szCs w:val="24"/>
      <w:u w:val="none"/>
    </w:rPr>
  </w:style>
  <w:style w:type="character" w:customStyle="1" w:styleId="13">
    <w:name w:val="font61"/>
    <w:basedOn w:val="8"/>
    <w:qFormat/>
    <w:uiPriority w:val="0"/>
    <w:rPr>
      <w:rFonts w:hint="default" w:ascii="Times New Roman" w:hAnsi="Times New Roman" w:cs="Times New Roman"/>
      <w:color w:val="000000"/>
      <w:sz w:val="24"/>
      <w:szCs w:val="24"/>
      <w:u w:val="none"/>
    </w:rPr>
  </w:style>
  <w:style w:type="character" w:customStyle="1" w:styleId="14">
    <w:name w:val="font01"/>
    <w:basedOn w:val="8"/>
    <w:qFormat/>
    <w:uiPriority w:val="0"/>
    <w:rPr>
      <w:rFonts w:hint="eastAsia" w:ascii="宋体" w:hAnsi="宋体" w:eastAsia="宋体" w:cs="宋体"/>
      <w:color w:val="000000"/>
      <w:sz w:val="21"/>
      <w:szCs w:val="21"/>
      <w:u w:val="none"/>
    </w:rPr>
  </w:style>
  <w:style w:type="character" w:customStyle="1" w:styleId="15">
    <w:name w:val="font21"/>
    <w:basedOn w:val="8"/>
    <w:qFormat/>
    <w:uiPriority w:val="0"/>
    <w:rPr>
      <w:rFonts w:hint="eastAsia" w:ascii="宋体" w:hAnsi="宋体" w:eastAsia="宋体" w:cs="宋体"/>
      <w:color w:val="000000"/>
      <w:sz w:val="22"/>
      <w:szCs w:val="22"/>
      <w:u w:val="none"/>
    </w:rPr>
  </w:style>
  <w:style w:type="character" w:customStyle="1" w:styleId="16">
    <w:name w:val="font41"/>
    <w:basedOn w:val="8"/>
    <w:qFormat/>
    <w:uiPriority w:val="0"/>
    <w:rPr>
      <w:rFonts w:hint="eastAsia" w:ascii="宋体" w:hAnsi="宋体" w:eastAsia="宋体" w:cs="宋体"/>
      <w:color w:val="000000"/>
      <w:sz w:val="22"/>
      <w:szCs w:val="22"/>
      <w:u w:val="none"/>
    </w:rPr>
  </w:style>
  <w:style w:type="character" w:customStyle="1" w:styleId="17">
    <w:name w:val="font71"/>
    <w:basedOn w:val="8"/>
    <w:qFormat/>
    <w:uiPriority w:val="0"/>
    <w:rPr>
      <w:rFonts w:hint="eastAsia" w:ascii="宋体" w:hAnsi="宋体" w:eastAsia="宋体" w:cs="宋体"/>
      <w:color w:val="000000"/>
      <w:sz w:val="32"/>
      <w:szCs w:val="32"/>
      <w:u w:val="none"/>
    </w:rPr>
  </w:style>
  <w:style w:type="character" w:customStyle="1" w:styleId="18">
    <w:name w:val="font191"/>
    <w:basedOn w:val="8"/>
    <w:qFormat/>
    <w:uiPriority w:val="0"/>
    <w:rPr>
      <w:rFonts w:hint="eastAsia" w:ascii="仿宋" w:hAnsi="仿宋" w:eastAsia="仿宋" w:cs="仿宋"/>
      <w:color w:val="000000"/>
      <w:sz w:val="20"/>
      <w:szCs w:val="20"/>
      <w:u w:val="none"/>
    </w:rPr>
  </w:style>
  <w:style w:type="character" w:customStyle="1" w:styleId="19">
    <w:name w:val="font131"/>
    <w:basedOn w:val="8"/>
    <w:qFormat/>
    <w:uiPriority w:val="0"/>
    <w:rPr>
      <w:rFonts w:hint="eastAsia" w:ascii="仿宋" w:hAnsi="仿宋" w:eastAsia="仿宋" w:cs="仿宋"/>
      <w:color w:val="000000"/>
      <w:sz w:val="20"/>
      <w:szCs w:val="20"/>
      <w:u w:val="none"/>
    </w:rPr>
  </w:style>
  <w:style w:type="character" w:customStyle="1" w:styleId="20">
    <w:name w:val="font201"/>
    <w:basedOn w:val="8"/>
    <w:qFormat/>
    <w:uiPriority w:val="0"/>
    <w:rPr>
      <w:rFonts w:hint="eastAsia" w:ascii="宋体" w:hAnsi="宋体" w:eastAsia="宋体" w:cs="宋体"/>
      <w:color w:val="000000"/>
      <w:sz w:val="20"/>
      <w:szCs w:val="20"/>
      <w:u w:val="none"/>
    </w:rPr>
  </w:style>
  <w:style w:type="paragraph" w:customStyle="1" w:styleId="21">
    <w:name w:val="WPSOffice手动目录 1"/>
    <w:uiPriority w:val="0"/>
    <w:pPr>
      <w:ind w:leftChars="0"/>
    </w:pPr>
    <w:rPr>
      <w:sz w:val="20"/>
      <w:szCs w:val="20"/>
    </w:rPr>
  </w:style>
  <w:style w:type="paragraph" w:customStyle="1" w:styleId="22">
    <w:name w:val="WPSOffice手动目录 2"/>
    <w:uiPriority w:val="0"/>
    <w:pPr>
      <w:ind w:leftChars="200"/>
    </w:pPr>
    <w:rPr>
      <w:sz w:val="20"/>
      <w:szCs w:val="20"/>
    </w:rPr>
  </w:style>
  <w:style w:type="paragraph" w:customStyle="1" w:styleId="23">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7180</Words>
  <Characters>9065</Characters>
  <TotalTime>1</TotalTime>
  <ScaleCrop>false</ScaleCrop>
  <LinksUpToDate>false</LinksUpToDate>
  <CharactersWithSpaces>9342</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2022-01-17T10:50:00Z</dcterms:created>
  <dc:creator>Administrator</dc:creator>
  <cp:lastModifiedBy>WPS_1559035170</cp:lastModifiedBy>
  <dcterms:modified xsi:type="dcterms:W3CDTF">2022-12-12T10:02:03Z</dcterms:modified>
  <dc:title>部门       项目绩效评价报告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2022-06-02T15:11:27Z</vt:filetime>
  </property>
  <property fmtid="{D5CDD505-2E9C-101B-9397-08002B2CF9AE}" pid="4" name="KSOProductBuildVer">
    <vt:lpwstr>2052-11.1.0.12763</vt:lpwstr>
  </property>
  <property fmtid="{D5CDD505-2E9C-101B-9397-08002B2CF9AE}" pid="5" name="ICV">
    <vt:lpwstr>40493856B3CA4B24A2035B382F2648D9</vt:lpwstr>
  </property>
</Properties>
</file>