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400" w:lineRule="exact"/>
        <w:ind w:firstLine="480"/>
        <w:rPr>
          <w:rFonts w:hint="default" w:ascii="Times New Roman" w:hAnsi="Times New Roman" w:eastAsia="Times New Roman"/>
          <w:sz w:val="24"/>
          <w:szCs w:val="24"/>
          <w:lang w:val="zh-CN"/>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2"/>
        <w:gridCol w:w="1123"/>
        <w:gridCol w:w="4530"/>
        <w:gridCol w:w="3995"/>
        <w:gridCol w:w="1078"/>
        <w:gridCol w:w="1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8" w:hRule="atLeast"/>
        </w:trPr>
        <w:tc>
          <w:tcPr>
            <w:tcW w:w="5000" w:type="pct"/>
            <w:gridSpan w:val="6"/>
            <w:tcBorders>
              <w:top w:val="nil"/>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t>第一批“机会清单”</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5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等线" w:eastAsia="仿宋_GB2312" w:cs="仿宋_GB2312"/>
                <w:b/>
                <w:bCs/>
                <w:i w:val="0"/>
                <w:iCs w:val="0"/>
                <w:color w:val="000000"/>
                <w:sz w:val="22"/>
                <w:szCs w:val="22"/>
                <w:u w:val="none"/>
              </w:rPr>
            </w:pPr>
            <w:r>
              <w:rPr>
                <w:rFonts w:hint="eastAsia" w:ascii="仿宋_GB2312" w:hAnsi="等线" w:eastAsia="仿宋_GB2312" w:cs="仿宋_GB2312"/>
                <w:b/>
                <w:bCs/>
                <w:i w:val="0"/>
                <w:iCs w:val="0"/>
                <w:color w:val="000000"/>
                <w:kern w:val="0"/>
                <w:sz w:val="22"/>
                <w:szCs w:val="22"/>
                <w:u w:val="none"/>
                <w:bdr w:val="none" w:color="auto" w:sz="0" w:space="0"/>
                <w:lang w:val="en-US" w:eastAsia="zh-CN" w:bidi="ar"/>
              </w:rPr>
              <w:t>序号</w:t>
            </w:r>
          </w:p>
        </w:tc>
        <w:tc>
          <w:tcPr>
            <w:tcW w:w="4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2"/>
                <w:szCs w:val="22"/>
                <w:u w:val="none"/>
              </w:rPr>
            </w:pPr>
            <w:r>
              <w:rPr>
                <w:rFonts w:hint="eastAsia" w:ascii="仿宋_GB2312" w:hAnsi="等线" w:eastAsia="仿宋_GB2312" w:cs="仿宋_GB2312"/>
                <w:b/>
                <w:bCs/>
                <w:i w:val="0"/>
                <w:iCs w:val="0"/>
                <w:color w:val="000000"/>
                <w:kern w:val="0"/>
                <w:sz w:val="22"/>
                <w:szCs w:val="22"/>
                <w:u w:val="none"/>
                <w:bdr w:val="none" w:color="auto" w:sz="0" w:space="0"/>
                <w:lang w:val="en-US" w:eastAsia="zh-CN" w:bidi="ar"/>
              </w:rPr>
              <w:t>场景名称</w:t>
            </w:r>
          </w:p>
        </w:tc>
        <w:tc>
          <w:tcPr>
            <w:tcW w:w="171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2"/>
                <w:szCs w:val="22"/>
                <w:u w:val="none"/>
              </w:rPr>
            </w:pPr>
            <w:r>
              <w:rPr>
                <w:rFonts w:hint="eastAsia" w:ascii="仿宋_GB2312" w:hAnsi="等线" w:eastAsia="仿宋_GB2312" w:cs="仿宋_GB2312"/>
                <w:b/>
                <w:bCs/>
                <w:i w:val="0"/>
                <w:iCs w:val="0"/>
                <w:color w:val="000000"/>
                <w:kern w:val="0"/>
                <w:sz w:val="22"/>
                <w:szCs w:val="22"/>
                <w:u w:val="none"/>
                <w:bdr w:val="none" w:color="auto" w:sz="0" w:space="0"/>
                <w:lang w:val="en-US" w:eastAsia="zh-CN" w:bidi="ar"/>
              </w:rPr>
              <w:t>场景简介</w:t>
            </w:r>
          </w:p>
        </w:tc>
        <w:tc>
          <w:tcPr>
            <w:tcW w:w="151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2"/>
                <w:szCs w:val="22"/>
                <w:u w:val="none"/>
              </w:rPr>
            </w:pPr>
            <w:r>
              <w:rPr>
                <w:rFonts w:hint="eastAsia" w:ascii="仿宋_GB2312" w:hAnsi="等线" w:eastAsia="仿宋_GB2312" w:cs="仿宋_GB2312"/>
                <w:b/>
                <w:bCs/>
                <w:i w:val="0"/>
                <w:iCs w:val="0"/>
                <w:color w:val="000000"/>
                <w:kern w:val="0"/>
                <w:sz w:val="22"/>
                <w:szCs w:val="22"/>
                <w:u w:val="none"/>
                <w:bdr w:val="none" w:color="auto" w:sz="0" w:space="0"/>
                <w:lang w:val="en-US" w:eastAsia="zh-CN" w:bidi="ar"/>
              </w:rPr>
              <w:t>需求内容</w:t>
            </w:r>
          </w:p>
        </w:tc>
        <w:tc>
          <w:tcPr>
            <w:tcW w:w="4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2"/>
                <w:szCs w:val="22"/>
                <w:u w:val="none"/>
              </w:rPr>
            </w:pPr>
            <w:r>
              <w:rPr>
                <w:rFonts w:hint="eastAsia" w:ascii="仿宋_GB2312" w:hAnsi="等线" w:eastAsia="仿宋_GB2312" w:cs="仿宋_GB2312"/>
                <w:b/>
                <w:bCs/>
                <w:i w:val="0"/>
                <w:iCs w:val="0"/>
                <w:color w:val="000000"/>
                <w:kern w:val="0"/>
                <w:sz w:val="22"/>
                <w:szCs w:val="22"/>
                <w:u w:val="none"/>
                <w:bdr w:val="none" w:color="auto" w:sz="0" w:space="0"/>
                <w:lang w:val="en-US" w:eastAsia="zh-CN" w:bidi="ar"/>
              </w:rPr>
              <w:t>联系单位</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2"/>
                <w:szCs w:val="22"/>
                <w:u w:val="none"/>
              </w:rPr>
            </w:pPr>
            <w:r>
              <w:rPr>
                <w:rFonts w:hint="eastAsia" w:ascii="仿宋_GB2312" w:hAnsi="等线" w:eastAsia="仿宋_GB2312" w:cs="仿宋_GB2312"/>
                <w:b/>
                <w:bCs/>
                <w:i w:val="0"/>
                <w:iCs w:val="0"/>
                <w:color w:val="000000"/>
                <w:kern w:val="0"/>
                <w:sz w:val="22"/>
                <w:szCs w:val="22"/>
                <w:u w:val="none"/>
                <w:bdr w:val="none" w:color="auto" w:sz="0" w:space="0"/>
                <w:lang w:val="en-US" w:eastAsia="zh-CN" w:bidi="ar"/>
              </w:rPr>
              <w:t>联系人及电话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75" w:hRule="atLeast"/>
        </w:trPr>
        <w:tc>
          <w:tcPr>
            <w:tcW w:w="25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0"/>
                <w:szCs w:val="20"/>
                <w:u w:val="none"/>
              </w:rPr>
            </w:pPr>
            <w:r>
              <w:rPr>
                <w:rFonts w:hint="eastAsia" w:ascii="仿宋_GB2312" w:hAnsi="等线" w:eastAsia="仿宋_GB2312" w:cs="仿宋_GB2312"/>
                <w:b/>
                <w:bCs/>
                <w:i w:val="0"/>
                <w:iCs w:val="0"/>
                <w:color w:val="000000"/>
                <w:kern w:val="0"/>
                <w:sz w:val="20"/>
                <w:szCs w:val="20"/>
                <w:u w:val="none"/>
                <w:bdr w:val="none" w:color="auto" w:sz="0" w:space="0"/>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bdr w:val="none" w:color="auto" w:sz="0" w:space="0"/>
                <w:lang w:val="en-US" w:eastAsia="zh-CN" w:bidi="ar"/>
              </w:rPr>
              <w:t>“互联网+明厨亮灶”</w:t>
            </w:r>
          </w:p>
        </w:tc>
        <w:tc>
          <w:tcPr>
            <w:tcW w:w="171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bdr w:val="none" w:color="auto" w:sz="0" w:space="0"/>
                <w:lang w:val="en-US" w:eastAsia="zh-CN" w:bidi="ar"/>
              </w:rPr>
              <w:t>用科技化、智慧化、信息化支撑监督，推动实现规范监管、精准监管、联合监管，通过智慧化监管形成食品安全全社会共管共治共享的治理格局，着力解决人民群众最关心的食品安全问题。</w:t>
            </w:r>
          </w:p>
        </w:tc>
        <w:tc>
          <w:tcPr>
            <w:tcW w:w="151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等线" w:eastAsia="仿宋_GB2312" w:cs="仿宋_GB2312"/>
                <w:b/>
                <w:bCs/>
                <w:i w:val="0"/>
                <w:iCs w:val="0"/>
                <w:color w:val="000000"/>
                <w:sz w:val="18"/>
                <w:szCs w:val="18"/>
                <w:u w:val="none"/>
              </w:rPr>
            </w:pPr>
            <w:r>
              <w:rPr>
                <w:rFonts w:hint="eastAsia" w:ascii="仿宋_GB2312" w:hAnsi="等线" w:eastAsia="仿宋_GB2312" w:cs="仿宋_GB2312"/>
                <w:b/>
                <w:bCs/>
                <w:i w:val="0"/>
                <w:iCs w:val="0"/>
                <w:color w:val="000000"/>
                <w:kern w:val="0"/>
                <w:sz w:val="18"/>
                <w:szCs w:val="18"/>
                <w:u w:val="none"/>
                <w:bdr w:val="none" w:color="auto" w:sz="0" w:space="0"/>
                <w:lang w:val="en-US" w:eastAsia="zh-CN" w:bidi="ar"/>
              </w:rPr>
              <w:t>一、建设内容：</w:t>
            </w:r>
            <w:r>
              <w:rPr>
                <w:rStyle w:val="10"/>
                <w:sz w:val="18"/>
                <w:szCs w:val="18"/>
                <w:bdr w:val="none" w:color="auto" w:sz="0" w:space="0"/>
                <w:lang w:val="en-US" w:eastAsia="zh-CN" w:bidi="ar"/>
              </w:rPr>
              <w:t>二期项目计划购买食品安全监督管理系统（软件系统含硬件），项目采购成本包括软件系统扩容、智能设备、安装实施及运营等，</w:t>
            </w:r>
            <w:r>
              <w:rPr>
                <w:rStyle w:val="10"/>
                <w:sz w:val="18"/>
                <w:szCs w:val="18"/>
                <w:bdr w:val="none" w:color="auto" w:sz="0" w:space="0"/>
                <w:lang w:val="en-US" w:eastAsia="zh-CN" w:bidi="ar"/>
              </w:rPr>
              <w:br w:type="textWrapping"/>
            </w:r>
            <w:r>
              <w:rPr>
                <w:rStyle w:val="11"/>
                <w:sz w:val="18"/>
                <w:szCs w:val="18"/>
                <w:bdr w:val="none" w:color="auto" w:sz="0" w:space="0"/>
                <w:lang w:val="en-US" w:eastAsia="zh-CN" w:bidi="ar"/>
              </w:rPr>
              <w:t>二、投资规模：</w:t>
            </w:r>
            <w:r>
              <w:rPr>
                <w:rStyle w:val="10"/>
                <w:sz w:val="18"/>
                <w:szCs w:val="18"/>
                <w:bdr w:val="none" w:color="auto" w:sz="0" w:space="0"/>
                <w:lang w:val="en-US" w:eastAsia="zh-CN" w:bidi="ar"/>
              </w:rPr>
              <w:t>380万</w:t>
            </w:r>
            <w:r>
              <w:rPr>
                <w:rStyle w:val="10"/>
                <w:sz w:val="18"/>
                <w:szCs w:val="18"/>
                <w:bdr w:val="none" w:color="auto" w:sz="0" w:space="0"/>
                <w:lang w:val="en-US" w:eastAsia="zh-CN" w:bidi="ar"/>
              </w:rPr>
              <w:br w:type="textWrapping"/>
            </w:r>
            <w:r>
              <w:rPr>
                <w:rStyle w:val="11"/>
                <w:sz w:val="18"/>
                <w:szCs w:val="18"/>
                <w:bdr w:val="none" w:color="auto" w:sz="0" w:space="0"/>
                <w:lang w:val="en-US" w:eastAsia="zh-CN" w:bidi="ar"/>
              </w:rPr>
              <w:t>三、征集对象：</w:t>
            </w:r>
            <w:r>
              <w:rPr>
                <w:rStyle w:val="10"/>
                <w:sz w:val="18"/>
                <w:szCs w:val="18"/>
                <w:bdr w:val="none" w:color="auto" w:sz="0" w:space="0"/>
                <w:lang w:val="en-US" w:eastAsia="zh-CN" w:bidi="ar"/>
              </w:rPr>
              <w:t>具有相关行业经验的企业</w:t>
            </w:r>
          </w:p>
        </w:tc>
        <w:tc>
          <w:tcPr>
            <w:tcW w:w="4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bdr w:val="none" w:color="auto" w:sz="0" w:space="0"/>
                <w:lang w:val="en-US" w:eastAsia="zh-CN" w:bidi="ar"/>
              </w:rPr>
              <w:t>永修县市场监督管理局</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Style w:val="12"/>
                <w:rFonts w:hAnsi="等线"/>
                <w:sz w:val="20"/>
                <w:szCs w:val="20"/>
                <w:bdr w:val="none" w:color="auto" w:sz="0" w:space="0"/>
                <w:lang w:val="en-US" w:eastAsia="zh-CN" w:bidi="ar"/>
              </w:rPr>
              <w:t>郑翔</w:t>
            </w:r>
            <w:r>
              <w:rPr>
                <w:rStyle w:val="12"/>
                <w:rFonts w:hAnsi="等线"/>
                <w:sz w:val="20"/>
                <w:szCs w:val="20"/>
                <w:bdr w:val="none" w:color="auto" w:sz="0" w:space="0"/>
                <w:lang w:val="en-US" w:eastAsia="zh-CN" w:bidi="ar"/>
              </w:rPr>
              <w:br w:type="textWrapping"/>
            </w:r>
            <w:r>
              <w:rPr>
                <w:rFonts w:hint="default" w:ascii="Times New Roman" w:hAnsi="Times New Roman" w:eastAsia="仿宋_GB2312" w:cs="Times New Roman"/>
                <w:i w:val="0"/>
                <w:iCs w:val="0"/>
                <w:color w:val="000000"/>
                <w:kern w:val="0"/>
                <w:sz w:val="20"/>
                <w:szCs w:val="20"/>
                <w:u w:val="none"/>
                <w:bdr w:val="none" w:color="auto" w:sz="0" w:space="0"/>
                <w:lang w:val="en-US" w:eastAsia="zh-CN" w:bidi="ar"/>
              </w:rPr>
              <w:t>13767265065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25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0"/>
                <w:szCs w:val="20"/>
                <w:u w:val="none"/>
              </w:rPr>
            </w:pPr>
            <w:r>
              <w:rPr>
                <w:rFonts w:hint="eastAsia" w:ascii="仿宋_GB2312" w:hAnsi="等线" w:eastAsia="仿宋_GB2312" w:cs="仿宋_GB2312"/>
                <w:b/>
                <w:bCs/>
                <w:i w:val="0"/>
                <w:iCs w:val="0"/>
                <w:color w:val="000000"/>
                <w:kern w:val="0"/>
                <w:sz w:val="20"/>
                <w:szCs w:val="20"/>
                <w:u w:val="none"/>
                <w:bdr w:val="none" w:color="auto" w:sz="0" w:space="0"/>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bdr w:val="none" w:color="auto" w:sz="0" w:space="0"/>
                <w:lang w:val="en-US" w:eastAsia="zh-CN" w:bidi="ar"/>
              </w:rPr>
              <w:t>智慧安全园区管理平台二期建设</w:t>
            </w:r>
          </w:p>
        </w:tc>
        <w:tc>
          <w:tcPr>
            <w:tcW w:w="171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bdr w:val="none" w:color="auto" w:sz="0" w:space="0"/>
                <w:lang w:val="en-US" w:eastAsia="zh-CN" w:bidi="ar"/>
              </w:rPr>
              <w:t>智慧园区一期项目已建设完成并已上线运行。但与应急部专家要求有所差距，主要在园区企业内部设备、设施感知，全面掌握企业生产、环境状况以及对灾情、风险及时预警等方面需要进一步提升。</w:t>
            </w:r>
          </w:p>
        </w:tc>
        <w:tc>
          <w:tcPr>
            <w:tcW w:w="151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等线" w:eastAsia="仿宋_GB2312" w:cs="仿宋_GB2312"/>
                <w:b/>
                <w:bCs/>
                <w:i w:val="0"/>
                <w:iCs w:val="0"/>
                <w:color w:val="000000"/>
                <w:sz w:val="18"/>
                <w:szCs w:val="18"/>
                <w:u w:val="none"/>
              </w:rPr>
            </w:pPr>
            <w:r>
              <w:rPr>
                <w:rFonts w:hint="eastAsia" w:ascii="仿宋_GB2312" w:hAnsi="等线" w:eastAsia="仿宋_GB2312" w:cs="仿宋_GB2312"/>
                <w:b/>
                <w:bCs/>
                <w:i w:val="0"/>
                <w:iCs w:val="0"/>
                <w:color w:val="000000"/>
                <w:kern w:val="0"/>
                <w:sz w:val="18"/>
                <w:szCs w:val="18"/>
                <w:u w:val="none"/>
                <w:bdr w:val="none" w:color="auto" w:sz="0" w:space="0"/>
                <w:lang w:val="en-US" w:eastAsia="zh-CN" w:bidi="ar"/>
              </w:rPr>
              <w:t>一、建设内容：</w:t>
            </w:r>
            <w:r>
              <w:rPr>
                <w:rStyle w:val="13"/>
                <w:rFonts w:hAnsi="等线"/>
                <w:sz w:val="18"/>
                <w:szCs w:val="18"/>
                <w:bdr w:val="none" w:color="auto" w:sz="0" w:space="0"/>
                <w:lang w:val="en-US" w:eastAsia="zh-CN" w:bidi="ar"/>
              </w:rPr>
              <w:t>智慧安全园区管理平台二期的建设将通过对园区企业增加配置物联网接入设备，对接企业内部建设的感知、检测系统，全面掌握企业生产、环境状况，对灾情、风险及时预警，实现监控预警功能。</w:t>
            </w:r>
            <w:r>
              <w:rPr>
                <w:rStyle w:val="13"/>
                <w:rFonts w:hAnsi="等线"/>
                <w:sz w:val="18"/>
                <w:szCs w:val="18"/>
                <w:bdr w:val="none" w:color="auto" w:sz="0" w:space="0"/>
                <w:lang w:val="en-US" w:eastAsia="zh-CN" w:bidi="ar"/>
              </w:rPr>
              <w:br w:type="textWrapping"/>
            </w:r>
            <w:r>
              <w:rPr>
                <w:rFonts w:hint="eastAsia" w:ascii="仿宋_GB2312" w:hAnsi="等线" w:eastAsia="仿宋_GB2312" w:cs="仿宋_GB2312"/>
                <w:b/>
                <w:bCs/>
                <w:i w:val="0"/>
                <w:iCs w:val="0"/>
                <w:color w:val="000000"/>
                <w:kern w:val="0"/>
                <w:sz w:val="18"/>
                <w:szCs w:val="18"/>
                <w:u w:val="none"/>
                <w:bdr w:val="none" w:color="auto" w:sz="0" w:space="0"/>
                <w:lang w:val="en-US" w:eastAsia="zh-CN" w:bidi="ar"/>
              </w:rPr>
              <w:t>二、征集对象：</w:t>
            </w:r>
            <w:r>
              <w:rPr>
                <w:rStyle w:val="13"/>
                <w:rFonts w:hAnsi="等线"/>
                <w:sz w:val="18"/>
                <w:szCs w:val="18"/>
                <w:bdr w:val="none" w:color="auto" w:sz="0" w:space="0"/>
                <w:lang w:val="en-US" w:eastAsia="zh-CN" w:bidi="ar"/>
              </w:rPr>
              <w:t>具有智慧园区建设能力的头部企业或行业知名企业</w:t>
            </w:r>
          </w:p>
        </w:tc>
        <w:tc>
          <w:tcPr>
            <w:tcW w:w="4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bdr w:val="none" w:color="auto" w:sz="0" w:space="0"/>
                <w:lang w:val="en-US" w:eastAsia="zh-CN" w:bidi="ar"/>
              </w:rPr>
              <w:t>永修数字经济发展中心</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bdr w:val="none" w:color="auto" w:sz="0" w:space="0"/>
                <w:lang w:val="en-US" w:eastAsia="zh-CN" w:bidi="ar"/>
              </w:rPr>
              <w:t>魏宏琴</w:t>
            </w:r>
            <w:r>
              <w:rPr>
                <w:rFonts w:hint="eastAsia" w:ascii="仿宋_GB2312" w:hAnsi="等线"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等线" w:eastAsia="仿宋_GB2312" w:cs="仿宋_GB2312"/>
                <w:i w:val="0"/>
                <w:iCs w:val="0"/>
                <w:color w:val="000000"/>
                <w:kern w:val="0"/>
                <w:sz w:val="20"/>
                <w:szCs w:val="20"/>
                <w:u w:val="none"/>
                <w:bdr w:val="none" w:color="auto" w:sz="0" w:space="0"/>
                <w:lang w:val="en-US" w:eastAsia="zh-CN" w:bidi="ar"/>
              </w:rPr>
              <w:t>0792-3102868</w:t>
            </w:r>
          </w:p>
        </w:tc>
      </w:tr>
    </w:tbl>
    <w:p/>
    <w:sectPr>
      <w:pgSz w:w="15840" w:h="12240" w:orient="landscape"/>
      <w:pgMar w:top="1800" w:right="1440" w:bottom="1800" w:left="144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OGJiNGE3OWU2ZGM5NTM0NWFmOTAzNmVhYzg0OGYifQ=="/>
  </w:docVars>
  <w:rsids>
    <w:rsidRoot w:val="00172A27"/>
    <w:rsid w:val="0196601E"/>
    <w:rsid w:val="69396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81"/>
    <w:basedOn w:val="3"/>
    <w:uiPriority w:val="0"/>
    <w:rPr>
      <w:rFonts w:hint="eastAsia" w:ascii="仿宋_GB2312" w:eastAsia="仿宋_GB2312" w:cs="仿宋_GB2312"/>
      <w:b/>
      <w:bCs/>
      <w:color w:val="000000"/>
      <w:sz w:val="24"/>
      <w:szCs w:val="24"/>
      <w:u w:val="none"/>
    </w:rPr>
  </w:style>
  <w:style w:type="character" w:customStyle="1" w:styleId="5">
    <w:name w:val="font21"/>
    <w:basedOn w:val="3"/>
    <w:uiPriority w:val="0"/>
    <w:rPr>
      <w:rFonts w:hint="eastAsia" w:ascii="等线" w:hAnsi="等线" w:eastAsia="等线" w:cs="等线"/>
      <w:color w:val="000000"/>
      <w:sz w:val="24"/>
      <w:szCs w:val="24"/>
      <w:u w:val="none"/>
    </w:rPr>
  </w:style>
  <w:style w:type="character" w:customStyle="1" w:styleId="6">
    <w:name w:val="font31"/>
    <w:basedOn w:val="3"/>
    <w:uiPriority w:val="0"/>
    <w:rPr>
      <w:rFonts w:hint="eastAsia" w:ascii="等线" w:hAnsi="等线" w:eastAsia="等线" w:cs="等线"/>
      <w:b/>
      <w:bCs/>
      <w:color w:val="000000"/>
      <w:sz w:val="24"/>
      <w:szCs w:val="24"/>
      <w:u w:val="none"/>
    </w:rPr>
  </w:style>
  <w:style w:type="character" w:customStyle="1" w:styleId="7">
    <w:name w:val="font61"/>
    <w:basedOn w:val="3"/>
    <w:uiPriority w:val="0"/>
    <w:rPr>
      <w:rFonts w:hint="eastAsia" w:ascii="仿宋_GB2312" w:eastAsia="仿宋_GB2312" w:cs="仿宋_GB2312"/>
      <w:color w:val="000000"/>
      <w:sz w:val="28"/>
      <w:szCs w:val="28"/>
      <w:u w:val="none"/>
    </w:rPr>
  </w:style>
  <w:style w:type="character" w:customStyle="1" w:styleId="8">
    <w:name w:val="font11"/>
    <w:basedOn w:val="3"/>
    <w:uiPriority w:val="0"/>
    <w:rPr>
      <w:rFonts w:hint="default" w:ascii="Times New Roman" w:hAnsi="Times New Roman" w:cs="Times New Roman"/>
      <w:color w:val="000000"/>
      <w:sz w:val="28"/>
      <w:szCs w:val="28"/>
      <w:u w:val="none"/>
    </w:rPr>
  </w:style>
  <w:style w:type="character" w:customStyle="1" w:styleId="9">
    <w:name w:val="font91"/>
    <w:basedOn w:val="3"/>
    <w:uiPriority w:val="0"/>
    <w:rPr>
      <w:rFonts w:hint="eastAsia" w:ascii="仿宋_GB2312" w:eastAsia="仿宋_GB2312" w:cs="仿宋_GB2312"/>
      <w:color w:val="000000"/>
      <w:sz w:val="24"/>
      <w:szCs w:val="24"/>
      <w:u w:val="none"/>
    </w:rPr>
  </w:style>
  <w:style w:type="character" w:customStyle="1" w:styleId="10">
    <w:name w:val="font51"/>
    <w:basedOn w:val="3"/>
    <w:uiPriority w:val="0"/>
    <w:rPr>
      <w:rFonts w:hint="eastAsia" w:ascii="等线" w:hAnsi="等线" w:eastAsia="等线" w:cs="等线"/>
      <w:color w:val="000000"/>
      <w:sz w:val="24"/>
      <w:szCs w:val="24"/>
      <w:u w:val="none"/>
    </w:rPr>
  </w:style>
  <w:style w:type="character" w:customStyle="1" w:styleId="11">
    <w:name w:val="font41"/>
    <w:basedOn w:val="3"/>
    <w:uiPriority w:val="0"/>
    <w:rPr>
      <w:rFonts w:hint="eastAsia" w:ascii="等线" w:hAnsi="等线" w:eastAsia="等线" w:cs="等线"/>
      <w:b/>
      <w:bCs/>
      <w:color w:val="000000"/>
      <w:sz w:val="24"/>
      <w:szCs w:val="24"/>
      <w:u w:val="none"/>
    </w:rPr>
  </w:style>
  <w:style w:type="character" w:customStyle="1" w:styleId="12">
    <w:name w:val="font71"/>
    <w:basedOn w:val="3"/>
    <w:uiPriority w:val="0"/>
    <w:rPr>
      <w:rFonts w:hint="eastAsia" w:ascii="仿宋_GB2312" w:eastAsia="仿宋_GB2312" w:cs="仿宋_GB2312"/>
      <w:color w:val="000000"/>
      <w:sz w:val="28"/>
      <w:szCs w:val="28"/>
      <w:u w:val="none"/>
    </w:rPr>
  </w:style>
  <w:style w:type="character" w:customStyle="1" w:styleId="13">
    <w:name w:val="font101"/>
    <w:basedOn w:val="3"/>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473</Words>
  <Characters>496</Characters>
  <Lines>0</Lines>
  <Paragraphs>0</Paragraphs>
  <TotalTime>2</TotalTime>
  <ScaleCrop>false</ScaleCrop>
  <LinksUpToDate>false</LinksUpToDate>
  <CharactersWithSpaces>496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2023-02-01T01:59:00Z</dcterms:created>
  <dc:creator>祝贺</dc:creator>
  <cp:lastModifiedBy>祝贺</cp:lastModifiedBy>
  <dcterms:modified xsi:type="dcterms:W3CDTF">2023-02-01T02:05:52Z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26DBD219D76B4FE88AACAF8A0A2A9BF6</vt:lpwstr>
  </property>
</Properties>
</file>