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spacing w:val="-10"/>
          <w:sz w:val="36"/>
          <w:szCs w:val="36"/>
        </w:rPr>
        <w:t>永</w:t>
      </w:r>
      <w:r>
        <w:rPr>
          <w:rFonts w:hint="eastAsia"/>
          <w:b/>
          <w:sz w:val="36"/>
          <w:szCs w:val="36"/>
        </w:rPr>
        <w:t>修</w:t>
      </w:r>
      <w:r>
        <w:rPr>
          <w:rFonts w:hint="eastAsia"/>
          <w:b/>
          <w:sz w:val="36"/>
          <w:szCs w:val="36"/>
          <w:lang w:eastAsia="zh-CN"/>
        </w:rPr>
        <w:t>县</w:t>
      </w:r>
      <w:r>
        <w:rPr>
          <w:rFonts w:hint="eastAsia"/>
          <w:b/>
          <w:sz w:val="36"/>
          <w:szCs w:val="36"/>
          <w:lang w:val="en-US" w:eastAsia="zh-CN"/>
        </w:rPr>
        <w:t>临时救助政策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黑体" w:hAnsi="黑体" w:eastAsia="黑体" w:cs="Times New Roman"/>
          <w:color w:val="auto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黑体" w:hAnsi="黑体" w:eastAsia="黑体" w:cs="Times New Roman"/>
          <w:color w:val="auto"/>
          <w:sz w:val="20"/>
          <w:szCs w:val="20"/>
          <w:lang w:val="en-US" w:eastAsia="zh-CN"/>
        </w:rPr>
        <w:t>一、</w:t>
      </w:r>
      <w:r>
        <w:rPr>
          <w:rFonts w:hint="eastAsia" w:ascii="黑体" w:hAnsi="黑体" w:eastAsia="黑体" w:cs="Times New Roman"/>
          <w:color w:val="auto"/>
          <w:sz w:val="20"/>
          <w:szCs w:val="20"/>
          <w:lang w:eastAsia="zh-CN"/>
        </w:rPr>
        <w:t>救助</w:t>
      </w:r>
      <w:r>
        <w:rPr>
          <w:rFonts w:hint="eastAsia" w:ascii="黑体" w:hAnsi="黑体" w:eastAsia="黑体" w:cs="Times New Roman"/>
          <w:color w:val="auto"/>
          <w:sz w:val="20"/>
          <w:szCs w:val="20"/>
        </w:rPr>
        <w:t>程序</w:t>
      </w:r>
      <w:r>
        <w:rPr>
          <w:rFonts w:hint="eastAsia" w:ascii="黑体" w:hAnsi="黑体" w:eastAsia="黑体" w:cs="Times New Roman"/>
          <w:color w:val="auto"/>
          <w:sz w:val="20"/>
          <w:szCs w:val="20"/>
          <w:lang w:eastAsia="zh-CN"/>
        </w:rPr>
        <w:t>：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bidi="ar"/>
        </w:rPr>
        <w:t>凡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eastAsia="zh-CN" w:bidi="ar"/>
        </w:rPr>
        <w:t>申请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bidi="ar"/>
        </w:rPr>
        <w:t>临时救助的城乡居民家庭或个人可以向户籍所在地或实际居住地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val="en-US" w:eastAsia="zh-CN" w:bidi="ar"/>
        </w:rPr>
        <w:t>的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eastAsia="zh-CN" w:bidi="ar"/>
        </w:rPr>
        <w:t>乡（镇、场、企业集团）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bidi="ar"/>
        </w:rPr>
        <w:t>提出申请；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各乡（镇、场、企业集团）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受理申请后，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应当组织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2名以上工作人员对申请人实际生活状况、致困原因等调查核实。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申请人或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"/>
        </w:rPr>
        <w:t>者其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家庭成员已纳入最低生活保障、特困供养，或者认定为低保边缘家庭、支出型困难家庭、孤儿、事实无人抚养儿童的，不开展居民家庭经济状况核对。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申请急难型临时救助的，在受理阶段可不予公示。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20"/>
          <w:szCs w:val="20"/>
          <w:lang w:val="en-US" w:eastAsia="zh-CN" w:bidi="ar-SA"/>
        </w:rPr>
        <w:t>申请支出型临时救助</w:t>
      </w:r>
      <w:r>
        <w:rPr>
          <w:rFonts w:hint="default" w:ascii="仿宋_GB2312" w:hAnsi="Calibri" w:eastAsia="仿宋_GB2312" w:cs="Times New Roman"/>
          <w:color w:val="auto"/>
          <w:kern w:val="2"/>
          <w:sz w:val="20"/>
          <w:szCs w:val="20"/>
          <w:lang w:val="en" w:eastAsia="zh-CN" w:bidi="ar-SA"/>
        </w:rPr>
        <w:t>、</w:t>
      </w:r>
      <w:r>
        <w:rPr>
          <w:rFonts w:hint="eastAsia" w:ascii="仿宋_GB2312" w:hAnsi="Calibri" w:eastAsia="仿宋_GB2312" w:cs="Times New Roman"/>
          <w:color w:val="auto"/>
          <w:kern w:val="2"/>
          <w:sz w:val="20"/>
          <w:szCs w:val="20"/>
          <w:lang w:val="en-US" w:eastAsia="zh-CN" w:bidi="ar-SA"/>
        </w:rPr>
        <w:t>特别救助的，</w:t>
      </w:r>
      <w:r>
        <w:rPr>
          <w:rFonts w:hint="eastAsia" w:ascii="仿宋_GB2312" w:hAnsi="仿宋_GB2312" w:eastAsia="仿宋_GB2312" w:cs="仿宋_GB2312"/>
          <w:color w:val="auto"/>
          <w:kern w:val="2"/>
          <w:sz w:val="20"/>
          <w:szCs w:val="20"/>
          <w:lang w:val="en-US" w:eastAsia="zh-CN" w:bidi="ar-SA"/>
        </w:rPr>
        <w:t>各乡（镇、场、企业集团）应当于受理申请的次日起，在申请人所在村民委员会、居民委员会设置的村务、居务公开栏或者当地网络平台公示申请受理情况。受理公示应当与调查核实、居民家庭经济状况核对同步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20"/>
          <w:szCs w:val="20"/>
        </w:rPr>
      </w:pPr>
      <w:r>
        <w:rPr>
          <w:rFonts w:ascii="仿宋_GB2312" w:hAnsi="仿宋_GB2312" w:eastAsia="仿宋_GB2312" w:cs="仿宋_GB2312"/>
          <w:color w:val="auto"/>
          <w:sz w:val="20"/>
          <w:szCs w:val="20"/>
          <w:lang w:val="e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急难型临时救助</w:t>
      </w:r>
      <w:r>
        <w:rPr>
          <w:rFonts w:ascii="仿宋_GB2312" w:hAnsi="仿宋_GB2312" w:eastAsia="仿宋_GB2312" w:cs="仿宋_GB2312"/>
          <w:color w:val="auto"/>
          <w:sz w:val="20"/>
          <w:szCs w:val="20"/>
          <w:lang w:val="en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各乡（镇、场、企业集团）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应当于调查</w:t>
      </w:r>
      <w:r>
        <w:rPr>
          <w:rFonts w:ascii="仿宋_GB2312" w:hAnsi="仿宋_GB2312" w:eastAsia="仿宋_GB2312" w:cs="仿宋_GB2312"/>
          <w:color w:val="auto"/>
          <w:sz w:val="20"/>
          <w:szCs w:val="20"/>
          <w:lang w:val="en"/>
        </w:rPr>
        <w:t>核实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等程序结束后完成审核确认。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ascii="仿宋_GB2312" w:hAnsi="仿宋_GB2312" w:eastAsia="仿宋_GB2312" w:cs="仿宋_GB2312"/>
          <w:color w:val="auto"/>
          <w:sz w:val="20"/>
          <w:szCs w:val="20"/>
          <w:lang w:val="en"/>
        </w:rPr>
        <w:t>申请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</w:rPr>
        <w:t>支出型临时救助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  <w:lang w:eastAsia="zh-CN"/>
        </w:rPr>
        <w:t>的</w:t>
      </w:r>
      <w:r>
        <w:rPr>
          <w:rFonts w:ascii="仿宋_GB2312" w:hAnsi="Times New Roman" w:eastAsia="仿宋_GB2312" w:cs="Times New Roman"/>
          <w:color w:val="auto"/>
          <w:sz w:val="20"/>
          <w:szCs w:val="20"/>
          <w:lang w:val="e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  <w:lang w:eastAsia="zh-CN"/>
        </w:rPr>
        <w:t>各乡（镇、场、企业集团）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应当于调查</w:t>
      </w:r>
      <w:r>
        <w:rPr>
          <w:rFonts w:ascii="仿宋_GB2312" w:hAnsi="仿宋_GB2312" w:eastAsia="仿宋_GB2312" w:cs="仿宋_GB2312"/>
          <w:color w:val="auto"/>
          <w:sz w:val="20"/>
          <w:szCs w:val="20"/>
          <w:lang w:val="en"/>
        </w:rPr>
        <w:t>核实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、公示、居民家庭经济状况核对、民主评议等程序结束后提出初审意见并报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县民政局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。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县民政局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应当在收到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  <w:lang w:eastAsia="zh-CN"/>
        </w:rPr>
        <w:t>各乡（镇、场、企业集团）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</w:rPr>
        <w:t>初审意见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后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及时完成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审核确认。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  <w:lang w:val="en" w:eastAsia="zh-CN"/>
        </w:rPr>
      </w:pPr>
      <w:r>
        <w:rPr>
          <w:rFonts w:ascii="仿宋_GB2312" w:hAnsi="仿宋_GB2312" w:eastAsia="仿宋_GB2312" w:cs="仿宋_GB2312"/>
          <w:color w:val="auto"/>
          <w:sz w:val="20"/>
          <w:szCs w:val="20"/>
          <w:lang w:val="en"/>
        </w:rPr>
        <w:t>申请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</w:rPr>
        <w:t>特别救助的</w:t>
      </w:r>
      <w:r>
        <w:rPr>
          <w:rFonts w:ascii="仿宋_GB2312" w:hAnsi="Times New Roman" w:eastAsia="仿宋_GB2312" w:cs="Times New Roman"/>
          <w:color w:val="auto"/>
          <w:sz w:val="20"/>
          <w:szCs w:val="20"/>
          <w:lang w:val="e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  <w:lang w:eastAsia="zh-CN"/>
        </w:rPr>
        <w:t>各乡（镇、场、企业集团）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应当于调查</w:t>
      </w:r>
      <w:r>
        <w:rPr>
          <w:rFonts w:ascii="仿宋_GB2312" w:hAnsi="仿宋_GB2312" w:eastAsia="仿宋_GB2312" w:cs="仿宋_GB2312"/>
          <w:color w:val="auto"/>
          <w:sz w:val="20"/>
          <w:szCs w:val="20"/>
          <w:lang w:val="en"/>
        </w:rPr>
        <w:t>核实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、公示、居民家庭经济状况核对、民主评议等程序结束后提出初审意见并报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县民政局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。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县民政局应当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在收到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  <w:lang w:eastAsia="zh-CN"/>
        </w:rPr>
        <w:t>各乡（镇、场、企业集团）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</w:rPr>
        <w:t>初审意见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后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"/>
        </w:rPr>
        <w:t>采取集体议事方式完成审核确认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20"/>
          <w:szCs w:val="20"/>
        </w:rPr>
      </w:pPr>
      <w:r>
        <w:rPr>
          <w:rFonts w:hint="eastAsia" w:ascii="仿宋_GB2312" w:hAnsi="Times New Roman" w:eastAsia="仿宋_GB2312" w:cs="Times New Roman"/>
          <w:color w:val="auto"/>
          <w:sz w:val="20"/>
          <w:szCs w:val="20"/>
        </w:rPr>
        <w:t>申请人</w:t>
      </w:r>
      <w:r>
        <w:rPr>
          <w:rFonts w:ascii="仿宋_GB2312" w:hAnsi="Times New Roman" w:eastAsia="仿宋_GB2312" w:cs="Times New Roman"/>
          <w:color w:val="auto"/>
          <w:sz w:val="20"/>
          <w:szCs w:val="20"/>
          <w:lang w:val="en"/>
        </w:rPr>
        <w:t>一年内因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</w:rPr>
        <w:t>同一事</w:t>
      </w:r>
      <w:r>
        <w:rPr>
          <w:rFonts w:ascii="仿宋_GB2312" w:hAnsi="Times New Roman" w:eastAsia="仿宋_GB2312" w:cs="Times New Roman"/>
          <w:color w:val="auto"/>
          <w:sz w:val="20"/>
          <w:szCs w:val="20"/>
          <w:lang w:val="en"/>
        </w:rPr>
        <w:t>由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</w:rPr>
        <w:t>重复申请临时救助</w:t>
      </w:r>
      <w:r>
        <w:rPr>
          <w:rFonts w:ascii="仿宋_GB2312" w:hAnsi="Times New Roman" w:eastAsia="仿宋_GB2312" w:cs="Times New Roman"/>
          <w:color w:val="auto"/>
          <w:sz w:val="20"/>
          <w:szCs w:val="20"/>
          <w:lang w:val="en"/>
        </w:rPr>
        <w:t>且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</w:rPr>
        <w:t>无正当理由的，不予</w:t>
      </w:r>
      <w:r>
        <w:rPr>
          <w:rFonts w:ascii="仿宋_GB2312" w:hAnsi="Times New Roman" w:eastAsia="仿宋_GB2312" w:cs="Times New Roman"/>
          <w:color w:val="auto"/>
          <w:sz w:val="20"/>
          <w:szCs w:val="20"/>
          <w:lang w:val="en"/>
        </w:rPr>
        <w:t>重复</w:t>
      </w:r>
      <w:r>
        <w:rPr>
          <w:rFonts w:hint="eastAsia" w:ascii="仿宋_GB2312" w:hAnsi="Times New Roman" w:eastAsia="仿宋_GB2312" w:cs="Times New Roman"/>
          <w:color w:val="auto"/>
          <w:sz w:val="20"/>
          <w:szCs w:val="20"/>
        </w:rPr>
        <w:t>救助。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right="0" w:rightChars="0" w:firstLine="400" w:firstLineChars="200"/>
        <w:jc w:val="both"/>
        <w:textAlignment w:val="auto"/>
        <w:outlineLvl w:val="9"/>
        <w:rPr>
          <w:rFonts w:hint="eastAsia" w:ascii="黑体" w:hAnsi="黑体" w:eastAsia="黑体" w:cs="Times New Roman"/>
          <w:color w:val="auto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0"/>
          <w:szCs w:val="20"/>
          <w:lang w:val="en-US" w:eastAsia="zh-CN"/>
        </w:rPr>
        <w:t>设定依据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right="0" w:rightChars="0" w:firstLine="40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</w:rPr>
      </w:pP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</w:rPr>
        <w:t>急难型临时救助标准每次应当不低于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val="en-US" w:eastAsia="zh-CN"/>
        </w:rPr>
        <w:t>我县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</w:rPr>
        <w:t>每月城市最低生活保障标准的2倍，原则上最高不超过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val="en-US" w:eastAsia="zh-CN"/>
        </w:rPr>
        <w:t>我县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</w:rPr>
        <w:t>每月城市最低生活保障标准的4倍。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支出型临时救助标准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</w:rPr>
        <w:t>每次应当高于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val="en-US" w:eastAsia="zh-CN"/>
        </w:rPr>
        <w:t>我县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</w:rPr>
        <w:t>每月城市最低生活保障标准的5倍，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原则上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</w:rPr>
        <w:t>最高不超过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val="en-US" w:eastAsia="zh-CN"/>
        </w:rPr>
        <w:t>我县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</w:rPr>
        <w:t>每月城市最低生活保障标准的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12倍。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"/>
        </w:rPr>
        <w:t>特困供养、孤儿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" w:eastAsia="zh-CN"/>
        </w:rPr>
        <w:t>对象：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"/>
        </w:rPr>
        <w:t>提出申请前12个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月内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自付部分大于或者等于10000元，原则上按40%比例救助，最高不超过我县每月城市最低生活保障标准的12倍；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最低生活保障对象、事实无人抚养儿童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提出申请前12个月内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自付部分原则上大于或者等于30000元，按15%比例救助，最高不超过我县每月城市最低生活保障标准的12倍；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（3）其他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困难家庭对象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提出申请前12个月内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自付部分原则上大于或者等于40000元，按10%救助，最高不超过我县每月城市最低生活保障标准的12倍。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支出型临时救助申请人在申请之日前12个月内家庭人均收入，原则上不超过上一年度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城市居民人均可支配收入。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特别救助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对象为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特困供养人员、孤儿、低保对象、事实无人抚养儿童、未纳入低保的低保边缘户、支出型贫困家庭。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"/>
        </w:rPr>
        <w:t>标准每次应当高于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val="en-US" w:eastAsia="zh-CN"/>
        </w:rPr>
        <w:t>我县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</w:rPr>
        <w:t>每月城市最低生活保障标准的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12倍，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"/>
        </w:rPr>
        <w:t>原则上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最高不超过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每月城市最低生活保障标准的48倍。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特困供养人员、孤儿重大刚性支出经扣除各种社会保障、其他社会救助、社会帮扶后，提出申请前12个月内其自付部分超过上年度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城市居民人均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可支配收入50%的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，原则上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按自付费用的</w:t>
      </w:r>
      <w:r>
        <w:rPr>
          <w:rFonts w:hint="eastAsia" w:ascii="仿宋" w:hAnsi="仿宋" w:eastAsia="仿宋" w:cs="仿宋"/>
          <w:bCs/>
          <w:sz w:val="20"/>
          <w:szCs w:val="20"/>
          <w:lang w:val="en-US" w:eastAsia="zh-CN"/>
        </w:rPr>
        <w:t>90%给予救助，最高不超过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每月城市最低生活保障标准的48倍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" w:hAnsi="仿宋" w:eastAsia="仿宋" w:cs="仿宋"/>
          <w:bCs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最低生活保障对象、事实无人抚养儿童重大刚性支出经扣除各种社会保障、社会帮扶后，提出申请前12个月内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自付部分超过上年度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城市</w:t>
      </w:r>
      <w:r>
        <w:rPr>
          <w:rFonts w:hint="eastAsia" w:ascii="仿宋_GB2312" w:hAnsi="仿宋_GB2312" w:eastAsia="仿宋_GB2312" w:cs="Times New Roman"/>
          <w:color w:val="auto"/>
          <w:sz w:val="20"/>
          <w:szCs w:val="20"/>
          <w:shd w:val="clear" w:color="auto" w:fill="FFFFFF"/>
        </w:rPr>
        <w:t>居民人均可支配收入2倍的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，原则上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按自付费用的</w:t>
      </w:r>
      <w:r>
        <w:rPr>
          <w:rFonts w:hint="eastAsia" w:ascii="仿宋" w:hAnsi="仿宋" w:eastAsia="仿宋" w:cs="仿宋"/>
          <w:bCs/>
          <w:sz w:val="20"/>
          <w:szCs w:val="20"/>
          <w:lang w:val="en-US" w:eastAsia="zh-CN"/>
        </w:rPr>
        <w:t>30%给予救助，最高不超过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每月城市最低生活保障标准的48倍</w:t>
      </w:r>
      <w:r>
        <w:rPr>
          <w:rFonts w:hint="eastAsia" w:ascii="仿宋" w:hAnsi="仿宋" w:eastAsia="仿宋" w:cs="仿宋"/>
          <w:bCs/>
          <w:sz w:val="20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低保边缘家庭对象、支出型困难家庭对象重大刚性支出经扣除各种社会保障、社会帮扶后，提出申请前12个月内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自付部分超过上年度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我县城市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居民人均可支配收入3倍的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，原则上按自付费用的15%给予救助，最高不超过我县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每月城市最低生活保障标准的48倍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Times New Roman" w:eastAsia="仿宋_GB2312" w:cs="Times New Roman"/>
          <w:color w:val="auto"/>
          <w:sz w:val="20"/>
          <w:szCs w:val="20"/>
          <w:lang w:val="en-US" w:eastAsia="zh-CN"/>
        </w:rPr>
        <w:t>因实际困难和支出未达到上述救助标准时 ，可按照实际困难和支出金额比例予以适当救助。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因情况特殊导致困难情形特别严重，需要增加救助金额的，由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eastAsia="zh-CN"/>
        </w:rPr>
        <w:t>县民政局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通过“一事一议”方式确定。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0"/>
          <w:szCs w:val="20"/>
          <w:lang w:val="en-US" w:eastAsia="zh-CN"/>
        </w:rPr>
        <w:t>三、申请条件：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对持有本县户籍，共同生活的家庭成员人均收入低于我县最低生活保障标准，且家庭财产状况符合我县规定的家庭，给与临时救助。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4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0"/>
          <w:szCs w:val="20"/>
          <w:lang w:val="en-US" w:eastAsia="zh-CN"/>
        </w:rPr>
        <w:t>四、申请材料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eastAsia" w:ascii="仿宋_GB2312" w:eastAsia="仿宋_GB2312"/>
          <w:color w:val="000000"/>
          <w:sz w:val="20"/>
          <w:szCs w:val="20"/>
        </w:rPr>
      </w:pPr>
      <w:r>
        <w:rPr>
          <w:rFonts w:hint="default" w:ascii="仿宋_GB2312" w:eastAsia="仿宋_GB2312"/>
          <w:color w:val="000000"/>
          <w:sz w:val="20"/>
          <w:szCs w:val="20"/>
          <w:lang w:val="en-US" w:eastAsia="zh-CN"/>
        </w:rPr>
        <w:t>1.申请书、承诺书、家庭经济状况查询授权书。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eastAsia" w:ascii="仿宋_GB2312" w:eastAsia="仿宋_GB2312"/>
          <w:color w:val="000000"/>
          <w:sz w:val="20"/>
          <w:szCs w:val="20"/>
          <w:lang w:val="en-US" w:eastAsia="zh-CN"/>
        </w:rPr>
      </w:pPr>
      <w:r>
        <w:rPr>
          <w:rFonts w:hint="default" w:ascii="仿宋_GB2312" w:eastAsia="仿宋_GB2312"/>
          <w:color w:val="000000"/>
          <w:sz w:val="20"/>
          <w:szCs w:val="20"/>
          <w:lang w:val="en-US" w:eastAsia="zh-CN"/>
        </w:rPr>
        <w:t>2.身份证、户口簿复印件（原件备查）</w:t>
      </w:r>
      <w:r>
        <w:rPr>
          <w:rFonts w:hint="eastAsia" w:ascii="仿宋_GB2312" w:eastAsia="仿宋_GB2312"/>
          <w:color w:val="000000"/>
          <w:sz w:val="20"/>
          <w:szCs w:val="20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eastAsia" w:ascii="仿宋_GB2312" w:eastAsia="仿宋_GB2312"/>
          <w:color w:val="000000"/>
          <w:sz w:val="20"/>
          <w:szCs w:val="20"/>
          <w:lang w:val="en-US" w:eastAsia="zh-CN"/>
        </w:rPr>
      </w:pPr>
      <w:r>
        <w:rPr>
          <w:rFonts w:hint="eastAsia" w:ascii="仿宋_GB2312" w:eastAsia="仿宋_GB2312"/>
          <w:color w:val="000000"/>
          <w:sz w:val="20"/>
          <w:szCs w:val="20"/>
          <w:lang w:val="en-US" w:eastAsia="zh-CN"/>
        </w:rPr>
        <w:t>3</w:t>
      </w:r>
      <w:r>
        <w:rPr>
          <w:rFonts w:hint="default" w:ascii="仿宋_GB2312" w:eastAsia="仿宋_GB2312"/>
          <w:color w:val="000000"/>
          <w:sz w:val="20"/>
          <w:szCs w:val="20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0"/>
          <w:szCs w:val="20"/>
          <w:lang w:val="en-US" w:eastAsia="zh-CN"/>
        </w:rPr>
        <w:t>申请临时救助所需的相关材料(疾病诊断证明、发票、住院记录等）。</w:t>
      </w:r>
    </w:p>
    <w:p>
      <w:pPr>
        <w:pStyle w:val="2"/>
        <w:rPr>
          <w:rFonts w:hint="eastAsia" w:ascii="黑体" w:hAnsi="黑体" w:eastAsia="黑体" w:cs="黑体"/>
          <w:color w:val="000000"/>
          <w:sz w:val="20"/>
          <w:szCs w:val="20"/>
          <w:lang w:val="en-US" w:eastAsia="zh-CN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000000"/>
          <w:sz w:val="20"/>
          <w:szCs w:val="20"/>
          <w:lang w:val="en-US" w:eastAsia="zh-CN"/>
        </w:rPr>
        <w:t xml:space="preserve"> 四、办理流程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right="0" w:rightChars="0" w:firstLine="400" w:firstLineChars="200"/>
        <w:jc w:val="both"/>
        <w:textAlignment w:val="auto"/>
        <w:outlineLvl w:val="9"/>
        <w:rPr>
          <w:rFonts w:hint="default" w:ascii="仿宋_GB2312" w:eastAsia="仿宋_GB2312"/>
          <w:color w:val="000000"/>
          <w:kern w:val="0"/>
          <w:sz w:val="20"/>
          <w:szCs w:val="20"/>
          <w:lang w:val="en-US"/>
        </w:rPr>
      </w:pPr>
      <w:r>
        <w:rPr>
          <w:rFonts w:hint="eastAsia" w:ascii="仿宋_GB2312" w:eastAsia="仿宋_GB2312"/>
          <w:color w:val="000000"/>
          <w:kern w:val="0"/>
          <w:sz w:val="20"/>
          <w:szCs w:val="20"/>
          <w:lang w:val="en-US" w:eastAsia="zh-CN"/>
        </w:rPr>
        <w:t>本人携带身份证、出院（住院）记录、发票等信息到村(居）民委员会、乡镇人民政府申请。</w:t>
      </w:r>
    </w:p>
    <w:p>
      <w:pPr>
        <w:pStyle w:val="2"/>
        <w:rPr>
          <w:rFonts w:hint="default" w:ascii="黑体" w:hAnsi="黑体" w:eastAsia="黑体" w:cs="黑体"/>
          <w:color w:val="000000"/>
          <w:sz w:val="20"/>
          <w:szCs w:val="20"/>
          <w:lang w:val="en-US" w:eastAsia="zh-CN"/>
        </w:rPr>
      </w:pPr>
    </w:p>
    <w:p>
      <w:pPr>
        <w:pStyle w:val="2"/>
        <w:rPr>
          <w:rFonts w:hint="default"/>
          <w:color w:val="00000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right="0" w:rightChars="0" w:firstLine="40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0"/>
          <w:szCs w:val="20"/>
          <w:lang w:val="en-US" w:eastAsia="zh-CN"/>
        </w:rPr>
        <w:t>五、收费标准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default" w:ascii="仿宋_GB2312" w:eastAsia="仿宋_GB2312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20"/>
          <w:szCs w:val="20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right="0" w:rightChars="0" w:firstLine="400" w:firstLineChars="200"/>
        <w:jc w:val="both"/>
        <w:textAlignment w:val="auto"/>
        <w:outlineLvl w:val="9"/>
        <w:rPr>
          <w:rFonts w:hint="default" w:ascii="黑体" w:hAnsi="黑体" w:eastAsia="黑体" w:cs="Times New Roman"/>
          <w:color w:val="auto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0"/>
          <w:szCs w:val="20"/>
          <w:lang w:val="en-US" w:eastAsia="zh-CN"/>
        </w:rPr>
        <w:t>六、办理机构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right="0" w:rightChars="0" w:firstLine="40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kern w:val="0"/>
          <w:sz w:val="20"/>
          <w:szCs w:val="20"/>
        </w:rPr>
      </w:pPr>
      <w:r>
        <w:rPr>
          <w:rFonts w:hint="eastAsia" w:ascii="仿宋_GB2312" w:eastAsia="仿宋_GB2312"/>
          <w:color w:val="000000"/>
          <w:kern w:val="0"/>
          <w:sz w:val="20"/>
          <w:szCs w:val="20"/>
          <w:lang w:val="en-US" w:eastAsia="zh-CN"/>
        </w:rPr>
        <w:t>村(居）民委员会、乡镇人民政府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eastAsia" w:ascii="仿宋_GB2312" w:eastAsia="仿宋_GB2312"/>
          <w:color w:val="000000"/>
          <w:kern w:val="0"/>
          <w:sz w:val="20"/>
          <w:szCs w:val="20"/>
        </w:rPr>
      </w:pPr>
      <w:r>
        <w:rPr>
          <w:rFonts w:hint="eastAsia" w:ascii="仿宋_GB2312" w:eastAsia="仿宋_GB2312"/>
          <w:color w:val="000000"/>
          <w:kern w:val="0"/>
          <w:sz w:val="20"/>
          <w:szCs w:val="20"/>
          <w:lang w:val="en-US" w:eastAsia="zh-CN"/>
        </w:rPr>
        <w:t>办理时间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eastAsia" w:ascii="仿宋_GB2312" w:eastAsia="仿宋_GB2312"/>
          <w:color w:val="000000"/>
          <w:kern w:val="0"/>
          <w:sz w:val="20"/>
          <w:szCs w:val="20"/>
        </w:rPr>
      </w:pPr>
      <w:r>
        <w:rPr>
          <w:rFonts w:hint="default" w:ascii="仿宋_GB2312" w:eastAsia="仿宋_GB2312"/>
          <w:color w:val="000000"/>
          <w:kern w:val="0"/>
          <w:sz w:val="20"/>
          <w:szCs w:val="20"/>
          <w:lang w:val="en-US" w:eastAsia="zh-CN"/>
        </w:rPr>
        <w:t>工作日上午</w:t>
      </w:r>
      <w:r>
        <w:rPr>
          <w:rFonts w:hint="eastAsia" w:ascii="仿宋_GB2312" w:eastAsia="仿宋_GB2312"/>
          <w:color w:val="000000"/>
          <w:kern w:val="0"/>
          <w:sz w:val="20"/>
          <w:szCs w:val="20"/>
          <w:lang w:val="en-US" w:eastAsia="zh-CN"/>
        </w:rPr>
        <w:t>9</w:t>
      </w:r>
      <w:r>
        <w:rPr>
          <w:rFonts w:hint="default" w:ascii="仿宋_GB2312" w:eastAsia="仿宋_GB2312"/>
          <w:color w:val="000000"/>
          <w:kern w:val="0"/>
          <w:sz w:val="20"/>
          <w:szCs w:val="20"/>
          <w:lang w:val="en-US" w:eastAsia="zh-CN"/>
        </w:rPr>
        <w:t>:00-12:00   下午</w:t>
      </w:r>
      <w:r>
        <w:rPr>
          <w:rFonts w:hint="eastAsia" w:ascii="仿宋_GB2312" w:eastAsia="仿宋_GB2312"/>
          <w:color w:val="000000"/>
          <w:kern w:val="0"/>
          <w:sz w:val="20"/>
          <w:szCs w:val="20"/>
          <w:lang w:val="en-US" w:eastAsia="zh-CN"/>
        </w:rPr>
        <w:t>13;30</w:t>
      </w:r>
      <w:r>
        <w:rPr>
          <w:rFonts w:hint="default" w:ascii="仿宋_GB2312" w:eastAsia="仿宋_GB2312"/>
          <w:color w:val="000000"/>
          <w:kern w:val="0"/>
          <w:sz w:val="20"/>
          <w:szCs w:val="20"/>
          <w:lang w:val="en-US" w:eastAsia="zh-CN"/>
        </w:rPr>
        <w:t>-17:30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default" w:ascii="仿宋_GB2312" w:eastAsia="仿宋_GB2312"/>
          <w:color w:val="000000"/>
          <w:kern w:val="0"/>
          <w:sz w:val="20"/>
          <w:szCs w:val="20"/>
          <w:lang w:val="en-US"/>
        </w:rPr>
      </w:pPr>
      <w:r>
        <w:rPr>
          <w:rFonts w:hint="eastAsia" w:ascii="仿宋_GB2312" w:eastAsia="仿宋_GB2312"/>
          <w:color w:val="000000"/>
          <w:kern w:val="0"/>
          <w:sz w:val="20"/>
          <w:szCs w:val="20"/>
          <w:lang w:val="en-US" w:eastAsia="zh-CN"/>
        </w:rPr>
        <w:t>联系方式</w:t>
      </w:r>
      <w:r>
        <w:rPr>
          <w:rFonts w:hint="default" w:ascii="仿宋_GB2312" w:eastAsia="仿宋_GB2312"/>
          <w:color w:val="000000"/>
          <w:kern w:val="0"/>
          <w:sz w:val="20"/>
          <w:szCs w:val="20"/>
          <w:lang w:val="en-US" w:eastAsia="zh-CN"/>
        </w:rPr>
        <w:t>：0</w:t>
      </w:r>
      <w:r>
        <w:rPr>
          <w:rFonts w:hint="eastAsia" w:ascii="仿宋_GB2312" w:eastAsia="仿宋_GB2312"/>
          <w:color w:val="000000"/>
          <w:kern w:val="0"/>
          <w:sz w:val="20"/>
          <w:szCs w:val="20"/>
          <w:lang w:val="en-US" w:eastAsia="zh-CN"/>
        </w:rPr>
        <w:t>792-3232409</w:t>
      </w:r>
    </w:p>
    <w:p>
      <w:pPr>
        <w:pStyle w:val="2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123" w:right="1100" w:bottom="1066" w:left="110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0E76E"/>
    <w:multiLevelType w:val="singleLevel"/>
    <w:tmpl w:val="2FE0E7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ZTExNjRiY2UwZmI3ZmNhMGNkMmEzMWQ2ODljMTAifQ=="/>
    <w:docVar w:name="KSO_WPS_MARK_KEY" w:val="e7c53342-ff13-492c-aa89-907179591c07"/>
  </w:docVars>
  <w:rsids>
    <w:rsidRoot w:val="20CC3039"/>
    <w:rsid w:val="2005729C"/>
    <w:rsid w:val="20CC3039"/>
    <w:rsid w:val="239F4DAE"/>
    <w:rsid w:val="4F837F03"/>
    <w:rsid w:val="6540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80" w:lineRule="exact"/>
    </w:pPr>
    <w:rPr>
      <w:rFonts w:ascii="仿宋_GB2312" w:eastAsia="仿宋_GB2312"/>
      <w:spacing w:val="-2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1705</Words>
  <Characters>1783</Characters>
  <Lines>0</Lines>
  <Paragraphs>0</Paragraphs>
  <TotalTime>1</TotalTime>
  <ScaleCrop>false</ScaleCrop>
  <LinksUpToDate>false</LinksUpToDate>
  <CharactersWithSpaces>1790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2023-12-21T08:01:00Z</dcterms:created>
  <dc:creator>避风塘堂主</dc:creator>
  <cp:lastModifiedBy>冯娜</cp:lastModifiedBy>
  <dcterms:modified xsi:type="dcterms:W3CDTF">2025-07-30T08:35:45Z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7CCE423B69D547DF947EE9DB59A36E61_13</vt:lpwstr>
  </property>
</Properties>
</file>