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ECF78">
      <w:pPr>
        <w:rPr>
          <w:rFonts w:hint="eastAsia" w:ascii="仿宋_GB2312" w:hAnsi="仿宋_GB2312" w:eastAsia="仿宋_GB2312" w:cs="仿宋_GB2312"/>
          <w:color w:val="auto"/>
          <w:sz w:val="36"/>
          <w:szCs w:val="36"/>
        </w:rPr>
      </w:pPr>
    </w:p>
    <w:p w14:paraId="68B7C420">
      <w:pPr>
        <w:rPr>
          <w:rFonts w:hint="eastAsia" w:ascii="仿宋_GB2312" w:hAnsi="仿宋_GB2312" w:eastAsia="仿宋_GB2312" w:cs="仿宋_GB2312"/>
          <w:color w:val="auto"/>
          <w:sz w:val="36"/>
          <w:szCs w:val="36"/>
        </w:rPr>
      </w:pPr>
    </w:p>
    <w:p w14:paraId="3A05BF0C">
      <w:pPr>
        <w:ind w:left="0" w:leftChars="0"/>
        <w:jc w:val="distribute"/>
        <w:rPr>
          <w:rFonts w:hint="eastAsia" w:ascii="仿宋_GB2312" w:hAnsi="仿宋_GB2312" w:eastAsia="仿宋_GB2312" w:cs="仿宋_GB2312"/>
          <w:color w:val="auto"/>
          <w:sz w:val="36"/>
          <w:szCs w:val="36"/>
        </w:rPr>
      </w:pPr>
    </w:p>
    <w:p w14:paraId="12623F03">
      <w:pPr>
        <w:rPr>
          <w:rFonts w:hint="eastAsia" w:ascii="仿宋_GB2312" w:hAnsi="仿宋_GB2312" w:eastAsia="仿宋_GB2312" w:cs="仿宋_GB2312"/>
          <w:color w:val="auto"/>
          <w:sz w:val="36"/>
          <w:szCs w:val="36"/>
        </w:rPr>
      </w:pPr>
    </w:p>
    <w:p w14:paraId="72F3A656">
      <w:pPr>
        <w:adjustRightInd w:val="0"/>
        <w:snapToGrid w:val="0"/>
        <w:jc w:val="center"/>
        <w:outlineLvl w:val="0"/>
        <w:rPr>
          <w:rFonts w:hint="eastAsia" w:asciiTheme="minorEastAsia" w:hAnsiTheme="minorEastAsia" w:eastAsiaTheme="minorEastAsia" w:cstheme="minorEastAsia"/>
          <w:b/>
          <w:bCs/>
          <w:color w:val="auto"/>
          <w:sz w:val="72"/>
          <w:szCs w:val="72"/>
        </w:rPr>
      </w:pPr>
      <w:bookmarkStart w:id="0" w:name="_Toc24753"/>
      <w:r>
        <w:rPr>
          <w:rFonts w:hint="eastAsia" w:asciiTheme="minorEastAsia" w:hAnsiTheme="minorEastAsia" w:eastAsiaTheme="minorEastAsia" w:cstheme="minorEastAsia"/>
          <w:b/>
          <w:bCs/>
          <w:color w:val="auto"/>
          <w:sz w:val="72"/>
          <w:szCs w:val="72"/>
        </w:rPr>
        <w:t>建设项目环境影响报告表</w:t>
      </w:r>
      <w:bookmarkEnd w:id="0"/>
    </w:p>
    <w:p w14:paraId="59E2EF4C">
      <w:pPr>
        <w:adjustRightInd w:val="0"/>
        <w:snapToGrid w:val="0"/>
        <w:spacing w:before="192" w:beforeLines="80"/>
        <w:jc w:val="center"/>
        <w:rPr>
          <w:rFonts w:hint="eastAsia" w:ascii="楷体_GB2312" w:eastAsia="楷体_GB2312"/>
          <w:color w:val="auto"/>
          <w:sz w:val="48"/>
          <w:szCs w:val="48"/>
        </w:rPr>
      </w:pPr>
      <w:r>
        <w:rPr>
          <w:rFonts w:hint="eastAsia" w:ascii="楷体_GB2312" w:eastAsia="楷体_GB2312"/>
          <w:color w:val="auto"/>
          <w:sz w:val="48"/>
          <w:szCs w:val="48"/>
        </w:rPr>
        <w:t>（污染影响类）</w:t>
      </w:r>
    </w:p>
    <w:p w14:paraId="0B245210">
      <w:pPr>
        <w:adjustRightInd w:val="0"/>
        <w:snapToGrid w:val="0"/>
        <w:spacing w:line="288" w:lineRule="auto"/>
        <w:jc w:val="center"/>
        <w:rPr>
          <w:rFonts w:hint="eastAsia" w:ascii="华文仿宋" w:hAnsi="华文仿宋" w:eastAsia="华文仿宋" w:cs="华文仿宋"/>
          <w:color w:val="auto"/>
          <w:kern w:val="44"/>
          <w:sz w:val="44"/>
          <w:szCs w:val="44"/>
        </w:rPr>
      </w:pPr>
    </w:p>
    <w:p w14:paraId="1F1CD693">
      <w:pPr>
        <w:jc w:val="center"/>
        <w:rPr>
          <w:rFonts w:hint="eastAsia"/>
          <w:color w:val="auto"/>
          <w:sz w:val="52"/>
          <w:szCs w:val="52"/>
        </w:rPr>
      </w:pPr>
    </w:p>
    <w:p w14:paraId="4EFA45C2">
      <w:pPr>
        <w:ind w:firstLine="1040"/>
        <w:rPr>
          <w:rFonts w:hint="eastAsia"/>
          <w:color w:val="auto"/>
          <w:sz w:val="44"/>
          <w:szCs w:val="44"/>
        </w:rPr>
      </w:pPr>
    </w:p>
    <w:p w14:paraId="3C530A9B">
      <w:pPr>
        <w:ind w:firstLine="1040"/>
        <w:rPr>
          <w:rFonts w:hint="eastAsia"/>
          <w:color w:val="auto"/>
          <w:sz w:val="44"/>
          <w:szCs w:val="44"/>
        </w:rPr>
      </w:pPr>
    </w:p>
    <w:p w14:paraId="3DC576BE">
      <w:pPr>
        <w:pStyle w:val="2"/>
        <w:rPr>
          <w:rFonts w:hint="eastAsia"/>
          <w:color w:val="auto"/>
          <w:sz w:val="24"/>
          <w:szCs w:val="24"/>
        </w:rPr>
      </w:pPr>
    </w:p>
    <w:p w14:paraId="42A65FD8">
      <w:pPr>
        <w:ind w:firstLine="1040"/>
        <w:rPr>
          <w:rFonts w:hint="eastAsia"/>
          <w:color w:val="auto"/>
          <w:sz w:val="44"/>
          <w:szCs w:val="44"/>
        </w:rPr>
      </w:pPr>
    </w:p>
    <w:p w14:paraId="4821DFA6">
      <w:pPr>
        <w:ind w:firstLine="1040"/>
        <w:rPr>
          <w:rFonts w:hint="eastAsia"/>
          <w:color w:val="auto"/>
          <w:sz w:val="44"/>
          <w:szCs w:val="44"/>
        </w:rPr>
      </w:pPr>
    </w:p>
    <w:p w14:paraId="3ED2A2B1">
      <w:pPr>
        <w:keepNext w:val="0"/>
        <w:keepLines w:val="0"/>
        <w:pageBreakBefore w:val="0"/>
        <w:widowControl w:val="0"/>
        <w:kinsoku/>
        <w:wordWrap/>
        <w:overflowPunct/>
        <w:topLinePunct w:val="0"/>
        <w:autoSpaceDE/>
        <w:autoSpaceDN/>
        <w:bidi w:val="0"/>
        <w:adjustRightInd w:val="0"/>
        <w:snapToGrid w:val="0"/>
        <w:spacing w:before="157" w:beforeLines="50" w:after="469" w:afterLines="150" w:line="288" w:lineRule="auto"/>
        <w:ind w:left="1440" w:hanging="1440" w:hangingChars="400"/>
        <w:jc w:val="left"/>
        <w:textAlignment w:val="auto"/>
        <w:rPr>
          <w:rFonts w:hint="eastAsia" w:ascii="宋体" w:hAnsi="宋体" w:eastAsia="宋体" w:cs="宋体"/>
          <w:color w:val="auto"/>
          <w:sz w:val="36"/>
          <w:szCs w:val="36"/>
          <w:u w:val="single"/>
          <w:lang w:val="en-US" w:eastAsia="zh-CN"/>
        </w:rPr>
      </w:pPr>
      <w:bookmarkStart w:id="1" w:name="_Hlk57884087"/>
      <w:r>
        <w:rPr>
          <w:rFonts w:hint="eastAsia" w:ascii="宋体" w:hAnsi="宋体" w:eastAsia="宋体" w:cs="宋体"/>
          <w:color w:val="auto"/>
          <w:sz w:val="36"/>
          <w:szCs w:val="36"/>
        </w:rPr>
        <w:t>项目名称：</w:t>
      </w:r>
      <w:r>
        <w:rPr>
          <w:rFonts w:hint="eastAsia" w:ascii="宋体" w:hAnsi="宋体" w:eastAsia="宋体" w:cs="宋体"/>
          <w:color w:val="auto"/>
          <w:sz w:val="36"/>
          <w:szCs w:val="36"/>
          <w:u w:val="single"/>
        </w:rPr>
        <w:t>江西鑫润绿色循环发展有限公司</w:t>
      </w:r>
      <w:r>
        <w:rPr>
          <w:rFonts w:hint="eastAsia" w:ascii="宋体" w:hAnsi="宋体" w:eastAsia="宋体" w:cs="宋体"/>
          <w:color w:val="auto"/>
          <w:sz w:val="36"/>
          <w:szCs w:val="36"/>
          <w:u w:val="single"/>
          <w:lang w:val="en-US" w:eastAsia="zh-CN"/>
        </w:rPr>
        <w:t xml:space="preserve">再生塑料颗粒技术改造项目                             </w:t>
      </w:r>
    </w:p>
    <w:p w14:paraId="74213916">
      <w:pPr>
        <w:keepNext w:val="0"/>
        <w:keepLines w:val="0"/>
        <w:pageBreakBefore w:val="0"/>
        <w:widowControl w:val="0"/>
        <w:kinsoku/>
        <w:wordWrap/>
        <w:overflowPunct/>
        <w:topLinePunct w:val="0"/>
        <w:autoSpaceDE/>
        <w:autoSpaceDN/>
        <w:bidi w:val="0"/>
        <w:adjustRightInd w:val="0"/>
        <w:snapToGrid w:val="0"/>
        <w:spacing w:before="157" w:beforeLines="50" w:after="157" w:afterLines="50" w:line="288" w:lineRule="auto"/>
        <w:ind w:left="0" w:firstLine="0" w:firstLineChars="0"/>
        <w:textAlignment w:val="auto"/>
        <w:rPr>
          <w:rFonts w:hint="eastAsia" w:ascii="宋体" w:hAnsi="宋体" w:eastAsia="宋体" w:cs="宋体"/>
          <w:color w:val="auto"/>
          <w:sz w:val="36"/>
          <w:szCs w:val="36"/>
          <w:u w:val="none"/>
          <w:lang w:val="en-US" w:eastAsia="zh-CN"/>
        </w:rPr>
      </w:pPr>
      <w:r>
        <w:rPr>
          <w:rFonts w:hint="eastAsia" w:ascii="宋体" w:hAnsi="宋体" w:eastAsia="宋体" w:cs="宋体"/>
          <w:color w:val="auto"/>
          <w:sz w:val="36"/>
          <w:szCs w:val="36"/>
        </w:rPr>
        <w:t>建设单位（盖章）：</w:t>
      </w:r>
      <w:r>
        <w:rPr>
          <w:rFonts w:hint="eastAsia" w:ascii="宋体" w:hAnsi="宋体" w:eastAsia="宋体" w:cs="宋体"/>
          <w:color w:val="auto"/>
          <w:sz w:val="36"/>
          <w:szCs w:val="36"/>
          <w:u w:val="single"/>
        </w:rPr>
        <w:t xml:space="preserve"> 江西鑫润绿色循环发展有限</w:t>
      </w:r>
      <w:r>
        <w:rPr>
          <w:rFonts w:hint="eastAsia" w:ascii="宋体" w:hAnsi="宋体" w:eastAsia="宋体" w:cs="宋体"/>
          <w:color w:val="auto"/>
          <w:sz w:val="36"/>
          <w:szCs w:val="36"/>
          <w:u w:val="single"/>
          <w:lang w:val="en-US" w:eastAsia="zh-CN"/>
        </w:rPr>
        <w:t xml:space="preserve">公司                   </w:t>
      </w:r>
    </w:p>
    <w:p w14:paraId="57B7A365">
      <w:pPr>
        <w:keepNext w:val="0"/>
        <w:keepLines w:val="0"/>
        <w:pageBreakBefore w:val="0"/>
        <w:widowControl w:val="0"/>
        <w:kinsoku/>
        <w:wordWrap/>
        <w:overflowPunct/>
        <w:topLinePunct w:val="0"/>
        <w:autoSpaceDE/>
        <w:autoSpaceDN/>
        <w:bidi w:val="0"/>
        <w:adjustRightInd w:val="0"/>
        <w:snapToGrid w:val="0"/>
        <w:spacing w:before="157" w:beforeLines="50" w:after="157" w:afterLines="50" w:line="288" w:lineRule="auto"/>
        <w:ind w:left="0" w:firstLine="0" w:firstLineChars="0"/>
        <w:textAlignment w:val="auto"/>
        <w:rPr>
          <w:rFonts w:hint="eastAsia" w:ascii="仿宋_GB2312" w:eastAsia="仿宋_GB2312"/>
          <w:color w:val="auto"/>
          <w:sz w:val="36"/>
          <w:szCs w:val="36"/>
        </w:rPr>
      </w:pPr>
      <w:r>
        <w:rPr>
          <w:rFonts w:hint="eastAsia" w:ascii="宋体" w:hAnsi="宋体" w:eastAsia="宋体" w:cs="宋体"/>
          <w:color w:val="auto"/>
          <w:sz w:val="36"/>
          <w:szCs w:val="36"/>
        </w:rPr>
        <w:t>编制日期：</w:t>
      </w:r>
      <w:r>
        <w:rPr>
          <w:rFonts w:hint="eastAsia" w:ascii="宋体" w:hAnsi="宋体" w:eastAsia="宋体" w:cs="宋体"/>
          <w:color w:val="auto"/>
          <w:sz w:val="36"/>
          <w:szCs w:val="36"/>
          <w:u w:val="single"/>
        </w:rPr>
        <w:t xml:space="preserve">       </w:t>
      </w:r>
      <w:r>
        <w:rPr>
          <w:rFonts w:hint="eastAsia" w:ascii="宋体" w:hAnsi="宋体" w:eastAsia="宋体" w:cs="宋体"/>
          <w:color w:val="auto"/>
          <w:sz w:val="36"/>
          <w:szCs w:val="36"/>
          <w:u w:val="single"/>
          <w:lang w:val="en-US" w:eastAsia="zh-CN"/>
        </w:rPr>
        <w:t xml:space="preserve"> </w:t>
      </w:r>
      <w:r>
        <w:rPr>
          <w:rFonts w:hint="eastAsia" w:ascii="宋体" w:hAnsi="宋体" w:eastAsia="宋体" w:cs="宋体"/>
          <w:color w:val="auto"/>
          <w:sz w:val="36"/>
          <w:szCs w:val="36"/>
          <w:u w:val="single"/>
        </w:rPr>
        <w:t xml:space="preserve">  202</w:t>
      </w:r>
      <w:r>
        <w:rPr>
          <w:rFonts w:hint="eastAsia" w:ascii="宋体" w:hAnsi="宋体" w:eastAsia="宋体" w:cs="宋体"/>
          <w:color w:val="auto"/>
          <w:sz w:val="36"/>
          <w:szCs w:val="36"/>
          <w:u w:val="single"/>
          <w:lang w:val="en-US" w:eastAsia="zh-CN"/>
        </w:rPr>
        <w:t>5</w:t>
      </w:r>
      <w:r>
        <w:rPr>
          <w:rFonts w:hint="eastAsia" w:ascii="宋体" w:hAnsi="宋体" w:eastAsia="宋体" w:cs="宋体"/>
          <w:color w:val="auto"/>
          <w:sz w:val="36"/>
          <w:szCs w:val="36"/>
          <w:u w:val="single"/>
        </w:rPr>
        <w:t>年</w:t>
      </w:r>
      <w:r>
        <w:rPr>
          <w:rFonts w:hint="eastAsia" w:ascii="宋体" w:hAnsi="宋体" w:eastAsia="宋体" w:cs="宋体"/>
          <w:color w:val="auto"/>
          <w:sz w:val="36"/>
          <w:szCs w:val="36"/>
          <w:u w:val="single"/>
          <w:lang w:val="en-US" w:eastAsia="zh-CN"/>
        </w:rPr>
        <w:t>5</w:t>
      </w:r>
      <w:r>
        <w:rPr>
          <w:rFonts w:hint="eastAsia" w:ascii="宋体" w:hAnsi="宋体" w:eastAsia="宋体" w:cs="宋体"/>
          <w:color w:val="auto"/>
          <w:sz w:val="36"/>
          <w:szCs w:val="36"/>
          <w:u w:val="single"/>
        </w:rPr>
        <w:t xml:space="preserve">月   </w:t>
      </w:r>
      <w:r>
        <w:rPr>
          <w:rFonts w:hint="eastAsia" w:ascii="宋体" w:hAnsi="宋体" w:eastAsia="宋体" w:cs="宋体"/>
          <w:color w:val="auto"/>
          <w:sz w:val="36"/>
          <w:szCs w:val="36"/>
          <w:u w:val="single"/>
          <w:lang w:val="en-US" w:eastAsia="zh-CN"/>
        </w:rPr>
        <w:t xml:space="preserve">      </w:t>
      </w:r>
      <w:r>
        <w:rPr>
          <w:rFonts w:hint="eastAsia" w:ascii="宋体" w:hAnsi="宋体" w:eastAsia="宋体" w:cs="宋体"/>
          <w:color w:val="auto"/>
          <w:sz w:val="36"/>
          <w:szCs w:val="36"/>
          <w:u w:val="single"/>
        </w:rPr>
        <w:t xml:space="preserve">        </w:t>
      </w:r>
      <w:r>
        <w:rPr>
          <w:rFonts w:hint="eastAsia" w:ascii="宋体" w:hAnsi="宋体" w:eastAsia="宋体" w:cs="宋体"/>
          <w:color w:val="auto"/>
          <w:sz w:val="36"/>
          <w:szCs w:val="36"/>
          <w:u w:val="single"/>
          <w:lang w:val="en-US" w:eastAsia="zh-CN"/>
        </w:rPr>
        <w:t xml:space="preserve"> </w:t>
      </w:r>
      <w:r>
        <w:rPr>
          <w:rFonts w:hint="eastAsia" w:ascii="宋体" w:hAnsi="宋体" w:eastAsia="宋体" w:cs="宋体"/>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none"/>
        </w:rPr>
        <w:t xml:space="preserve"> </w:t>
      </w:r>
      <w:r>
        <w:rPr>
          <w:rFonts w:hint="eastAsia" w:ascii="仿宋_GB2312" w:eastAsia="仿宋_GB2312"/>
          <w:color w:val="auto"/>
          <w:sz w:val="36"/>
          <w:szCs w:val="36"/>
        </w:rPr>
        <w:t xml:space="preserve"> </w:t>
      </w:r>
    </w:p>
    <w:p w14:paraId="0592C4D2">
      <w:pPr>
        <w:adjustRightInd w:val="0"/>
        <w:snapToGrid w:val="0"/>
        <w:spacing w:line="288" w:lineRule="auto"/>
        <w:ind w:firstLine="1040"/>
        <w:rPr>
          <w:rFonts w:hint="eastAsia" w:ascii="仿宋_GB2312" w:eastAsia="仿宋_GB2312"/>
          <w:color w:val="auto"/>
          <w:sz w:val="28"/>
          <w:szCs w:val="28"/>
          <w:u w:val="single"/>
        </w:rPr>
      </w:pPr>
    </w:p>
    <w:p w14:paraId="6B8DFFB4">
      <w:pPr>
        <w:adjustRightInd w:val="0"/>
        <w:snapToGrid w:val="0"/>
        <w:spacing w:line="288" w:lineRule="auto"/>
        <w:ind w:firstLine="1040"/>
        <w:rPr>
          <w:rFonts w:hint="eastAsia" w:ascii="仿宋_GB2312" w:eastAsia="仿宋_GB2312"/>
          <w:color w:val="auto"/>
          <w:sz w:val="36"/>
          <w:szCs w:val="36"/>
        </w:rPr>
      </w:pPr>
    </w:p>
    <w:p w14:paraId="3D17F2E6">
      <w:pPr>
        <w:adjustRightInd w:val="0"/>
        <w:snapToGrid w:val="0"/>
        <w:spacing w:line="288" w:lineRule="auto"/>
        <w:ind w:firstLine="1040"/>
        <w:rPr>
          <w:rFonts w:hint="eastAsia" w:ascii="仿宋_GB2312" w:eastAsia="仿宋_GB2312"/>
          <w:color w:val="auto"/>
          <w:sz w:val="28"/>
          <w:szCs w:val="28"/>
        </w:rPr>
      </w:pPr>
    </w:p>
    <w:p w14:paraId="0D833B41">
      <w:pPr>
        <w:adjustRightInd w:val="0"/>
        <w:snapToGrid w:val="0"/>
        <w:spacing w:line="288" w:lineRule="auto"/>
        <w:ind w:firstLine="1040"/>
        <w:rPr>
          <w:rFonts w:hint="eastAsia" w:ascii="仿宋_GB2312" w:eastAsia="仿宋_GB2312"/>
          <w:color w:val="auto"/>
          <w:sz w:val="36"/>
          <w:szCs w:val="36"/>
        </w:rPr>
      </w:pPr>
    </w:p>
    <w:bookmarkEnd w:id="1"/>
    <w:p w14:paraId="39BE5733">
      <w:pPr>
        <w:adjustRightInd w:val="0"/>
        <w:snapToGrid w:val="0"/>
        <w:spacing w:line="288" w:lineRule="auto"/>
        <w:jc w:val="center"/>
        <w:rPr>
          <w:rFonts w:hint="eastAsia" w:ascii="楷体_GB2312" w:eastAsia="楷体_GB2312"/>
          <w:color w:val="auto"/>
          <w:sz w:val="36"/>
          <w:szCs w:val="36"/>
        </w:rPr>
      </w:pPr>
      <w:bookmarkStart w:id="10" w:name="_GoBack"/>
      <w:bookmarkEnd w:id="10"/>
      <w:r>
        <w:rPr>
          <w:rFonts w:hint="eastAsia" w:ascii="楷体_GB2312" w:eastAsia="楷体_GB2312"/>
          <w:color w:val="auto"/>
          <w:sz w:val="36"/>
          <w:szCs w:val="36"/>
        </w:rPr>
        <w:t>中华人民共和国生态环境部制</w:t>
      </w:r>
    </w:p>
    <w:p w14:paraId="28EA9F98">
      <w:pPr>
        <w:adjustRightInd w:val="0"/>
        <w:snapToGrid w:val="0"/>
        <w:spacing w:line="288" w:lineRule="auto"/>
        <w:ind w:firstLine="1040"/>
        <w:rPr>
          <w:rFonts w:hint="eastAsia" w:ascii="仿宋_GB2312" w:eastAsia="仿宋_GB2312"/>
          <w:color w:val="auto"/>
          <w:sz w:val="36"/>
          <w:szCs w:val="36"/>
        </w:rPr>
      </w:pPr>
    </w:p>
    <w:p w14:paraId="3B25F7D6">
      <w:pPr>
        <w:adjustRightInd w:val="0"/>
        <w:snapToGrid w:val="0"/>
        <w:spacing w:line="288" w:lineRule="auto"/>
        <w:ind w:firstLine="1040"/>
        <w:rPr>
          <w:rFonts w:hint="eastAsia" w:ascii="仿宋_GB2312" w:eastAsia="仿宋_GB2312"/>
          <w:color w:val="auto"/>
          <w:sz w:val="36"/>
          <w:szCs w:val="36"/>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lnNumType w:countBy="0" w:distance="360"/>
          <w:pgNumType w:start="1"/>
          <w:cols w:space="720" w:num="1"/>
          <w:docGrid w:linePitch="312" w:charSpace="0"/>
        </w:sectPr>
      </w:pPr>
    </w:p>
    <w:p w14:paraId="7205BA04">
      <w:pPr>
        <w:widowControl/>
        <w:spacing w:beforeLines="0" w:afterLines="0" w:line="360" w:lineRule="auto"/>
        <w:jc w:val="center"/>
        <w:outlineLvl w:val="0"/>
        <w:rPr>
          <w:rFonts w:hint="eastAsia" w:ascii="黑体" w:hAnsi="黑体" w:eastAsia="黑体"/>
          <w:snapToGrid w:val="0"/>
          <w:color w:val="auto"/>
          <w:kern w:val="0"/>
          <w:sz w:val="30"/>
          <w:szCs w:val="30"/>
        </w:rPr>
      </w:pPr>
      <w:r>
        <w:rPr>
          <w:rFonts w:hint="eastAsia" w:ascii="黑体" w:hAnsi="黑体" w:eastAsia="黑体"/>
          <w:snapToGrid w:val="0"/>
          <w:color w:val="auto"/>
          <w:kern w:val="0"/>
          <w:sz w:val="30"/>
          <w:szCs w:val="30"/>
        </w:rPr>
        <w:t>一、建设项目基本情况</w:t>
      </w:r>
    </w:p>
    <w:tbl>
      <w:tblPr>
        <w:tblStyle w:val="21"/>
        <w:tblW w:w="53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06"/>
        <w:gridCol w:w="2077"/>
        <w:gridCol w:w="1988"/>
        <w:gridCol w:w="3219"/>
      </w:tblGrid>
      <w:tr w14:paraId="34129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8"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689E9015">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建设项目名称</w:t>
            </w:r>
          </w:p>
        </w:tc>
        <w:tc>
          <w:tcPr>
            <w:tcW w:w="4096" w:type="pct"/>
            <w:gridSpan w:val="3"/>
            <w:tcBorders>
              <w:top w:val="single" w:color="auto" w:sz="8" w:space="0"/>
              <w:left w:val="single" w:color="auto" w:sz="4" w:space="0"/>
              <w:bottom w:val="single" w:color="auto" w:sz="4" w:space="0"/>
              <w:right w:val="single" w:color="auto" w:sz="8" w:space="0"/>
              <w:tl2br w:val="nil"/>
              <w:tr2bl w:val="nil"/>
            </w:tcBorders>
            <w:noWrap w:val="0"/>
            <w:vAlign w:val="center"/>
          </w:tcPr>
          <w:p w14:paraId="6EFFB7E1">
            <w:pPr>
              <w:adjustRightInd w:val="0"/>
              <w:snapToGrid w:val="0"/>
              <w:spacing w:beforeLines="0" w:afterLines="0"/>
              <w:jc w:val="center"/>
              <w:rPr>
                <w:rFonts w:hint="eastAsia"/>
                <w:color w:val="auto"/>
                <w:sz w:val="21"/>
                <w:szCs w:val="21"/>
              </w:rPr>
            </w:pPr>
            <w:r>
              <w:rPr>
                <w:rFonts w:hint="eastAsia" w:ascii="宋体" w:eastAsia="宋体"/>
                <w:color w:val="auto"/>
                <w:sz w:val="24"/>
                <w:szCs w:val="24"/>
              </w:rPr>
              <w:t>江西鑫润绿色循环发展有限公司再生塑料颗粒技术改造</w:t>
            </w:r>
            <w:r>
              <w:rPr>
                <w:rFonts w:hint="eastAsia" w:ascii="宋体" w:eastAsia="宋体"/>
                <w:color w:val="auto"/>
                <w:sz w:val="24"/>
                <w:szCs w:val="24"/>
                <w:lang w:val="en-US" w:eastAsia="zh-CN"/>
              </w:rPr>
              <w:t>项目</w:t>
            </w:r>
            <w:r>
              <w:rPr>
                <w:rFonts w:hint="eastAsia" w:ascii="宋体" w:eastAsia="宋体"/>
                <w:color w:val="auto"/>
                <w:sz w:val="24"/>
                <w:szCs w:val="24"/>
              </w:rPr>
              <w:t xml:space="preserve"> </w:t>
            </w:r>
          </w:p>
        </w:tc>
      </w:tr>
      <w:tr w14:paraId="6198C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7DFEA9B7">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项目代码</w:t>
            </w:r>
          </w:p>
        </w:tc>
        <w:tc>
          <w:tcPr>
            <w:tcW w:w="4096" w:type="pct"/>
            <w:gridSpan w:val="3"/>
            <w:tcBorders>
              <w:top w:val="single" w:color="auto" w:sz="4" w:space="0"/>
              <w:left w:val="single" w:color="auto" w:sz="4" w:space="0"/>
              <w:bottom w:val="single" w:color="auto" w:sz="4" w:space="0"/>
              <w:right w:val="single" w:color="auto" w:sz="8" w:space="0"/>
              <w:tl2br w:val="nil"/>
              <w:tr2bl w:val="nil"/>
            </w:tcBorders>
            <w:noWrap w:val="0"/>
            <w:vAlign w:val="center"/>
          </w:tcPr>
          <w:p w14:paraId="76BF9D27">
            <w:pPr>
              <w:adjustRightInd w:val="0"/>
              <w:snapToGrid w:val="0"/>
              <w:spacing w:beforeLines="0" w:afterLines="0"/>
              <w:jc w:val="center"/>
              <w:rPr>
                <w:rFonts w:hint="eastAsia"/>
                <w:color w:val="auto"/>
                <w:sz w:val="21"/>
                <w:szCs w:val="21"/>
              </w:rPr>
            </w:pPr>
            <w:r>
              <w:rPr>
                <w:rFonts w:hint="eastAsia"/>
                <w:color w:val="auto"/>
                <w:sz w:val="24"/>
                <w:szCs w:val="24"/>
              </w:rPr>
              <w:t xml:space="preserve">2504-360425-07-02-131469 </w:t>
            </w:r>
          </w:p>
        </w:tc>
      </w:tr>
      <w:tr w14:paraId="7316B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74E1FB57">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建设单位联系人</w:t>
            </w:r>
          </w:p>
        </w:tc>
        <w:tc>
          <w:tcPr>
            <w:tcW w:w="11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F4BDF2">
            <w:pPr>
              <w:adjustRightInd w:val="0"/>
              <w:snapToGrid w:val="0"/>
              <w:spacing w:beforeLines="0" w:afterLines="0"/>
              <w:jc w:val="center"/>
              <w:rPr>
                <w:rFonts w:hint="eastAsia"/>
                <w:color w:val="auto"/>
                <w:sz w:val="24"/>
                <w:szCs w:val="24"/>
              </w:rPr>
            </w:pPr>
            <w:r>
              <w:rPr>
                <w:rFonts w:hint="eastAsia" w:ascii="宋体" w:eastAsia="宋体"/>
                <w:color w:val="auto"/>
                <w:sz w:val="24"/>
                <w:szCs w:val="24"/>
                <w:lang w:val="en-US" w:eastAsia="zh-CN"/>
              </w:rPr>
              <w:t>宋吉友</w:t>
            </w:r>
            <w:r>
              <w:rPr>
                <w:rFonts w:hint="eastAsia" w:ascii="宋体" w:eastAsia="宋体"/>
                <w:color w:val="auto"/>
                <w:sz w:val="24"/>
                <w:szCs w:val="24"/>
              </w:rPr>
              <w:t xml:space="preserve">  </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D77758">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联系方式</w:t>
            </w:r>
          </w:p>
        </w:tc>
        <w:tc>
          <w:tcPr>
            <w:tcW w:w="1810" w:type="pct"/>
            <w:tcBorders>
              <w:top w:val="single" w:color="auto" w:sz="4" w:space="0"/>
              <w:left w:val="single" w:color="auto" w:sz="4" w:space="0"/>
              <w:bottom w:val="single" w:color="auto" w:sz="4" w:space="0"/>
              <w:right w:val="single" w:color="auto" w:sz="8" w:space="0"/>
              <w:tl2br w:val="nil"/>
              <w:tr2bl w:val="nil"/>
            </w:tcBorders>
            <w:noWrap w:val="0"/>
            <w:vAlign w:val="center"/>
          </w:tcPr>
          <w:p w14:paraId="4BFA07F5">
            <w:pPr>
              <w:adjustRightInd w:val="0"/>
              <w:snapToGrid w:val="0"/>
              <w:spacing w:beforeLines="0" w:afterLines="0"/>
              <w:jc w:val="center"/>
              <w:rPr>
                <w:rFonts w:hint="default" w:eastAsia="宋体"/>
                <w:color w:val="auto"/>
                <w:sz w:val="24"/>
                <w:szCs w:val="24"/>
                <w:lang w:val="en-US" w:eastAsia="zh-CN"/>
              </w:rPr>
            </w:pPr>
            <w:r>
              <w:rPr>
                <w:rFonts w:hint="eastAsia" w:eastAsia="宋体"/>
                <w:color w:val="auto"/>
                <w:sz w:val="24"/>
                <w:szCs w:val="24"/>
                <w:lang w:val="en-US" w:eastAsia="zh-CN"/>
              </w:rPr>
              <w:t>15270284788</w:t>
            </w:r>
          </w:p>
        </w:tc>
      </w:tr>
      <w:tr w14:paraId="3BEBE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01700076">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建设地点</w:t>
            </w:r>
          </w:p>
        </w:tc>
        <w:tc>
          <w:tcPr>
            <w:tcW w:w="4096" w:type="pct"/>
            <w:gridSpan w:val="3"/>
            <w:tcBorders>
              <w:top w:val="single" w:color="auto" w:sz="4" w:space="0"/>
              <w:left w:val="single" w:color="auto" w:sz="4" w:space="0"/>
              <w:bottom w:val="single" w:color="auto" w:sz="4" w:space="0"/>
              <w:right w:val="single" w:color="auto" w:sz="8" w:space="0"/>
              <w:tl2br w:val="nil"/>
              <w:tr2bl w:val="nil"/>
            </w:tcBorders>
            <w:noWrap w:val="0"/>
            <w:vAlign w:val="center"/>
          </w:tcPr>
          <w:p w14:paraId="56794935">
            <w:pPr>
              <w:spacing w:beforeLines="0" w:afterLines="0"/>
              <w:jc w:val="center"/>
              <w:rPr>
                <w:rFonts w:hint="eastAsia" w:eastAsia="宋体"/>
                <w:color w:val="auto"/>
                <w:sz w:val="24"/>
                <w:szCs w:val="24"/>
                <w:lang w:val="en-US" w:eastAsia="zh-CN"/>
              </w:rPr>
            </w:pPr>
            <w:r>
              <w:rPr>
                <w:rFonts w:hint="eastAsia" w:eastAsia="宋体"/>
                <w:color w:val="auto"/>
                <w:sz w:val="24"/>
                <w:szCs w:val="24"/>
                <w:lang w:val="en-US" w:eastAsia="zh-CN"/>
              </w:rPr>
              <w:t>江西省九江市永修县云山经济开发区云山工业园荣祺大道南侧</w:t>
            </w:r>
          </w:p>
        </w:tc>
      </w:tr>
      <w:tr w14:paraId="50249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3A5A75A5">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地理坐标</w:t>
            </w:r>
          </w:p>
        </w:tc>
        <w:tc>
          <w:tcPr>
            <w:tcW w:w="4096" w:type="pct"/>
            <w:gridSpan w:val="3"/>
            <w:tcBorders>
              <w:top w:val="single" w:color="auto" w:sz="4" w:space="0"/>
              <w:left w:val="single" w:color="auto" w:sz="4" w:space="0"/>
              <w:bottom w:val="single" w:color="auto" w:sz="4" w:space="0"/>
              <w:right w:val="single" w:color="auto" w:sz="8" w:space="0"/>
              <w:tl2br w:val="nil"/>
              <w:tr2bl w:val="nil"/>
            </w:tcBorders>
            <w:noWrap w:val="0"/>
            <w:vAlign w:val="center"/>
          </w:tcPr>
          <w:p w14:paraId="4DEBA19F">
            <w:pPr>
              <w:spacing w:beforeLines="0" w:afterLines="0"/>
              <w:jc w:val="center"/>
              <w:rPr>
                <w:rFonts w:hint="eastAsia"/>
                <w:color w:val="auto"/>
                <w:sz w:val="24"/>
                <w:szCs w:val="24"/>
              </w:rPr>
            </w:pPr>
            <w:r>
              <w:rPr>
                <w:rFonts w:hint="eastAsia" w:ascii="宋体" w:eastAsia="宋体"/>
                <w:color w:val="auto"/>
                <w:sz w:val="24"/>
                <w:szCs w:val="24"/>
              </w:rPr>
              <w:t>（</w:t>
            </w:r>
            <w:r>
              <w:rPr>
                <w:rFonts w:hint="eastAsia" w:ascii="宋体" w:eastAsia="宋体"/>
                <w:color w:val="auto"/>
                <w:sz w:val="24"/>
                <w:szCs w:val="24"/>
                <w:lang w:eastAsia="zh-CN"/>
              </w:rPr>
              <w:t>东经</w:t>
            </w:r>
            <w:r>
              <w:rPr>
                <w:rFonts w:hint="eastAsia" w:ascii="宋体" w:eastAsia="宋体"/>
                <w:color w:val="auto"/>
                <w:sz w:val="24"/>
                <w:szCs w:val="24"/>
              </w:rPr>
              <w:t>115度4</w:t>
            </w:r>
            <w:r>
              <w:rPr>
                <w:rFonts w:hint="eastAsia" w:ascii="宋体" w:eastAsia="宋体"/>
                <w:color w:val="auto"/>
                <w:sz w:val="24"/>
                <w:szCs w:val="24"/>
                <w:lang w:val="en-US" w:eastAsia="zh-CN"/>
              </w:rPr>
              <w:t>5</w:t>
            </w:r>
            <w:r>
              <w:rPr>
                <w:rFonts w:hint="eastAsia" w:ascii="宋体" w:eastAsia="宋体"/>
                <w:color w:val="auto"/>
                <w:sz w:val="24"/>
                <w:szCs w:val="24"/>
              </w:rPr>
              <w:t>分</w:t>
            </w:r>
            <w:r>
              <w:rPr>
                <w:rFonts w:hint="eastAsia" w:ascii="宋体" w:eastAsia="宋体"/>
                <w:color w:val="auto"/>
                <w:sz w:val="24"/>
                <w:szCs w:val="24"/>
                <w:lang w:val="en-US" w:eastAsia="zh-CN"/>
              </w:rPr>
              <w:t>13.520</w:t>
            </w:r>
            <w:r>
              <w:rPr>
                <w:rFonts w:hint="eastAsia" w:ascii="宋体" w:eastAsia="宋体"/>
                <w:color w:val="auto"/>
                <w:sz w:val="24"/>
                <w:szCs w:val="24"/>
              </w:rPr>
              <w:t>秒，</w:t>
            </w:r>
            <w:r>
              <w:rPr>
                <w:rFonts w:hint="eastAsia" w:ascii="宋体" w:eastAsia="宋体"/>
                <w:color w:val="auto"/>
                <w:sz w:val="24"/>
                <w:szCs w:val="24"/>
                <w:lang w:eastAsia="zh-CN"/>
              </w:rPr>
              <w:t>北纬</w:t>
            </w:r>
            <w:r>
              <w:rPr>
                <w:rFonts w:hint="eastAsia" w:ascii="宋体" w:eastAsia="宋体"/>
                <w:color w:val="auto"/>
                <w:sz w:val="24"/>
                <w:szCs w:val="24"/>
              </w:rPr>
              <w:t>29度</w:t>
            </w:r>
            <w:r>
              <w:rPr>
                <w:rFonts w:hint="eastAsia" w:ascii="宋体" w:eastAsia="宋体"/>
                <w:color w:val="auto"/>
                <w:sz w:val="24"/>
                <w:szCs w:val="24"/>
                <w:lang w:val="en-US" w:eastAsia="zh-CN"/>
              </w:rPr>
              <w:t>7</w:t>
            </w:r>
            <w:r>
              <w:rPr>
                <w:rFonts w:hint="eastAsia" w:ascii="宋体" w:eastAsia="宋体"/>
                <w:color w:val="auto"/>
                <w:sz w:val="24"/>
                <w:szCs w:val="24"/>
              </w:rPr>
              <w:t>分</w:t>
            </w:r>
            <w:r>
              <w:rPr>
                <w:rFonts w:hint="eastAsia" w:ascii="宋体" w:eastAsia="宋体"/>
                <w:color w:val="auto"/>
                <w:sz w:val="24"/>
                <w:szCs w:val="24"/>
                <w:lang w:val="en-US" w:eastAsia="zh-CN"/>
              </w:rPr>
              <w:t>59.248</w:t>
            </w:r>
            <w:r>
              <w:rPr>
                <w:rFonts w:hint="eastAsia" w:ascii="宋体" w:eastAsia="宋体"/>
                <w:color w:val="auto"/>
                <w:sz w:val="24"/>
                <w:szCs w:val="24"/>
              </w:rPr>
              <w:t>秒）</w:t>
            </w:r>
          </w:p>
        </w:tc>
      </w:tr>
      <w:tr w14:paraId="4BFDC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2B9FCCA8">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国民经济</w:t>
            </w:r>
          </w:p>
          <w:p w14:paraId="4D494306">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行业类别</w:t>
            </w:r>
          </w:p>
        </w:tc>
        <w:tc>
          <w:tcPr>
            <w:tcW w:w="11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C0A149">
            <w:pPr>
              <w:keepNext w:val="0"/>
              <w:keepLines w:val="0"/>
              <w:pageBreakBefore w:val="0"/>
              <w:widowControl w:val="0"/>
              <w:kinsoku/>
              <w:wordWrap/>
              <w:overflowPunct/>
              <w:topLinePunct w:val="0"/>
              <w:bidi w:val="0"/>
              <w:adjustRightInd w:val="0"/>
              <w:snapToGrid w:val="0"/>
              <w:spacing w:beforeLines="0" w:afterLines="0" w:line="360" w:lineRule="auto"/>
              <w:jc w:val="center"/>
              <w:textAlignment w:val="auto"/>
              <w:rPr>
                <w:rFonts w:hint="eastAsia"/>
                <w:color w:val="auto"/>
              </w:rPr>
            </w:pPr>
            <w:r>
              <w:rPr>
                <w:rFonts w:hint="eastAsia"/>
                <w:color w:val="auto"/>
              </w:rPr>
              <w:t>C4220非金属废料和碎屑加工处理</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DCC60D">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建设项目</w:t>
            </w:r>
          </w:p>
          <w:p w14:paraId="0A8B451C">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行业类别</w:t>
            </w:r>
          </w:p>
        </w:tc>
        <w:tc>
          <w:tcPr>
            <w:tcW w:w="1810" w:type="pct"/>
            <w:tcBorders>
              <w:top w:val="single" w:color="auto" w:sz="4" w:space="0"/>
              <w:left w:val="single" w:color="auto" w:sz="4" w:space="0"/>
              <w:bottom w:val="single" w:color="auto" w:sz="4" w:space="0"/>
              <w:right w:val="single" w:color="auto" w:sz="8" w:space="0"/>
              <w:tl2br w:val="nil"/>
              <w:tr2bl w:val="nil"/>
            </w:tcBorders>
            <w:noWrap w:val="0"/>
            <w:vAlign w:val="center"/>
          </w:tcPr>
          <w:p w14:paraId="6C69FC7E">
            <w:pPr>
              <w:pStyle w:val="30"/>
              <w:numPr>
                <w:ilvl w:val="0"/>
                <w:numId w:val="0"/>
              </w:numPr>
              <w:spacing w:beforeLines="0" w:afterLines="0"/>
              <w:jc w:val="both"/>
              <w:rPr>
                <w:rFonts w:hint="default" w:ascii="宋体" w:eastAsia="宋体" w:cs="Times New Roman"/>
                <w:color w:val="auto"/>
                <w:sz w:val="21"/>
                <w:szCs w:val="21"/>
                <w:lang w:val="en-US" w:eastAsia="zh-CN"/>
              </w:rPr>
            </w:pPr>
            <w:r>
              <w:rPr>
                <w:rFonts w:hint="eastAsia" w:cs="Times New Roman"/>
                <w:color w:val="auto"/>
                <w:sz w:val="21"/>
                <w:szCs w:val="21"/>
                <w:lang w:val="en-US" w:eastAsia="zh-CN"/>
              </w:rPr>
              <w:t>三十九、废弃资源综合利用42-85中“非金属废料和碎屑加工处理422（421 和422均不含原料为危险废物的，均不含仅分拣、破碎的）”</w:t>
            </w:r>
          </w:p>
        </w:tc>
      </w:tr>
      <w:tr w14:paraId="23598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6B0272E8">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建设性质</w:t>
            </w:r>
          </w:p>
        </w:tc>
        <w:tc>
          <w:tcPr>
            <w:tcW w:w="11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119924">
            <w:pPr>
              <w:spacing w:beforeLines="0" w:afterLines="0"/>
              <w:jc w:val="left"/>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00A3"/>
            </w:r>
            <w:r>
              <w:rPr>
                <w:rFonts w:hint="eastAsia" w:ascii="宋体" w:hAnsi="宋体" w:eastAsia="宋体" w:cs="宋体"/>
                <w:color w:val="auto"/>
                <w:sz w:val="21"/>
                <w:szCs w:val="21"/>
              </w:rPr>
              <w:t>新建（迁建）</w:t>
            </w:r>
          </w:p>
          <w:p w14:paraId="5D986731">
            <w:pPr>
              <w:spacing w:beforeLines="0" w:afterLine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改建</w:t>
            </w:r>
          </w:p>
          <w:p w14:paraId="7746A2AF">
            <w:pPr>
              <w:spacing w:beforeLines="0" w:afterLine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扩建</w:t>
            </w:r>
          </w:p>
          <w:p w14:paraId="18E55747">
            <w:pPr>
              <w:spacing w:beforeLines="0" w:afterLines="0"/>
              <w:jc w:val="left"/>
              <w:rPr>
                <w:rFonts w:hint="eastAsia"/>
                <w:color w:val="auto"/>
                <w:sz w:val="21"/>
                <w:szCs w:val="21"/>
              </w:rPr>
            </w:pPr>
            <w:r>
              <w:rPr>
                <w:rFonts w:hint="eastAsia" w:ascii="宋体" w:hAnsi="宋体" w:eastAsia="宋体" w:cs="宋体"/>
                <w:color w:val="auto"/>
                <w:sz w:val="21"/>
                <w:szCs w:val="21"/>
              </w:rPr>
              <w:t>□技术改造</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4D8C54">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建设项目</w:t>
            </w:r>
          </w:p>
          <w:p w14:paraId="107D8C01">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申报情形</w:t>
            </w:r>
          </w:p>
        </w:tc>
        <w:tc>
          <w:tcPr>
            <w:tcW w:w="1810" w:type="pct"/>
            <w:tcBorders>
              <w:top w:val="single" w:color="auto" w:sz="4" w:space="0"/>
              <w:left w:val="single" w:color="auto" w:sz="4" w:space="0"/>
              <w:bottom w:val="single" w:color="auto" w:sz="4" w:space="0"/>
              <w:right w:val="single" w:color="auto" w:sz="8" w:space="0"/>
              <w:tl2br w:val="nil"/>
              <w:tr2bl w:val="nil"/>
            </w:tcBorders>
            <w:noWrap w:val="0"/>
            <w:vAlign w:val="center"/>
          </w:tcPr>
          <w:p w14:paraId="0DC02BB5">
            <w:pPr>
              <w:spacing w:beforeLines="0" w:afterLines="0"/>
              <w:jc w:val="left"/>
              <w:rPr>
                <w:rFonts w:hint="eastAsia"/>
                <w:color w:val="auto"/>
                <w:sz w:val="21"/>
                <w:szCs w:val="21"/>
              </w:rPr>
            </w:pPr>
            <w:r>
              <w:rPr>
                <w:rFonts w:hint="eastAsia"/>
                <w:color w:val="auto"/>
                <w:sz w:val="21"/>
                <w:szCs w:val="21"/>
              </w:rPr>
              <w:sym w:font="Wingdings 2" w:char="0052"/>
            </w:r>
            <w:r>
              <w:rPr>
                <w:rFonts w:hint="eastAsia" w:ascii="宋体" w:eastAsia="宋体"/>
                <w:color w:val="auto"/>
                <w:sz w:val="21"/>
                <w:szCs w:val="21"/>
              </w:rPr>
              <w:t xml:space="preserve">首次申报项目             </w:t>
            </w:r>
          </w:p>
          <w:p w14:paraId="1C14A3F2">
            <w:pPr>
              <w:spacing w:beforeLines="0" w:afterLines="0"/>
              <w:jc w:val="left"/>
              <w:rPr>
                <w:rFonts w:hint="eastAsia"/>
                <w:color w:val="auto"/>
                <w:sz w:val="21"/>
                <w:szCs w:val="21"/>
              </w:rPr>
            </w:pPr>
            <w:r>
              <w:rPr>
                <w:rFonts w:hint="eastAsia" w:ascii="宋体" w:hAnsi="宋体" w:eastAsia="宋体" w:cs="宋体"/>
                <w:color w:val="auto"/>
                <w:sz w:val="21"/>
                <w:szCs w:val="21"/>
              </w:rPr>
              <w:t>□</w:t>
            </w:r>
            <w:r>
              <w:rPr>
                <w:rFonts w:hint="eastAsia" w:ascii="宋体" w:eastAsia="宋体"/>
                <w:color w:val="auto"/>
                <w:sz w:val="21"/>
                <w:szCs w:val="21"/>
              </w:rPr>
              <w:t>不予批准后再次申报项目</w:t>
            </w:r>
          </w:p>
          <w:p w14:paraId="3D4FAD6E">
            <w:pPr>
              <w:spacing w:beforeLines="0" w:afterLines="0"/>
              <w:jc w:val="left"/>
              <w:rPr>
                <w:rFonts w:hint="eastAsia"/>
                <w:color w:val="auto"/>
                <w:sz w:val="21"/>
                <w:szCs w:val="21"/>
              </w:rPr>
            </w:pPr>
            <w:r>
              <w:rPr>
                <w:rFonts w:hint="eastAsia" w:ascii="宋体" w:hAnsi="宋体" w:eastAsia="宋体" w:cs="宋体"/>
                <w:color w:val="auto"/>
                <w:sz w:val="21"/>
                <w:szCs w:val="21"/>
              </w:rPr>
              <w:t>□</w:t>
            </w:r>
            <w:r>
              <w:rPr>
                <w:rFonts w:hint="eastAsia" w:ascii="宋体" w:eastAsia="宋体"/>
                <w:color w:val="auto"/>
                <w:sz w:val="21"/>
                <w:szCs w:val="21"/>
              </w:rPr>
              <w:t xml:space="preserve">超五年重新审核项目     </w:t>
            </w:r>
          </w:p>
          <w:p w14:paraId="5C4F4854">
            <w:pPr>
              <w:spacing w:beforeLines="0" w:afterLines="0"/>
              <w:jc w:val="left"/>
              <w:rPr>
                <w:rFonts w:hint="eastAsia"/>
                <w:color w:val="auto"/>
                <w:sz w:val="21"/>
                <w:szCs w:val="21"/>
              </w:rPr>
            </w:pPr>
            <w:r>
              <w:rPr>
                <w:rFonts w:hint="eastAsia" w:ascii="宋体" w:hAnsi="宋体" w:eastAsia="宋体" w:cs="宋体"/>
                <w:color w:val="auto"/>
                <w:sz w:val="21"/>
                <w:szCs w:val="21"/>
                <w:lang w:eastAsia="zh-CN"/>
              </w:rPr>
              <w:t>□</w:t>
            </w:r>
            <w:r>
              <w:rPr>
                <w:rFonts w:hint="eastAsia" w:ascii="宋体" w:eastAsia="宋体"/>
                <w:color w:val="auto"/>
                <w:sz w:val="21"/>
                <w:szCs w:val="21"/>
              </w:rPr>
              <w:t>重大变动重新报批项目</w:t>
            </w:r>
          </w:p>
        </w:tc>
      </w:tr>
      <w:tr w14:paraId="19682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2162D4B7">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项目审批（核准/备案）部门</w:t>
            </w:r>
          </w:p>
        </w:tc>
        <w:tc>
          <w:tcPr>
            <w:tcW w:w="11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AF89F7">
            <w:pPr>
              <w:adjustRightInd w:val="0"/>
              <w:snapToGrid w:val="0"/>
              <w:spacing w:beforeLines="0" w:afterLines="0"/>
              <w:jc w:val="center"/>
              <w:rPr>
                <w:rFonts w:hint="eastAsia" w:eastAsia="宋体"/>
                <w:color w:val="auto"/>
                <w:sz w:val="21"/>
                <w:szCs w:val="24"/>
                <w:lang w:val="en-US" w:eastAsia="zh-CN"/>
              </w:rPr>
            </w:pPr>
            <w:r>
              <w:rPr>
                <w:rFonts w:hint="eastAsia" w:eastAsia="宋体"/>
                <w:color w:val="auto"/>
                <w:sz w:val="21"/>
                <w:szCs w:val="24"/>
                <w:lang w:val="en-US" w:eastAsia="zh-CN"/>
              </w:rPr>
              <w:t>永修县行政审批局</w:t>
            </w:r>
          </w:p>
        </w:tc>
        <w:tc>
          <w:tcPr>
            <w:tcW w:w="111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C37BC1">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项目审批（核准/</w:t>
            </w:r>
          </w:p>
          <w:p w14:paraId="01F887EA">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备案）文号</w:t>
            </w:r>
          </w:p>
        </w:tc>
        <w:tc>
          <w:tcPr>
            <w:tcW w:w="1810" w:type="pct"/>
            <w:tcBorders>
              <w:top w:val="single" w:color="auto" w:sz="4" w:space="0"/>
              <w:left w:val="single" w:color="auto" w:sz="4" w:space="0"/>
              <w:bottom w:val="single" w:color="auto" w:sz="4" w:space="0"/>
              <w:right w:val="single" w:color="auto" w:sz="8" w:space="0"/>
              <w:tl2br w:val="nil"/>
              <w:tr2bl w:val="nil"/>
            </w:tcBorders>
            <w:noWrap w:val="0"/>
            <w:vAlign w:val="center"/>
          </w:tcPr>
          <w:p w14:paraId="4E577117">
            <w:pPr>
              <w:adjustRightInd w:val="0"/>
              <w:snapToGrid w:val="0"/>
              <w:spacing w:beforeLines="0" w:afterLines="0"/>
              <w:jc w:val="center"/>
              <w:rPr>
                <w:rFonts w:hint="eastAsia"/>
                <w:color w:val="auto"/>
                <w:sz w:val="21"/>
                <w:szCs w:val="21"/>
              </w:rPr>
            </w:pPr>
            <w:r>
              <w:rPr>
                <w:rFonts w:hint="eastAsia"/>
                <w:color w:val="auto"/>
                <w:sz w:val="24"/>
                <w:szCs w:val="24"/>
              </w:rPr>
              <w:t>2504-360425-07-02-131469</w:t>
            </w:r>
          </w:p>
        </w:tc>
      </w:tr>
      <w:tr w14:paraId="790EF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15EEDD9A">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总投资（万元）</w:t>
            </w:r>
          </w:p>
        </w:tc>
        <w:tc>
          <w:tcPr>
            <w:tcW w:w="11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8E353D">
            <w:pPr>
              <w:adjustRightInd w:val="0"/>
              <w:snapToGrid w:val="0"/>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1200</w:t>
            </w:r>
          </w:p>
        </w:tc>
        <w:tc>
          <w:tcPr>
            <w:tcW w:w="1118" w:type="pct"/>
            <w:tcBorders>
              <w:top w:val="single" w:color="auto" w:sz="4" w:space="0"/>
              <w:left w:val="single" w:color="auto" w:sz="4" w:space="0"/>
              <w:bottom w:val="single" w:color="auto" w:sz="4" w:space="0"/>
              <w:right w:val="single" w:color="auto" w:sz="4" w:space="0"/>
              <w:tl2br w:val="nil"/>
              <w:tr2bl w:val="nil"/>
            </w:tcBorders>
            <w:noWrap w:val="0"/>
            <w:tcMar>
              <w:top w:w="16" w:type="dxa"/>
              <w:left w:w="16" w:type="dxa"/>
              <w:right w:w="16" w:type="dxa"/>
            </w:tcMar>
            <w:vAlign w:val="center"/>
          </w:tcPr>
          <w:p w14:paraId="5D426A86">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环保投资（万元）</w:t>
            </w:r>
          </w:p>
        </w:tc>
        <w:tc>
          <w:tcPr>
            <w:tcW w:w="1810" w:type="pct"/>
            <w:tcBorders>
              <w:top w:val="single" w:color="auto" w:sz="4" w:space="0"/>
              <w:left w:val="single" w:color="auto" w:sz="4" w:space="0"/>
              <w:bottom w:val="single" w:color="auto" w:sz="4" w:space="0"/>
              <w:right w:val="single" w:color="auto" w:sz="8" w:space="0"/>
              <w:tl2br w:val="nil"/>
              <w:tr2bl w:val="nil"/>
            </w:tcBorders>
            <w:noWrap w:val="0"/>
            <w:vAlign w:val="center"/>
          </w:tcPr>
          <w:p w14:paraId="6F02834B">
            <w:pPr>
              <w:adjustRightInd w:val="0"/>
              <w:snapToGrid w:val="0"/>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10</w:t>
            </w:r>
          </w:p>
        </w:tc>
      </w:tr>
      <w:tr w14:paraId="1A874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1DE18ACD">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环保投资占比（%）</w:t>
            </w:r>
          </w:p>
        </w:tc>
        <w:tc>
          <w:tcPr>
            <w:tcW w:w="11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4A55C0">
            <w:pPr>
              <w:adjustRightInd w:val="0"/>
              <w:snapToGrid w:val="0"/>
              <w:spacing w:beforeLines="0" w:afterLines="0"/>
              <w:jc w:val="center"/>
              <w:rPr>
                <w:rFonts w:hint="default" w:eastAsia="宋体"/>
                <w:color w:val="auto"/>
                <w:sz w:val="21"/>
                <w:szCs w:val="21"/>
                <w:lang w:val="en-US" w:eastAsia="zh-CN"/>
              </w:rPr>
            </w:pPr>
            <w:r>
              <w:rPr>
                <w:rFonts w:hint="eastAsia" w:ascii="宋体" w:hAnsi="宋体" w:eastAsia="宋体" w:cs="宋体"/>
                <w:color w:val="auto"/>
                <w:spacing w:val="-6"/>
                <w:sz w:val="24"/>
                <w:szCs w:val="24"/>
                <w:lang w:val="en-US" w:bidi="zh-CN"/>
              </w:rPr>
              <w:t>0.83</w:t>
            </w:r>
          </w:p>
        </w:tc>
        <w:tc>
          <w:tcPr>
            <w:tcW w:w="1118" w:type="pct"/>
            <w:tcBorders>
              <w:top w:val="single" w:color="auto" w:sz="4" w:space="0"/>
              <w:left w:val="single" w:color="auto" w:sz="4" w:space="0"/>
              <w:bottom w:val="single" w:color="auto" w:sz="4" w:space="0"/>
              <w:right w:val="single" w:color="auto" w:sz="4" w:space="0"/>
              <w:tl2br w:val="nil"/>
              <w:tr2bl w:val="nil"/>
            </w:tcBorders>
            <w:noWrap w:val="0"/>
            <w:tcMar>
              <w:top w:w="16" w:type="dxa"/>
              <w:left w:w="16" w:type="dxa"/>
              <w:right w:w="16" w:type="dxa"/>
            </w:tcMar>
            <w:vAlign w:val="center"/>
          </w:tcPr>
          <w:p w14:paraId="6216A15B">
            <w:pPr>
              <w:adjustRightInd w:val="0"/>
              <w:snapToGrid w:val="0"/>
              <w:spacing w:beforeLines="0" w:afterLines="0"/>
              <w:jc w:val="center"/>
              <w:rPr>
                <w:rFonts w:hint="eastAsia" w:ascii="宋体" w:eastAsia="宋体"/>
                <w:color w:val="auto"/>
                <w:sz w:val="24"/>
                <w:szCs w:val="24"/>
              </w:rPr>
            </w:pPr>
            <w:r>
              <w:rPr>
                <w:rFonts w:hint="eastAsia" w:ascii="宋体" w:eastAsia="宋体"/>
                <w:color w:val="auto"/>
                <w:sz w:val="24"/>
                <w:szCs w:val="24"/>
              </w:rPr>
              <w:t>施工工期（月）</w:t>
            </w:r>
          </w:p>
        </w:tc>
        <w:tc>
          <w:tcPr>
            <w:tcW w:w="1810" w:type="pct"/>
            <w:tcBorders>
              <w:top w:val="single" w:color="auto" w:sz="4" w:space="0"/>
              <w:left w:val="single" w:color="auto" w:sz="4" w:space="0"/>
              <w:bottom w:val="single" w:color="auto" w:sz="4" w:space="0"/>
              <w:right w:val="single" w:color="auto" w:sz="8" w:space="0"/>
              <w:tl2br w:val="nil"/>
              <w:tr2bl w:val="nil"/>
            </w:tcBorders>
            <w:noWrap w:val="0"/>
            <w:vAlign w:val="center"/>
          </w:tcPr>
          <w:p w14:paraId="74040C82">
            <w:pPr>
              <w:adjustRightInd w:val="0"/>
              <w:snapToGrid w:val="0"/>
              <w:spacing w:beforeLines="0" w:afterLines="0"/>
              <w:jc w:val="center"/>
              <w:rPr>
                <w:rFonts w:hint="eastAsia"/>
                <w:color w:val="auto"/>
                <w:sz w:val="21"/>
                <w:szCs w:val="21"/>
              </w:rPr>
            </w:pPr>
            <w:r>
              <w:rPr>
                <w:rFonts w:hint="eastAsia" w:ascii="宋体" w:eastAsia="宋体"/>
                <w:color w:val="auto"/>
                <w:sz w:val="21"/>
                <w:szCs w:val="21"/>
                <w:lang w:val="en-US" w:eastAsia="zh-CN"/>
              </w:rPr>
              <w:t>3</w:t>
            </w:r>
            <w:r>
              <w:rPr>
                <w:rFonts w:hint="eastAsia" w:ascii="宋体" w:eastAsia="宋体"/>
                <w:color w:val="auto"/>
                <w:sz w:val="21"/>
                <w:szCs w:val="21"/>
              </w:rPr>
              <w:t>个月</w:t>
            </w:r>
          </w:p>
        </w:tc>
      </w:tr>
      <w:tr w14:paraId="6ACA5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tcMar>
              <w:top w:w="16" w:type="dxa"/>
              <w:left w:w="16" w:type="dxa"/>
              <w:right w:w="16" w:type="dxa"/>
            </w:tcMar>
            <w:vAlign w:val="center"/>
          </w:tcPr>
          <w:p w14:paraId="37B1D76D">
            <w:pPr>
              <w:adjustRightInd w:val="0"/>
              <w:snapToGrid w:val="0"/>
              <w:spacing w:beforeLines="0" w:afterLines="0"/>
              <w:jc w:val="center"/>
              <w:rPr>
                <w:rFonts w:hint="eastAsia"/>
                <w:color w:val="auto"/>
                <w:sz w:val="24"/>
                <w:szCs w:val="24"/>
              </w:rPr>
            </w:pPr>
            <w:r>
              <w:rPr>
                <w:rFonts w:hint="eastAsia" w:ascii="宋体" w:eastAsia="宋体"/>
                <w:color w:val="auto"/>
                <w:sz w:val="24"/>
                <w:szCs w:val="24"/>
              </w:rPr>
              <w:t>是否开工建设</w:t>
            </w:r>
          </w:p>
        </w:tc>
        <w:tc>
          <w:tcPr>
            <w:tcW w:w="11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A1622C">
            <w:pPr>
              <w:adjustRightInd w:val="0"/>
              <w:snapToGrid w:val="0"/>
              <w:spacing w:beforeLines="0" w:afterLines="0"/>
              <w:rPr>
                <w:rFonts w:hint="eastAsia"/>
                <w:color w:val="auto"/>
                <w:sz w:val="21"/>
                <w:szCs w:val="21"/>
              </w:rPr>
            </w:pPr>
            <w:r>
              <w:rPr>
                <w:rFonts w:hint="eastAsia"/>
                <w:color w:val="auto"/>
                <w:sz w:val="21"/>
                <w:szCs w:val="21"/>
              </w:rPr>
              <w:sym w:font="Wingdings 2" w:char="0052"/>
            </w:r>
            <w:r>
              <w:rPr>
                <w:rFonts w:hint="eastAsia" w:ascii="宋体" w:eastAsia="宋体"/>
                <w:color w:val="auto"/>
                <w:sz w:val="21"/>
                <w:szCs w:val="21"/>
              </w:rPr>
              <w:t>否</w:t>
            </w:r>
          </w:p>
          <w:p w14:paraId="0FE0B1CB">
            <w:pPr>
              <w:adjustRightInd w:val="0"/>
              <w:snapToGrid w:val="0"/>
              <w:spacing w:beforeLines="0" w:afterLines="0"/>
              <w:rPr>
                <w:rFonts w:hint="eastAsia"/>
                <w:color w:val="auto"/>
                <w:sz w:val="21"/>
                <w:szCs w:val="21"/>
              </w:rPr>
            </w:pPr>
            <w:r>
              <w:rPr>
                <w:rFonts w:hint="eastAsia"/>
                <w:color w:val="auto"/>
                <w:sz w:val="21"/>
                <w:szCs w:val="21"/>
              </w:rPr>
              <w:sym w:font="Wingdings 2" w:char="00A3"/>
            </w:r>
            <w:r>
              <w:rPr>
                <w:rFonts w:hint="eastAsia" w:ascii="宋体" w:eastAsia="宋体"/>
                <w:color w:val="auto"/>
                <w:sz w:val="21"/>
                <w:szCs w:val="21"/>
              </w:rPr>
              <w:t>是：</w:t>
            </w:r>
            <w:r>
              <w:rPr>
                <w:rFonts w:hint="eastAsia"/>
                <w:color w:val="auto"/>
                <w:sz w:val="21"/>
                <w:szCs w:val="21"/>
                <w:u w:val="single"/>
              </w:rPr>
              <w:t xml:space="preserve">             </w:t>
            </w:r>
          </w:p>
        </w:tc>
        <w:tc>
          <w:tcPr>
            <w:tcW w:w="1118" w:type="pct"/>
            <w:tcBorders>
              <w:top w:val="single" w:color="auto" w:sz="4" w:space="0"/>
              <w:left w:val="single" w:color="auto" w:sz="4" w:space="0"/>
              <w:bottom w:val="single" w:color="auto" w:sz="4" w:space="0"/>
              <w:right w:val="single" w:color="auto" w:sz="4" w:space="0"/>
              <w:tl2br w:val="nil"/>
              <w:tr2bl w:val="nil"/>
            </w:tcBorders>
            <w:noWrap w:val="0"/>
            <w:tcMar>
              <w:top w:w="16" w:type="dxa"/>
              <w:left w:w="16" w:type="dxa"/>
              <w:right w:w="16" w:type="dxa"/>
            </w:tcMar>
            <w:vAlign w:val="center"/>
          </w:tcPr>
          <w:p w14:paraId="4546F78D">
            <w:pPr>
              <w:adjustRightInd w:val="0"/>
              <w:snapToGrid w:val="0"/>
              <w:spacing w:beforeLines="0" w:afterLines="0"/>
              <w:jc w:val="center"/>
              <w:rPr>
                <w:rFonts w:hint="eastAsia"/>
                <w:color w:val="auto"/>
                <w:spacing w:val="-6"/>
                <w:sz w:val="24"/>
                <w:szCs w:val="24"/>
              </w:rPr>
            </w:pPr>
            <w:r>
              <w:rPr>
                <w:rFonts w:hint="eastAsia" w:ascii="宋体" w:eastAsia="宋体"/>
                <w:color w:val="auto"/>
                <w:spacing w:val="-6"/>
                <w:sz w:val="24"/>
                <w:szCs w:val="24"/>
              </w:rPr>
              <w:t>用地</w:t>
            </w:r>
          </w:p>
          <w:p w14:paraId="4D253C6A">
            <w:pPr>
              <w:adjustRightInd w:val="0"/>
              <w:snapToGrid w:val="0"/>
              <w:spacing w:beforeLines="0" w:afterLines="0"/>
              <w:jc w:val="center"/>
              <w:rPr>
                <w:rFonts w:hint="eastAsia"/>
                <w:color w:val="auto"/>
                <w:sz w:val="24"/>
                <w:szCs w:val="24"/>
              </w:rPr>
            </w:pPr>
            <w:r>
              <w:rPr>
                <w:rFonts w:hint="eastAsia" w:ascii="宋体" w:eastAsia="宋体"/>
                <w:color w:val="auto"/>
                <w:spacing w:val="-6"/>
                <w:sz w:val="24"/>
                <w:szCs w:val="24"/>
              </w:rPr>
              <w:t>面积（m</w:t>
            </w:r>
            <w:r>
              <w:rPr>
                <w:rFonts w:hint="eastAsia"/>
                <w:color w:val="auto"/>
                <w:spacing w:val="-6"/>
                <w:sz w:val="24"/>
                <w:szCs w:val="24"/>
                <w:vertAlign w:val="superscript"/>
              </w:rPr>
              <w:t>2</w:t>
            </w:r>
            <w:r>
              <w:rPr>
                <w:rFonts w:hint="eastAsia" w:ascii="宋体" w:eastAsia="宋体"/>
                <w:color w:val="auto"/>
                <w:spacing w:val="-6"/>
                <w:sz w:val="24"/>
                <w:szCs w:val="24"/>
              </w:rPr>
              <w:t>）</w:t>
            </w:r>
          </w:p>
        </w:tc>
        <w:tc>
          <w:tcPr>
            <w:tcW w:w="1810" w:type="pct"/>
            <w:tcBorders>
              <w:top w:val="single" w:color="auto" w:sz="4" w:space="0"/>
              <w:left w:val="single" w:color="auto" w:sz="4" w:space="0"/>
              <w:bottom w:val="single" w:color="auto" w:sz="4" w:space="0"/>
              <w:right w:val="single" w:color="auto" w:sz="8" w:space="0"/>
              <w:tl2br w:val="nil"/>
              <w:tr2bl w:val="nil"/>
            </w:tcBorders>
            <w:noWrap w:val="0"/>
            <w:vAlign w:val="center"/>
          </w:tcPr>
          <w:p w14:paraId="4E2433C0">
            <w:pPr>
              <w:adjustRightInd w:val="0"/>
              <w:snapToGrid w:val="0"/>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13293.1</w:t>
            </w:r>
          </w:p>
        </w:tc>
      </w:tr>
      <w:tr w14:paraId="31B58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vAlign w:val="center"/>
          </w:tcPr>
          <w:p w14:paraId="0191B0C6">
            <w:pPr>
              <w:autoSpaceDE w:val="0"/>
              <w:autoSpaceDN w:val="0"/>
              <w:adjustRightInd w:val="0"/>
              <w:snapToGrid w:val="0"/>
              <w:spacing w:beforeLines="0" w:afterLines="0"/>
              <w:jc w:val="center"/>
              <w:rPr>
                <w:rFonts w:hint="eastAsia"/>
                <w:color w:val="auto"/>
                <w:kern w:val="0"/>
                <w:sz w:val="21"/>
                <w:szCs w:val="21"/>
              </w:rPr>
            </w:pPr>
            <w:r>
              <w:rPr>
                <w:rFonts w:hint="eastAsia" w:ascii="宋体" w:eastAsia="宋体"/>
                <w:color w:val="auto"/>
                <w:kern w:val="0"/>
                <w:sz w:val="24"/>
                <w:szCs w:val="24"/>
              </w:rPr>
              <w:t>专项评价设置情况</w:t>
            </w:r>
          </w:p>
        </w:tc>
        <w:tc>
          <w:tcPr>
            <w:tcW w:w="4096" w:type="pct"/>
            <w:gridSpan w:val="3"/>
            <w:tcBorders>
              <w:top w:val="single" w:color="auto" w:sz="4" w:space="0"/>
              <w:left w:val="single" w:color="auto" w:sz="4" w:space="0"/>
              <w:bottom w:val="single" w:color="auto" w:sz="4" w:space="0"/>
              <w:right w:val="single" w:color="auto" w:sz="8" w:space="0"/>
              <w:tl2br w:val="nil"/>
              <w:tr2bl w:val="nil"/>
            </w:tcBorders>
            <w:noWrap w:val="0"/>
            <w:vAlign w:val="center"/>
          </w:tcPr>
          <w:p w14:paraId="457404CB">
            <w:pPr>
              <w:autoSpaceDE w:val="0"/>
              <w:autoSpaceDN w:val="0"/>
              <w:adjustRightInd w:val="0"/>
              <w:snapToGrid w:val="0"/>
              <w:spacing w:beforeLines="0" w:afterLines="0"/>
              <w:jc w:val="center"/>
              <w:rPr>
                <w:rFonts w:hint="eastAsia" w:ascii="宋体" w:eastAsia="宋体"/>
                <w:b/>
                <w:color w:val="auto"/>
                <w:sz w:val="21"/>
                <w:szCs w:val="24"/>
              </w:rPr>
            </w:pPr>
            <w:r>
              <w:rPr>
                <w:rFonts w:hint="eastAsia" w:ascii="宋体" w:eastAsia="宋体"/>
                <w:b/>
                <w:color w:val="auto"/>
                <w:sz w:val="21"/>
                <w:szCs w:val="24"/>
              </w:rPr>
              <w:t>表1-1专项评价设置原则表</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3049"/>
              <w:gridCol w:w="2248"/>
              <w:gridCol w:w="700"/>
            </w:tblGrid>
            <w:tr w14:paraId="368F8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757" w:type="pct"/>
                  <w:tcBorders>
                    <w:top w:val="single" w:color="auto" w:sz="12" w:space="0"/>
                    <w:left w:val="nil"/>
                    <w:bottom w:val="single" w:color="auto" w:sz="4" w:space="0"/>
                    <w:right w:val="single" w:color="auto" w:sz="4" w:space="0"/>
                    <w:tl2br w:val="nil"/>
                    <w:tr2bl w:val="nil"/>
                  </w:tcBorders>
                  <w:noWrap w:val="0"/>
                  <w:vAlign w:val="center"/>
                </w:tcPr>
                <w:p w14:paraId="535CB968">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专项评价的类别</w:t>
                  </w:r>
                </w:p>
              </w:tc>
              <w:tc>
                <w:tcPr>
                  <w:tcW w:w="2157"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0A55773C">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设置原则</w:t>
                  </w:r>
                </w:p>
              </w:tc>
              <w:tc>
                <w:tcPr>
                  <w:tcW w:w="1590" w:type="pct"/>
                  <w:tcBorders>
                    <w:top w:val="single" w:color="auto" w:sz="12" w:space="0"/>
                    <w:left w:val="single" w:color="auto" w:sz="4" w:space="0"/>
                    <w:bottom w:val="single" w:color="auto" w:sz="4" w:space="0"/>
                    <w:right w:val="single" w:color="auto" w:sz="4" w:space="0"/>
                    <w:tl2br w:val="nil"/>
                    <w:tr2bl w:val="nil"/>
                  </w:tcBorders>
                  <w:noWrap w:val="0"/>
                  <w:vAlign w:val="center"/>
                </w:tcPr>
                <w:p w14:paraId="10BE181E">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本项目情况</w:t>
                  </w:r>
                </w:p>
              </w:tc>
              <w:tc>
                <w:tcPr>
                  <w:tcW w:w="495" w:type="pct"/>
                  <w:tcBorders>
                    <w:top w:val="single" w:color="auto" w:sz="12" w:space="0"/>
                    <w:left w:val="single" w:color="auto" w:sz="4" w:space="0"/>
                    <w:bottom w:val="single" w:color="auto" w:sz="4" w:space="0"/>
                    <w:right w:val="nil"/>
                    <w:tl2br w:val="nil"/>
                    <w:tr2bl w:val="nil"/>
                  </w:tcBorders>
                  <w:noWrap w:val="0"/>
                  <w:vAlign w:val="center"/>
                </w:tcPr>
                <w:p w14:paraId="5F9A6934">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设置情况</w:t>
                  </w:r>
                </w:p>
              </w:tc>
            </w:tr>
            <w:tr w14:paraId="7455A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757" w:type="pct"/>
                  <w:tcBorders>
                    <w:top w:val="single" w:color="auto" w:sz="4" w:space="0"/>
                    <w:left w:val="nil"/>
                    <w:bottom w:val="single" w:color="auto" w:sz="4" w:space="0"/>
                    <w:right w:val="single" w:color="auto" w:sz="4" w:space="0"/>
                    <w:tl2br w:val="nil"/>
                    <w:tr2bl w:val="nil"/>
                  </w:tcBorders>
                  <w:noWrap w:val="0"/>
                  <w:vAlign w:val="center"/>
                </w:tcPr>
                <w:p w14:paraId="1E1CD699">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大气</w:t>
                  </w:r>
                </w:p>
              </w:tc>
              <w:tc>
                <w:tcPr>
                  <w:tcW w:w="21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8F7BEE">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排放废气含有毒有害污染物</w:t>
                  </w:r>
                  <w:r>
                    <w:rPr>
                      <w:rFonts w:hint="eastAsia" w:ascii="宋体" w:hAnsi="宋体" w:eastAsia="宋体" w:cs="宋体"/>
                      <w:color w:val="auto"/>
                      <w:sz w:val="21"/>
                      <w:szCs w:val="21"/>
                      <w:vertAlign w:val="superscript"/>
                    </w:rPr>
                    <w:t>1</w:t>
                  </w:r>
                  <w:r>
                    <w:rPr>
                      <w:rFonts w:hint="eastAsia" w:ascii="宋体" w:hAnsi="宋体" w:eastAsia="宋体" w:cs="宋体"/>
                      <w:color w:val="auto"/>
                      <w:sz w:val="21"/>
                      <w:szCs w:val="21"/>
                    </w:rPr>
                    <w:t>、二噁英、苯并[a]芘、氰化物、氯气且厂界外500米范围内有环境空气保护目标</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的建设项目</w:t>
                  </w:r>
                </w:p>
              </w:tc>
              <w:tc>
                <w:tcPr>
                  <w:tcW w:w="15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591FB0">
                  <w:pPr>
                    <w:pStyle w:val="32"/>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olor w:val="auto"/>
                      <w:sz w:val="21"/>
                      <w:szCs w:val="21"/>
                    </w:rPr>
                  </w:pPr>
                  <w:r>
                    <w:rPr>
                      <w:rFonts w:hint="eastAsia" w:ascii="宋体" w:eastAsia="宋体"/>
                      <w:color w:val="auto"/>
                      <w:sz w:val="21"/>
                      <w:szCs w:val="21"/>
                      <w:lang w:eastAsia="zh-CN"/>
                    </w:rPr>
                    <w:t>本项目排放</w:t>
                  </w:r>
                  <w:r>
                    <w:rPr>
                      <w:rFonts w:hint="eastAsia" w:ascii="宋体" w:eastAsia="宋体"/>
                      <w:color w:val="auto"/>
                      <w:sz w:val="21"/>
                      <w:szCs w:val="21"/>
                    </w:rPr>
                    <w:t>废气</w:t>
                  </w:r>
                  <w:r>
                    <w:rPr>
                      <w:rFonts w:hint="eastAsia" w:ascii="宋体" w:eastAsia="宋体"/>
                      <w:color w:val="auto"/>
                      <w:sz w:val="21"/>
                      <w:szCs w:val="21"/>
                      <w:lang w:val="en-US" w:eastAsia="zh-CN"/>
                    </w:rPr>
                    <w:t>不涉及二噁英、苯并[a]芘、氰化物、氯气</w:t>
                  </w:r>
                </w:p>
              </w:tc>
              <w:tc>
                <w:tcPr>
                  <w:tcW w:w="495" w:type="pct"/>
                  <w:tcBorders>
                    <w:top w:val="single" w:color="auto" w:sz="4" w:space="0"/>
                    <w:left w:val="single" w:color="auto" w:sz="4" w:space="0"/>
                    <w:bottom w:val="single" w:color="auto" w:sz="4" w:space="0"/>
                    <w:right w:val="nil"/>
                    <w:tl2br w:val="nil"/>
                    <w:tr2bl w:val="nil"/>
                  </w:tcBorders>
                  <w:noWrap w:val="0"/>
                  <w:vAlign w:val="center"/>
                </w:tcPr>
                <w:p w14:paraId="0E40F91D">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无需设置</w:t>
                  </w:r>
                </w:p>
              </w:tc>
            </w:tr>
            <w:tr w14:paraId="18B09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pct"/>
                  <w:tcBorders>
                    <w:top w:val="single" w:color="auto" w:sz="4" w:space="0"/>
                    <w:left w:val="nil"/>
                    <w:bottom w:val="single" w:color="auto" w:sz="4" w:space="0"/>
                    <w:right w:val="single" w:color="auto" w:sz="4" w:space="0"/>
                    <w:tl2br w:val="nil"/>
                    <w:tr2bl w:val="nil"/>
                  </w:tcBorders>
                  <w:noWrap w:val="0"/>
                  <w:vAlign w:val="center"/>
                </w:tcPr>
                <w:p w14:paraId="45FE3CB9">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地表水</w:t>
                  </w:r>
                </w:p>
              </w:tc>
              <w:tc>
                <w:tcPr>
                  <w:tcW w:w="21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FBCDBF">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新增工业废水直排建设项目（槽罐车外送污水处理厂的除外）；新增废水直排的污水集中处理厂</w:t>
                  </w:r>
                </w:p>
              </w:tc>
              <w:tc>
                <w:tcPr>
                  <w:tcW w:w="15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CC733E">
                  <w:pPr>
                    <w:pStyle w:val="32"/>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项目工业废水经企业污水处理系统处理后进入</w:t>
                  </w:r>
                  <w:r>
                    <w:rPr>
                      <w:rFonts w:hint="eastAsia" w:ascii="宋体" w:hAnsi="宋体" w:eastAsia="宋体"/>
                      <w:color w:val="auto"/>
                      <w:sz w:val="21"/>
                      <w:szCs w:val="21"/>
                      <w:lang w:val="en-US" w:eastAsia="zh-CN"/>
                    </w:rPr>
                    <w:t>星火工业园污水处理厂,</w:t>
                  </w:r>
                  <w:r>
                    <w:rPr>
                      <w:rFonts w:hint="eastAsia" w:ascii="宋体" w:hAnsi="宋体" w:eastAsia="宋体"/>
                      <w:color w:val="auto"/>
                      <w:sz w:val="21"/>
                      <w:szCs w:val="21"/>
                      <w:lang w:eastAsia="zh-CN"/>
                    </w:rPr>
                    <w:t>无须设置</w:t>
                  </w:r>
                  <w:r>
                    <w:rPr>
                      <w:rFonts w:hint="eastAsia" w:ascii="宋体" w:hAnsi="宋体" w:eastAsia="宋体"/>
                      <w:color w:val="auto"/>
                      <w:sz w:val="21"/>
                      <w:szCs w:val="21"/>
                      <w:lang w:val="en-US" w:eastAsia="zh-CN"/>
                    </w:rPr>
                    <w:t>地表水专项</w:t>
                  </w:r>
                </w:p>
              </w:tc>
              <w:tc>
                <w:tcPr>
                  <w:tcW w:w="495" w:type="pct"/>
                  <w:tcBorders>
                    <w:top w:val="single" w:color="auto" w:sz="4" w:space="0"/>
                    <w:left w:val="single" w:color="auto" w:sz="4" w:space="0"/>
                    <w:bottom w:val="single" w:color="auto" w:sz="4" w:space="0"/>
                    <w:right w:val="nil"/>
                    <w:tl2br w:val="nil"/>
                    <w:tr2bl w:val="nil"/>
                  </w:tcBorders>
                  <w:noWrap w:val="0"/>
                  <w:vAlign w:val="center"/>
                </w:tcPr>
                <w:p w14:paraId="4A016A80">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无需设置</w:t>
                  </w:r>
                </w:p>
              </w:tc>
            </w:tr>
            <w:tr w14:paraId="6B8FD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7" w:type="pct"/>
                  <w:tcBorders>
                    <w:top w:val="single" w:color="auto" w:sz="4" w:space="0"/>
                    <w:left w:val="nil"/>
                    <w:bottom w:val="single" w:color="auto" w:sz="4" w:space="0"/>
                    <w:right w:val="single" w:color="auto" w:sz="4" w:space="0"/>
                    <w:tl2br w:val="nil"/>
                    <w:tr2bl w:val="nil"/>
                  </w:tcBorders>
                  <w:noWrap w:val="0"/>
                  <w:vAlign w:val="center"/>
                </w:tcPr>
                <w:p w14:paraId="680674F8">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环境风险</w:t>
                  </w:r>
                </w:p>
              </w:tc>
              <w:tc>
                <w:tcPr>
                  <w:tcW w:w="21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636B9A">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有毒有害和易燃易爆危险物质存储量超过临界量</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的建设项目</w:t>
                  </w:r>
                </w:p>
              </w:tc>
              <w:tc>
                <w:tcPr>
                  <w:tcW w:w="15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9939F9">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本项目有毒有害和易燃易爆危险物质存储量未超过临界量</w:t>
                  </w:r>
                </w:p>
              </w:tc>
              <w:tc>
                <w:tcPr>
                  <w:tcW w:w="495" w:type="pct"/>
                  <w:tcBorders>
                    <w:top w:val="single" w:color="auto" w:sz="4" w:space="0"/>
                    <w:left w:val="single" w:color="auto" w:sz="4" w:space="0"/>
                    <w:bottom w:val="single" w:color="auto" w:sz="4" w:space="0"/>
                    <w:right w:val="nil"/>
                    <w:tl2br w:val="nil"/>
                    <w:tr2bl w:val="nil"/>
                  </w:tcBorders>
                  <w:noWrap w:val="0"/>
                  <w:vAlign w:val="center"/>
                </w:tcPr>
                <w:p w14:paraId="280E9F14">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无需设置</w:t>
                  </w:r>
                </w:p>
              </w:tc>
            </w:tr>
            <w:tr w14:paraId="3F5F1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57" w:type="pct"/>
                  <w:tcBorders>
                    <w:top w:val="single" w:color="auto" w:sz="4" w:space="0"/>
                    <w:left w:val="nil"/>
                    <w:bottom w:val="single" w:color="auto" w:sz="4" w:space="0"/>
                    <w:right w:val="single" w:color="auto" w:sz="4" w:space="0"/>
                    <w:tl2br w:val="nil"/>
                    <w:tr2bl w:val="nil"/>
                  </w:tcBorders>
                  <w:noWrap w:val="0"/>
                  <w:vAlign w:val="center"/>
                </w:tcPr>
                <w:p w14:paraId="2E244487">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生态</w:t>
                  </w:r>
                </w:p>
              </w:tc>
              <w:tc>
                <w:tcPr>
                  <w:tcW w:w="21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8FD1EB">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取水口下游500米范围内有重要水生生物的自然产卵场、索饵场、越冬场和洄游通道的新增河道取水的污染类建设项目</w:t>
                  </w:r>
                </w:p>
              </w:tc>
              <w:tc>
                <w:tcPr>
                  <w:tcW w:w="15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E82AA9">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项目属于市政供水，无新增取水口</w:t>
                  </w:r>
                </w:p>
              </w:tc>
              <w:tc>
                <w:tcPr>
                  <w:tcW w:w="495" w:type="pct"/>
                  <w:tcBorders>
                    <w:top w:val="single" w:color="auto" w:sz="4" w:space="0"/>
                    <w:left w:val="single" w:color="auto" w:sz="4" w:space="0"/>
                    <w:bottom w:val="single" w:color="auto" w:sz="4" w:space="0"/>
                    <w:right w:val="nil"/>
                    <w:tl2br w:val="nil"/>
                    <w:tr2bl w:val="nil"/>
                  </w:tcBorders>
                  <w:noWrap w:val="0"/>
                  <w:vAlign w:val="center"/>
                </w:tcPr>
                <w:p w14:paraId="46975E9C">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无需设置</w:t>
                  </w:r>
                </w:p>
              </w:tc>
            </w:tr>
            <w:tr w14:paraId="6990F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757" w:type="pct"/>
                  <w:tcBorders>
                    <w:top w:val="single" w:color="auto" w:sz="4" w:space="0"/>
                    <w:left w:val="nil"/>
                    <w:bottom w:val="single" w:color="auto" w:sz="4" w:space="0"/>
                    <w:right w:val="single" w:color="auto" w:sz="4" w:space="0"/>
                    <w:tl2br w:val="nil"/>
                    <w:tr2bl w:val="nil"/>
                  </w:tcBorders>
                  <w:noWrap w:val="0"/>
                  <w:vAlign w:val="center"/>
                </w:tcPr>
                <w:p w14:paraId="03517390">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海洋</w:t>
                  </w:r>
                </w:p>
              </w:tc>
              <w:tc>
                <w:tcPr>
                  <w:tcW w:w="21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2B0D38">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直接向海洋排放污染物的海洋工程建设项目</w:t>
                  </w:r>
                </w:p>
              </w:tc>
              <w:tc>
                <w:tcPr>
                  <w:tcW w:w="159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5DF162">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default" w:ascii="宋体" w:hAnsi="宋体" w:eastAsia="宋体" w:cs="宋体"/>
                      <w:color w:val="auto"/>
                      <w:sz w:val="21"/>
                      <w:szCs w:val="21"/>
                      <w:lang w:val="en-US" w:eastAsia="zh-CN"/>
                    </w:rPr>
                    <w:t>本项目不涉及海洋环境</w:t>
                  </w:r>
                </w:p>
              </w:tc>
              <w:tc>
                <w:tcPr>
                  <w:tcW w:w="495" w:type="pct"/>
                  <w:tcBorders>
                    <w:top w:val="single" w:color="auto" w:sz="4" w:space="0"/>
                    <w:left w:val="single" w:color="auto" w:sz="4" w:space="0"/>
                    <w:bottom w:val="single" w:color="auto" w:sz="4" w:space="0"/>
                    <w:right w:val="nil"/>
                    <w:tl2br w:val="nil"/>
                    <w:tr2bl w:val="nil"/>
                  </w:tcBorders>
                  <w:noWrap w:val="0"/>
                  <w:vAlign w:val="center"/>
                </w:tcPr>
                <w:p w14:paraId="5DE5F919">
                  <w:pPr>
                    <w:pStyle w:val="9"/>
                    <w:keepNext w:val="0"/>
                    <w:keepLines w:val="0"/>
                    <w:pageBreakBefore w:val="0"/>
                    <w:widowControl w:val="0"/>
                    <w:kinsoku/>
                    <w:wordWrap/>
                    <w:overflowPunct/>
                    <w:topLinePunct w:val="0"/>
                    <w:autoSpaceDE/>
                    <w:autoSpaceDN/>
                    <w:bidi w:val="0"/>
                    <w:adjustRightInd/>
                    <w:snapToGrid/>
                    <w:spacing w:beforeLines="0" w:after="0" w:afterLines="0" w:line="24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无需设置</w:t>
                  </w:r>
                </w:p>
              </w:tc>
            </w:tr>
            <w:tr w14:paraId="1EB2A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000" w:type="pct"/>
                  <w:gridSpan w:val="4"/>
                  <w:tcBorders>
                    <w:top w:val="single" w:color="auto" w:sz="4" w:space="0"/>
                    <w:left w:val="nil"/>
                    <w:bottom w:val="single" w:color="auto" w:sz="12" w:space="0"/>
                    <w:right w:val="nil"/>
                    <w:tl2br w:val="nil"/>
                    <w:tr2bl w:val="nil"/>
                  </w:tcBorders>
                  <w:noWrap w:val="0"/>
                  <w:vAlign w:val="center"/>
                </w:tcPr>
                <w:p w14:paraId="17E5799F">
                  <w:pPr>
                    <w:pStyle w:val="2"/>
                    <w:keepNext w:val="0"/>
                    <w:keepLines w:val="0"/>
                    <w:pageBreakBefore w:val="0"/>
                    <w:widowControl w:val="0"/>
                    <w:kinsoku/>
                    <w:wordWrap/>
                    <w:overflowPunct/>
                    <w:topLinePunct w:val="0"/>
                    <w:bidi w:val="0"/>
                    <w:adjustRightInd/>
                    <w:snapToGrid/>
                    <w:spacing w:beforeLines="0" w:afterLines="0" w:line="240" w:lineRule="auto"/>
                    <w:textAlignment w:val="auto"/>
                    <w:rPr>
                      <w:rFonts w:hint="eastAsia" w:ascii="宋体" w:hAnsi="宋体" w:eastAsia="宋体" w:cs="宋体"/>
                      <w:color w:val="auto"/>
                      <w:sz w:val="21"/>
                      <w:szCs w:val="21"/>
                      <w:lang w:eastAsia="zh-CN"/>
                    </w:rPr>
                  </w:pPr>
                  <w:r>
                    <w:rPr>
                      <w:rFonts w:hint="eastAsia"/>
                      <w:color w:val="auto"/>
                      <w:sz w:val="21"/>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4E63F380">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eastAsia="宋体"/>
                <w:color w:val="auto"/>
                <w:lang w:eastAsia="zh-CN"/>
              </w:rPr>
            </w:pPr>
            <w:r>
              <w:rPr>
                <w:rFonts w:hint="eastAsia" w:eastAsia="宋体"/>
                <w:color w:val="auto"/>
                <w:sz w:val="24"/>
                <w:szCs w:val="24"/>
                <w:lang w:eastAsia="zh-CN"/>
              </w:rPr>
              <w:t>根据上表分析，本项目无需进行专项评价。</w:t>
            </w:r>
          </w:p>
        </w:tc>
      </w:tr>
      <w:tr w14:paraId="54005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vAlign w:val="center"/>
          </w:tcPr>
          <w:p w14:paraId="6562797B">
            <w:pPr>
              <w:pageBreakBefore w:val="0"/>
              <w:topLinePunct w:val="0"/>
              <w:autoSpaceDE w:val="0"/>
              <w:autoSpaceDN w:val="0"/>
              <w:bidi w:val="0"/>
              <w:adjustRightInd/>
              <w:snapToGrid/>
              <w:spacing w:beforeAutospacing="0" w:afterAutospacing="0"/>
              <w:ind w:left="0" w:leftChars="0" w:right="0" w:rightChars="0"/>
              <w:jc w:val="center"/>
              <w:rPr>
                <w:rFonts w:hint="eastAsia"/>
                <w:color w:val="auto"/>
                <w:kern w:val="0"/>
                <w:sz w:val="21"/>
                <w:szCs w:val="21"/>
              </w:rPr>
            </w:pPr>
            <w:r>
              <w:rPr>
                <w:rFonts w:hint="default" w:ascii="Times New Roman" w:hAnsi="Times New Roman" w:cs="Times New Roman"/>
                <w:color w:val="auto"/>
                <w:sz w:val="24"/>
                <w:szCs w:val="24"/>
              </w:rPr>
              <w:t>规划情况</w:t>
            </w:r>
          </w:p>
        </w:tc>
        <w:tc>
          <w:tcPr>
            <w:tcW w:w="4096" w:type="pct"/>
            <w:gridSpan w:val="3"/>
            <w:tcBorders>
              <w:top w:val="single" w:color="auto" w:sz="4" w:space="0"/>
              <w:left w:val="single" w:color="auto" w:sz="4" w:space="0"/>
              <w:bottom w:val="single" w:color="auto" w:sz="4" w:space="0"/>
              <w:right w:val="single" w:color="auto" w:sz="8" w:space="0"/>
              <w:tl2br w:val="nil"/>
              <w:tr2bl w:val="nil"/>
            </w:tcBorders>
            <w:noWrap w:val="0"/>
            <w:vAlign w:val="center"/>
          </w:tcPr>
          <w:p w14:paraId="4CF31955">
            <w:pPr>
              <w:pageBreakBefore w:val="0"/>
              <w:topLinePunct w:val="0"/>
              <w:autoSpaceDE w:val="0"/>
              <w:autoSpaceDN w:val="0"/>
              <w:bidi w:val="0"/>
              <w:adjustRightInd/>
              <w:snapToGrid/>
              <w:spacing w:beforeAutospacing="0" w:afterAutospacing="0" w:line="360" w:lineRule="auto"/>
              <w:ind w:left="0" w:leftChars="0" w:right="0" w:rightChars="0"/>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rPr>
              <w:t>相关规划：《</w:t>
            </w:r>
            <w:r>
              <w:rPr>
                <w:rFonts w:hint="eastAsia" w:asciiTheme="minorEastAsia" w:hAnsiTheme="minorEastAsia" w:eastAsiaTheme="minorEastAsia" w:cstheme="minorEastAsia"/>
                <w:color w:val="auto"/>
                <w:kern w:val="0"/>
                <w:sz w:val="24"/>
                <w:szCs w:val="24"/>
                <w:lang w:val="en-US" w:eastAsia="zh-CN"/>
              </w:rPr>
              <w:t>江西永修云山经济开发区控制性详细规划</w:t>
            </w:r>
            <w:r>
              <w:rPr>
                <w:rFonts w:hint="eastAsia" w:asciiTheme="minorEastAsia" w:hAnsiTheme="minorEastAsia" w:eastAsiaTheme="minorEastAsia" w:cstheme="minorEastAsia"/>
                <w:color w:val="auto"/>
                <w:kern w:val="0"/>
                <w:sz w:val="24"/>
                <w:szCs w:val="24"/>
              </w:rPr>
              <w:t>》</w:t>
            </w:r>
            <w:r>
              <w:rPr>
                <w:rFonts w:hint="eastAsia" w:asciiTheme="minorEastAsia" w:hAnsiTheme="minorEastAsia" w:eastAsiaTheme="minorEastAsia" w:cstheme="minorEastAsia"/>
                <w:color w:val="auto"/>
                <w:kern w:val="0"/>
                <w:sz w:val="24"/>
                <w:szCs w:val="24"/>
                <w:lang w:eastAsia="zh-CN"/>
              </w:rPr>
              <w:t>；</w:t>
            </w:r>
          </w:p>
          <w:p w14:paraId="11A6E318">
            <w:pPr>
              <w:pageBreakBefore w:val="0"/>
              <w:topLinePunct w:val="0"/>
              <w:autoSpaceDE w:val="0"/>
              <w:autoSpaceDN w:val="0"/>
              <w:bidi w:val="0"/>
              <w:adjustRightInd/>
              <w:snapToGrid/>
              <w:spacing w:beforeAutospacing="0" w:afterAutospacing="0" w:line="360" w:lineRule="auto"/>
              <w:ind w:left="0" w:leftChars="0" w:right="0" w:rightChars="0"/>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rPr>
              <w:t>审批机关：永修县人民</w:t>
            </w:r>
            <w:r>
              <w:rPr>
                <w:rFonts w:hint="eastAsia" w:asciiTheme="minorEastAsia" w:hAnsiTheme="minorEastAsia" w:eastAsiaTheme="minorEastAsia" w:cstheme="minorEastAsia"/>
                <w:color w:val="auto"/>
                <w:kern w:val="0"/>
                <w:sz w:val="24"/>
                <w:szCs w:val="24"/>
                <w:lang w:eastAsia="zh-CN"/>
              </w:rPr>
              <w:t>政府；</w:t>
            </w:r>
          </w:p>
          <w:p w14:paraId="7EFCBD55">
            <w:pPr>
              <w:pageBreakBefore w:val="0"/>
              <w:topLinePunct w:val="0"/>
              <w:autoSpaceDE w:val="0"/>
              <w:autoSpaceDN w:val="0"/>
              <w:bidi w:val="0"/>
              <w:adjustRightInd/>
              <w:snapToGrid/>
              <w:spacing w:beforeAutospacing="0" w:afterAutospacing="0" w:line="360" w:lineRule="auto"/>
              <w:ind w:left="0" w:leftChars="0" w:right="0" w:rightChars="0"/>
              <w:rPr>
                <w:rFonts w:hint="eastAsia" w:ascii="宋体" w:eastAsia="宋体"/>
                <w:color w:val="auto"/>
                <w:kern w:val="0"/>
                <w:sz w:val="24"/>
                <w:szCs w:val="24"/>
              </w:rPr>
            </w:pPr>
            <w:r>
              <w:rPr>
                <w:rFonts w:hint="eastAsia" w:asciiTheme="minorEastAsia" w:hAnsiTheme="minorEastAsia" w:eastAsiaTheme="minorEastAsia" w:cstheme="minorEastAsia"/>
                <w:color w:val="auto"/>
                <w:kern w:val="0"/>
                <w:sz w:val="24"/>
                <w:szCs w:val="24"/>
              </w:rPr>
              <w:t>审批文件：</w:t>
            </w:r>
            <w:r>
              <w:rPr>
                <w:rFonts w:hint="eastAsia" w:asciiTheme="minorEastAsia" w:hAnsiTheme="minorEastAsia" w:eastAsiaTheme="minorEastAsia" w:cstheme="minorEastAsia"/>
                <w:color w:val="auto"/>
                <w:kern w:val="0"/>
                <w:sz w:val="24"/>
                <w:szCs w:val="24"/>
                <w:lang w:eastAsia="zh-CN"/>
              </w:rPr>
              <w:t>永府字</w:t>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lang w:val="en-US" w:eastAsia="zh-CN"/>
              </w:rPr>
              <w:t>23</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号</w:t>
            </w:r>
            <w:r>
              <w:rPr>
                <w:rFonts w:hint="eastAsia" w:asciiTheme="minorEastAsia" w:hAnsiTheme="minorEastAsia" w:eastAsiaTheme="minorEastAsia" w:cstheme="minorEastAsia"/>
                <w:color w:val="auto"/>
                <w:kern w:val="0"/>
                <w:sz w:val="24"/>
                <w:szCs w:val="24"/>
                <w:lang w:eastAsia="zh-CN"/>
              </w:rPr>
              <w:t>；</w:t>
            </w:r>
          </w:p>
        </w:tc>
      </w:tr>
      <w:tr w14:paraId="14E6C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vAlign w:val="center"/>
          </w:tcPr>
          <w:p w14:paraId="5F0A3859">
            <w:pPr>
              <w:pageBreakBefore w:val="0"/>
              <w:topLinePunct w:val="0"/>
              <w:bidi w:val="0"/>
              <w:adjustRightInd/>
              <w:snapToGrid/>
              <w:spacing w:beforeAutospacing="0" w:afterAutospacing="0"/>
              <w:ind w:left="0" w:leftChars="0" w:right="0" w:rightChars="0"/>
              <w:jc w:val="center"/>
              <w:rPr>
                <w:rFonts w:hint="eastAsia"/>
                <w:color w:val="auto"/>
                <w:kern w:val="0"/>
                <w:sz w:val="21"/>
                <w:szCs w:val="21"/>
              </w:rPr>
            </w:pPr>
            <w:r>
              <w:rPr>
                <w:rFonts w:hint="default" w:ascii="Times New Roman" w:hAnsi="Times New Roman" w:cs="Times New Roman"/>
                <w:color w:val="auto"/>
                <w:sz w:val="24"/>
                <w:szCs w:val="24"/>
              </w:rPr>
              <w:t>规划环境影响评价情况</w:t>
            </w:r>
          </w:p>
        </w:tc>
        <w:tc>
          <w:tcPr>
            <w:tcW w:w="4096" w:type="pct"/>
            <w:gridSpan w:val="3"/>
            <w:tcBorders>
              <w:top w:val="single" w:color="auto" w:sz="4" w:space="0"/>
              <w:left w:val="single" w:color="auto" w:sz="4" w:space="0"/>
              <w:bottom w:val="single" w:color="auto" w:sz="4" w:space="0"/>
              <w:right w:val="single" w:color="auto" w:sz="8" w:space="0"/>
              <w:tl2br w:val="nil"/>
              <w:tr2bl w:val="nil"/>
            </w:tcBorders>
            <w:noWrap w:val="0"/>
            <w:vAlign w:val="center"/>
          </w:tcPr>
          <w:p w14:paraId="74457B46">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rightChars="0" w:firstLine="0"/>
              <w:jc w:val="lef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规划环评文件：《江西永修云山经济开发区扩区调区规划环境影响报告书》；</w:t>
            </w:r>
          </w:p>
          <w:p w14:paraId="147400DC">
            <w:pPr>
              <w:pStyle w:val="27"/>
              <w:keepNext w:val="0"/>
              <w:keepLines w:val="0"/>
              <w:pageBreakBefore w:val="0"/>
              <w:widowControl w:val="0"/>
              <w:kinsoku/>
              <w:wordWrap/>
              <w:overflowPunct/>
              <w:topLinePunct w:val="0"/>
              <w:bidi w:val="0"/>
              <w:snapToGrid/>
              <w:spacing w:line="360" w:lineRule="auto"/>
              <w:ind w:firstLine="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召集审查机关；九江市生态环境局；</w:t>
            </w:r>
          </w:p>
          <w:p w14:paraId="43722C45">
            <w:pPr>
              <w:keepNext w:val="0"/>
              <w:keepLines w:val="0"/>
              <w:pageBreakBefore w:val="0"/>
              <w:widowControl w:val="0"/>
              <w:kinsoku/>
              <w:wordWrap/>
              <w:overflowPunct/>
              <w:topLinePunct w:val="0"/>
              <w:bidi w:val="0"/>
              <w:snapToGrid/>
              <w:spacing w:line="360" w:lineRule="auto"/>
              <w:ind w:firstLine="0" w:firstLineChars="0"/>
              <w:textAlignment w:val="auto"/>
              <w:rPr>
                <w:rFonts w:hint="default"/>
                <w:color w:val="auto"/>
                <w:sz w:val="24"/>
                <w:szCs w:val="24"/>
                <w:lang w:val="en-US"/>
              </w:rPr>
            </w:pPr>
            <w:r>
              <w:rPr>
                <w:rFonts w:hint="eastAsia" w:asciiTheme="minorEastAsia" w:hAnsiTheme="minorEastAsia" w:eastAsiaTheme="minorEastAsia" w:cstheme="minorEastAsia"/>
                <w:color w:val="auto"/>
                <w:sz w:val="24"/>
                <w:szCs w:val="24"/>
                <w:lang w:val="en-US" w:eastAsia="zh-CN"/>
              </w:rPr>
              <w:t>审查文件：《九江市生态环境局关于江西永修云山经济开发区扩区调区规划环境影响报告书审查意见的函》（九环评字</w:t>
            </w:r>
            <w:r>
              <w:rPr>
                <w:rFonts w:hint="eastAsia" w:ascii="Times New Roman" w:hAnsi="宋体" w:eastAsia="宋体" w:cs="Times New Roman"/>
                <w:snapToGrid w:val="0"/>
                <w:color w:val="auto"/>
                <w:kern w:val="2"/>
                <w:sz w:val="24"/>
                <w:szCs w:val="24"/>
                <w:lang w:val="en-US" w:eastAsia="zh-CN" w:bidi="ar-SA"/>
              </w:rPr>
              <w:t>[2023]26号</w:t>
            </w:r>
            <w:r>
              <w:rPr>
                <w:rFonts w:hint="eastAsia" w:asciiTheme="minorEastAsia" w:hAnsiTheme="minorEastAsia" w:eastAsiaTheme="minorEastAsia" w:cstheme="minorEastAsia"/>
                <w:color w:val="auto"/>
                <w:sz w:val="24"/>
                <w:szCs w:val="24"/>
                <w:lang w:val="en-US" w:eastAsia="zh-CN"/>
              </w:rPr>
              <w:t>）；</w:t>
            </w:r>
          </w:p>
        </w:tc>
      </w:tr>
      <w:tr w14:paraId="7B488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vAlign w:val="center"/>
          </w:tcPr>
          <w:p w14:paraId="491F704F">
            <w:pPr>
              <w:pageBreakBefore w:val="0"/>
              <w:topLinePunct w:val="0"/>
              <w:autoSpaceDE w:val="0"/>
              <w:autoSpaceDN w:val="0"/>
              <w:bidi w:val="0"/>
              <w:adjustRightInd/>
              <w:snapToGrid/>
              <w:spacing w:beforeAutospacing="0" w:afterAutospacing="0"/>
              <w:ind w:left="0" w:leftChars="0" w:right="0" w:rightChars="0"/>
              <w:jc w:val="center"/>
              <w:rPr>
                <w:rFonts w:hint="default" w:ascii="Times New Roman" w:hAnsi="Times New Roman" w:cs="Times New Roman"/>
                <w:color w:val="auto"/>
                <w:kern w:val="0"/>
                <w:sz w:val="24"/>
                <w:szCs w:val="24"/>
              </w:rPr>
            </w:pPr>
          </w:p>
          <w:p w14:paraId="429BEC11">
            <w:pPr>
              <w:pageBreakBefore w:val="0"/>
              <w:topLinePunct w:val="0"/>
              <w:autoSpaceDE w:val="0"/>
              <w:autoSpaceDN w:val="0"/>
              <w:bidi w:val="0"/>
              <w:adjustRightInd/>
              <w:snapToGrid/>
              <w:spacing w:beforeAutospacing="0" w:afterAutospacing="0"/>
              <w:ind w:left="0" w:leftChars="0" w:right="0" w:rightChars="0"/>
              <w:jc w:val="center"/>
              <w:rPr>
                <w:rFonts w:hint="default" w:ascii="Times New Roman" w:hAnsi="Times New Roman" w:cs="Times New Roman"/>
                <w:color w:val="auto"/>
                <w:kern w:val="0"/>
                <w:sz w:val="24"/>
                <w:szCs w:val="24"/>
              </w:rPr>
            </w:pPr>
          </w:p>
          <w:p w14:paraId="021A53AC">
            <w:pPr>
              <w:pageBreakBefore w:val="0"/>
              <w:topLinePunct w:val="0"/>
              <w:autoSpaceDE w:val="0"/>
              <w:autoSpaceDN w:val="0"/>
              <w:bidi w:val="0"/>
              <w:adjustRightInd/>
              <w:snapToGrid/>
              <w:spacing w:beforeAutospacing="0" w:afterAutospacing="0"/>
              <w:ind w:left="0" w:leftChars="0" w:right="0" w:rightChars="0"/>
              <w:jc w:val="both"/>
              <w:rPr>
                <w:rFonts w:hint="default" w:ascii="Times New Roman" w:hAnsi="Times New Roman" w:cs="Times New Roman"/>
                <w:color w:val="auto"/>
                <w:kern w:val="0"/>
                <w:sz w:val="24"/>
                <w:szCs w:val="24"/>
              </w:rPr>
            </w:pPr>
          </w:p>
          <w:p w14:paraId="47DC2FF2">
            <w:pPr>
              <w:pageBreakBefore w:val="0"/>
              <w:topLinePunct w:val="0"/>
              <w:autoSpaceDE w:val="0"/>
              <w:autoSpaceDN w:val="0"/>
              <w:bidi w:val="0"/>
              <w:adjustRightInd/>
              <w:snapToGrid/>
              <w:spacing w:beforeAutospacing="0" w:afterAutospacing="0"/>
              <w:ind w:left="0" w:leftChars="0" w:right="0" w:rightChars="0"/>
              <w:jc w:val="center"/>
              <w:rPr>
                <w:rFonts w:hint="eastAsia"/>
                <w:color w:val="auto"/>
                <w:kern w:val="0"/>
                <w:sz w:val="21"/>
                <w:szCs w:val="21"/>
              </w:rPr>
            </w:pPr>
            <w:r>
              <w:rPr>
                <w:rFonts w:hint="default" w:ascii="Times New Roman" w:hAnsi="Times New Roman" w:cs="Times New Roman"/>
                <w:color w:val="auto"/>
                <w:kern w:val="0"/>
                <w:sz w:val="24"/>
                <w:szCs w:val="24"/>
              </w:rPr>
              <w:t>规划及规划环境影响评价符合性分析</w:t>
            </w:r>
          </w:p>
        </w:tc>
        <w:tc>
          <w:tcPr>
            <w:tcW w:w="4096" w:type="pct"/>
            <w:gridSpan w:val="3"/>
            <w:tcBorders>
              <w:top w:val="single" w:color="auto" w:sz="4" w:space="0"/>
              <w:left w:val="single" w:color="auto" w:sz="4" w:space="0"/>
              <w:bottom w:val="single" w:color="auto" w:sz="4" w:space="0"/>
              <w:right w:val="single" w:color="auto" w:sz="8" w:space="0"/>
              <w:tl2br w:val="nil"/>
              <w:tr2bl w:val="nil"/>
            </w:tcBorders>
            <w:noWrap w:val="0"/>
            <w:vAlign w:val="center"/>
          </w:tcPr>
          <w:p w14:paraId="2D4FB5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default" w:ascii="Times New Roman" w:hAnsi="Times New Roman" w:eastAsia="宋体" w:cs="Times New Roman"/>
                <w:b/>
                <w:color w:val="auto"/>
                <w:sz w:val="24"/>
                <w:szCs w:val="24"/>
                <w:lang w:val="en-US" w:eastAsia="zh-CN"/>
              </w:rPr>
            </w:pPr>
            <w:r>
              <w:rPr>
                <w:rFonts w:hint="eastAsia" w:cs="Times New Roman"/>
                <w:b/>
                <w:color w:val="auto"/>
                <w:sz w:val="24"/>
                <w:szCs w:val="24"/>
                <w:lang w:val="en-US" w:eastAsia="zh-CN"/>
              </w:rPr>
              <w:t>1、</w:t>
            </w:r>
            <w:r>
              <w:rPr>
                <w:rFonts w:hint="eastAsia" w:ascii="Times New Roman" w:hAnsi="Times New Roman" w:eastAsia="宋体" w:cs="Times New Roman"/>
                <w:b/>
                <w:color w:val="auto"/>
                <w:sz w:val="24"/>
                <w:szCs w:val="24"/>
                <w:lang w:val="en-US" w:eastAsia="zh-CN"/>
              </w:rPr>
              <w:t>与《江西永修云山经济开发区控制性详细规划》相符性分析</w:t>
            </w:r>
          </w:p>
          <w:p w14:paraId="07AD9F97">
            <w:pPr>
              <w:pStyle w:val="34"/>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textAlignment w:val="auto"/>
              <w:rPr>
                <w:rFonts w:hint="eastAsia" w:asciiTheme="minorEastAsia" w:hAnsiTheme="minorEastAsia" w:eastAsiaTheme="minorEastAsia" w:cstheme="minorEastAsia"/>
                <w:snapToGrid w:val="0"/>
                <w:color w:val="auto"/>
                <w:kern w:val="18"/>
                <w:sz w:val="24"/>
                <w:szCs w:val="24"/>
                <w:lang w:val="en-US" w:eastAsia="zh-CN"/>
              </w:rPr>
            </w:pPr>
            <w:r>
              <w:rPr>
                <w:rFonts w:hint="eastAsia" w:asciiTheme="minorEastAsia" w:hAnsiTheme="minorEastAsia" w:eastAsiaTheme="minorEastAsia" w:cstheme="minorEastAsia"/>
                <w:snapToGrid w:val="0"/>
                <w:color w:val="auto"/>
                <w:kern w:val="18"/>
                <w:sz w:val="24"/>
                <w:szCs w:val="24"/>
                <w:lang w:val="en-US" w:eastAsia="zh-CN"/>
              </w:rPr>
              <w:t>永修云山经济开发区下辖星火工业园、云山工业园、城南工业园，和规划建设中的恒丰工业新区、马口产业园。其中，星火工业园以打造氟、硅产业基地和国家级循环经济示范园区为目标，立足产业招商，重点发展以有机硅单体及其相关联的上下游精细化工产业；云山工业园重点发展有机食品、生物制药、纺织服装、新材料等产业；城南工业园重点发展机械电子、办公文具、仓储物流等产业。</w:t>
            </w:r>
          </w:p>
          <w:p w14:paraId="26D02E4C">
            <w:pPr>
              <w:pStyle w:val="34"/>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textAlignment w:val="auto"/>
              <w:rPr>
                <w:rFonts w:hint="eastAsia" w:asciiTheme="minorEastAsia" w:hAnsiTheme="minorEastAsia" w:eastAsiaTheme="minorEastAsia" w:cstheme="minorEastAsia"/>
                <w:snapToGrid w:val="0"/>
                <w:color w:val="auto"/>
                <w:kern w:val="18"/>
                <w:sz w:val="24"/>
                <w:szCs w:val="24"/>
                <w:lang w:val="en-US" w:eastAsia="zh-CN"/>
              </w:rPr>
            </w:pPr>
            <w:r>
              <w:rPr>
                <w:rFonts w:hint="eastAsia" w:asciiTheme="minorEastAsia" w:hAnsiTheme="minorEastAsia" w:eastAsiaTheme="minorEastAsia" w:cstheme="minorEastAsia"/>
                <w:snapToGrid w:val="0"/>
                <w:color w:val="auto"/>
                <w:kern w:val="18"/>
                <w:sz w:val="24"/>
                <w:szCs w:val="24"/>
                <w:lang w:val="en-US" w:eastAsia="zh-CN"/>
              </w:rPr>
              <w:t>本项目位于九江市永修县云山经济开发区云山工业园荣祺大道南侧江西鑫润绿色循环发展有限公司，</w:t>
            </w:r>
            <w:r>
              <w:rPr>
                <w:rFonts w:eastAsia="宋体"/>
                <w:color w:val="auto"/>
              </w:rPr>
              <w:t>行业类别属于C4220非金属废料和碎屑加工处理</w:t>
            </w:r>
            <w:r>
              <w:rPr>
                <w:rFonts w:hint="eastAsia" w:asciiTheme="minorEastAsia" w:hAnsiTheme="minorEastAsia" w:eastAsiaTheme="minorEastAsia" w:cstheme="minorEastAsia"/>
                <w:snapToGrid w:val="0"/>
                <w:color w:val="auto"/>
                <w:kern w:val="18"/>
                <w:sz w:val="24"/>
                <w:szCs w:val="24"/>
                <w:lang w:val="en-US" w:eastAsia="zh-CN"/>
              </w:rPr>
              <w:t>，属于</w:t>
            </w:r>
            <w:r>
              <w:rPr>
                <w:rFonts w:hint="eastAsia"/>
                <w:bCs w:val="0"/>
                <w:color w:val="auto"/>
              </w:rPr>
              <w:t>再生塑料颗粒加工项目</w:t>
            </w:r>
            <w:r>
              <w:rPr>
                <w:rFonts w:hint="eastAsia" w:eastAsia="宋体"/>
                <w:bCs w:val="0"/>
                <w:color w:val="auto"/>
                <w:lang w:eastAsia="zh-CN"/>
              </w:rPr>
              <w:t>，</w:t>
            </w:r>
            <w:r>
              <w:rPr>
                <w:rFonts w:hint="eastAsia" w:asciiTheme="minorEastAsia" w:hAnsiTheme="minorEastAsia" w:eastAsiaTheme="minorEastAsia" w:cstheme="minorEastAsia"/>
                <w:b w:val="0"/>
                <w:bCs w:val="0"/>
                <w:color w:val="auto"/>
                <w:sz w:val="24"/>
                <w:szCs w:val="24"/>
                <w:lang w:eastAsia="zh-CN"/>
              </w:rPr>
              <w:t>与</w:t>
            </w:r>
            <w:r>
              <w:rPr>
                <w:rFonts w:hint="eastAsia" w:asciiTheme="minorEastAsia" w:hAnsiTheme="minorEastAsia" w:eastAsiaTheme="minorEastAsia" w:cstheme="minorEastAsia"/>
                <w:b w:val="0"/>
                <w:bCs w:val="0"/>
                <w:color w:val="auto"/>
                <w:sz w:val="24"/>
                <w:szCs w:val="24"/>
                <w:lang w:val="en-US" w:eastAsia="zh-CN"/>
              </w:rPr>
              <w:t>园区主导</w:t>
            </w:r>
            <w:r>
              <w:rPr>
                <w:rFonts w:hint="eastAsia" w:asciiTheme="minorEastAsia" w:hAnsiTheme="minorEastAsia" w:eastAsiaTheme="minorEastAsia" w:cstheme="minorEastAsia"/>
                <w:snapToGrid w:val="0"/>
                <w:color w:val="auto"/>
                <w:kern w:val="18"/>
                <w:sz w:val="24"/>
                <w:szCs w:val="24"/>
                <w:lang w:val="en-US" w:eastAsia="zh-CN"/>
              </w:rPr>
              <w:t>发展有机食品、生物制药、纺织服装、新型建材等产业</w:t>
            </w:r>
            <w:r>
              <w:rPr>
                <w:rFonts w:hint="eastAsia" w:asciiTheme="minorEastAsia" w:hAnsiTheme="minorEastAsia" w:eastAsiaTheme="minorEastAsia" w:cstheme="minorEastAsia"/>
                <w:b w:val="0"/>
                <w:bCs w:val="0"/>
                <w:color w:val="auto"/>
                <w:sz w:val="24"/>
                <w:szCs w:val="24"/>
                <w:lang w:eastAsia="zh-CN"/>
              </w:rPr>
              <w:t>不冲突</w:t>
            </w:r>
            <w:r>
              <w:rPr>
                <w:rFonts w:hint="eastAsia" w:asciiTheme="minorEastAsia" w:hAnsiTheme="minorEastAsia" w:eastAsiaTheme="minorEastAsia" w:cstheme="minorEastAsia"/>
                <w:snapToGrid w:val="0"/>
                <w:color w:val="auto"/>
                <w:kern w:val="18"/>
                <w:sz w:val="24"/>
                <w:szCs w:val="24"/>
                <w:lang w:val="en-US" w:eastAsia="zh-CN"/>
              </w:rPr>
              <w:t>，为园区配套辅助行业，因此符合《江西永修云山经济开发区</w:t>
            </w:r>
            <w:r>
              <w:rPr>
                <w:rFonts w:hint="default"/>
                <w:color w:val="auto"/>
                <w:lang w:val="en-US" w:eastAsia="zh-CN"/>
              </w:rPr>
              <w:t>控制性详细规划</w:t>
            </w:r>
            <w:r>
              <w:rPr>
                <w:rFonts w:hint="eastAsia" w:asciiTheme="minorEastAsia" w:hAnsiTheme="minorEastAsia" w:eastAsiaTheme="minorEastAsia" w:cstheme="minorEastAsia"/>
                <w:snapToGrid w:val="0"/>
                <w:color w:val="auto"/>
                <w:kern w:val="18"/>
                <w:sz w:val="24"/>
                <w:szCs w:val="24"/>
                <w:lang w:val="en-US" w:eastAsia="zh-CN"/>
              </w:rPr>
              <w:t>》的总体规划。</w:t>
            </w:r>
          </w:p>
          <w:p w14:paraId="52C34A53">
            <w:pPr>
              <w:pStyle w:val="34"/>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textAlignment w:val="auto"/>
              <w:rPr>
                <w:rFonts w:hint="eastAsia" w:asciiTheme="minorEastAsia" w:hAnsiTheme="minorEastAsia" w:eastAsiaTheme="minorEastAsia" w:cstheme="minorEastAsia"/>
                <w:b/>
                <w:bCs/>
                <w:snapToGrid w:val="0"/>
                <w:color w:val="auto"/>
                <w:kern w:val="18"/>
                <w:sz w:val="24"/>
                <w:szCs w:val="24"/>
                <w:lang w:val="en-US" w:eastAsia="zh-CN"/>
              </w:rPr>
            </w:pPr>
            <w:r>
              <w:rPr>
                <w:rFonts w:hint="eastAsia" w:asciiTheme="minorEastAsia" w:hAnsiTheme="minorEastAsia" w:eastAsiaTheme="minorEastAsia" w:cstheme="minorEastAsia"/>
                <w:b/>
                <w:bCs/>
                <w:snapToGrid w:val="0"/>
                <w:color w:val="auto"/>
                <w:kern w:val="18"/>
                <w:sz w:val="24"/>
                <w:szCs w:val="24"/>
                <w:lang w:val="en-US" w:eastAsia="zh-CN"/>
              </w:rPr>
              <w:t>2、与《江西永修云山经济开发区扩区调区规划环境影响报告书》及其审查意见相符性分析</w:t>
            </w:r>
          </w:p>
          <w:p w14:paraId="1C468C0C">
            <w:pPr>
              <w:pStyle w:val="7"/>
              <w:bidi w:val="0"/>
              <w:rPr>
                <w:rFonts w:hint="default"/>
                <w:color w:val="auto"/>
                <w:lang w:val="en-US" w:eastAsia="zh-CN"/>
              </w:rPr>
            </w:pPr>
            <w:r>
              <w:rPr>
                <w:rFonts w:hint="default"/>
                <w:color w:val="auto"/>
                <w:lang w:val="en-US" w:eastAsia="zh-CN"/>
              </w:rPr>
              <w:t>《江西永修云山经济开发区扩区调区规划环境影响报告书》于2023年7月份取得九江市生态环境局审查意见（九环评字</w:t>
            </w:r>
            <w:r>
              <w:rPr>
                <w:rFonts w:hint="eastAsia"/>
                <w:color w:val="auto"/>
                <w:lang w:val="en-US" w:eastAsia="zh-CN"/>
              </w:rPr>
              <w:t>〔</w:t>
            </w:r>
            <w:r>
              <w:rPr>
                <w:rFonts w:hint="default"/>
                <w:color w:val="auto"/>
                <w:lang w:val="en-US" w:eastAsia="zh-CN"/>
              </w:rPr>
              <w:t>2023</w:t>
            </w:r>
            <w:r>
              <w:rPr>
                <w:rFonts w:hint="eastAsia"/>
                <w:color w:val="auto"/>
                <w:lang w:val="en-US" w:eastAsia="zh-CN"/>
              </w:rPr>
              <w:t>〕</w:t>
            </w:r>
            <w:r>
              <w:rPr>
                <w:rFonts w:hint="default"/>
                <w:color w:val="auto"/>
                <w:lang w:val="en-US" w:eastAsia="zh-CN"/>
              </w:rPr>
              <w:t>26号），永修云山经济开发区本次扩区调区仍保持“一区三园”格局，即星火工业园、云山工业园及城南工业园（城南片区和马口片区），规划总面积为1895.51公顷，其中星火工业园787.60公顷，云山工业园384.48公顷，城南工业园723.43公顷（城南片区372.16公顷，马口片区351.27公顷）。产业定位：以有机硅为首位产业、以绿色建材、电子信息及装备制造为主导产业、以数字经济、新能源和新服务经济为新兴产业，集生态、绿色、创新于一体的省级重点工业园区。云山工业园：以有机硅为依托，形成以有机硅和绿色建材为主，包括有机硅及有机硅下游产品、绿色环保建材产品、轻工业、医药制造（禁止原料药和医药中间体）、冶炼（限定于规划地块的C3216 铝冶炼）等产业的综合产业区</w:t>
            </w:r>
            <w:r>
              <w:rPr>
                <w:rFonts w:hint="eastAsia"/>
                <w:color w:val="auto"/>
                <w:lang w:val="en-US" w:eastAsia="zh-CN"/>
              </w:rPr>
              <w:t>。</w:t>
            </w:r>
            <w:r>
              <w:rPr>
                <w:rFonts w:hint="eastAsia" w:asciiTheme="minorEastAsia" w:hAnsiTheme="minorEastAsia" w:eastAsiaTheme="minorEastAsia" w:cstheme="minorEastAsia"/>
                <w:snapToGrid w:val="0"/>
                <w:color w:val="auto"/>
                <w:kern w:val="18"/>
                <w:sz w:val="24"/>
                <w:szCs w:val="24"/>
                <w:lang w:val="en-US" w:eastAsia="zh-CN"/>
              </w:rPr>
              <w:t>本项目位于九江市永修县云山经济开发区云山工业园园荣祺大道南侧江西鑫润绿色循环发展有限公司，</w:t>
            </w:r>
            <w:r>
              <w:rPr>
                <w:rFonts w:eastAsia="宋体"/>
                <w:color w:val="auto"/>
              </w:rPr>
              <w:t>行业类别属于C4220非金属废料和碎屑加工处理</w:t>
            </w:r>
            <w:r>
              <w:rPr>
                <w:rFonts w:hint="eastAsia" w:asciiTheme="minorEastAsia" w:hAnsiTheme="minorEastAsia" w:eastAsiaTheme="minorEastAsia" w:cstheme="minorEastAsia"/>
                <w:snapToGrid w:val="0"/>
                <w:color w:val="auto"/>
                <w:kern w:val="18"/>
                <w:sz w:val="24"/>
                <w:szCs w:val="24"/>
                <w:lang w:val="en-US" w:eastAsia="zh-CN"/>
              </w:rPr>
              <w:t>，属于</w:t>
            </w:r>
            <w:r>
              <w:rPr>
                <w:rFonts w:hint="eastAsia"/>
                <w:bCs w:val="0"/>
                <w:color w:val="auto"/>
              </w:rPr>
              <w:t>再生塑料颗粒加工项目</w:t>
            </w:r>
            <w:r>
              <w:rPr>
                <w:rFonts w:hint="eastAsia" w:asciiTheme="minorEastAsia" w:hAnsiTheme="minorEastAsia" w:eastAsiaTheme="minorEastAsia" w:cstheme="minorEastAsia"/>
                <w:snapToGrid w:val="0"/>
                <w:color w:val="auto"/>
                <w:kern w:val="18"/>
                <w:sz w:val="24"/>
                <w:szCs w:val="24"/>
                <w:lang w:val="en-US" w:eastAsia="zh-CN"/>
              </w:rPr>
              <w:t>，为园区配套辅助行业，</w:t>
            </w:r>
            <w:r>
              <w:rPr>
                <w:rFonts w:hint="eastAsia" w:eastAsiaTheme="minorEastAsia"/>
                <w:color w:val="auto"/>
                <w:sz w:val="24"/>
                <w:highlight w:val="none"/>
                <w:lang w:val="en-US" w:eastAsia="zh-CN"/>
              </w:rPr>
              <w:t>与云山工业</w:t>
            </w:r>
            <w:r>
              <w:rPr>
                <w:rFonts w:hint="eastAsia"/>
                <w:color w:val="auto"/>
                <w:sz w:val="24"/>
                <w:highlight w:val="none"/>
                <w:lang w:val="en-US" w:eastAsia="zh-CN"/>
              </w:rPr>
              <w:t>园区产业</w:t>
            </w:r>
            <w:r>
              <w:rPr>
                <w:rFonts w:hint="eastAsia"/>
                <w:color w:val="auto"/>
                <w:sz w:val="24"/>
                <w:highlight w:val="none"/>
              </w:rPr>
              <w:t>规划</w:t>
            </w:r>
            <w:r>
              <w:rPr>
                <w:rFonts w:hint="eastAsia"/>
                <w:color w:val="auto"/>
                <w:sz w:val="24"/>
                <w:highlight w:val="none"/>
                <w:lang w:val="en-US" w:eastAsia="zh-CN"/>
              </w:rPr>
              <w:t>不冲突</w:t>
            </w:r>
            <w:r>
              <w:rPr>
                <w:rFonts w:hint="eastAsia"/>
                <w:color w:val="auto"/>
                <w:sz w:val="24"/>
                <w:highlight w:val="none"/>
              </w:rPr>
              <w:t>，且</w:t>
            </w:r>
            <w:r>
              <w:rPr>
                <w:rFonts w:hint="eastAsia"/>
                <w:color w:val="auto"/>
                <w:sz w:val="24"/>
                <w:highlight w:val="none"/>
                <w:lang w:val="en-US" w:eastAsia="zh-CN"/>
              </w:rPr>
              <w:t>项目</w:t>
            </w:r>
            <w:r>
              <w:rPr>
                <w:rFonts w:hint="eastAsia"/>
                <w:color w:val="auto"/>
                <w:sz w:val="24"/>
                <w:highlight w:val="none"/>
              </w:rPr>
              <w:t>各项环保措施均有效地预防和减缓环境影响，因此</w:t>
            </w:r>
            <w:r>
              <w:rPr>
                <w:rFonts w:hint="eastAsia"/>
                <w:color w:val="auto"/>
                <w:sz w:val="24"/>
                <w:highlight w:val="none"/>
                <w:lang w:val="en-US" w:eastAsia="zh-CN"/>
              </w:rPr>
              <w:t>符合规划</w:t>
            </w:r>
            <w:r>
              <w:rPr>
                <w:rFonts w:hint="eastAsia"/>
                <w:color w:val="auto"/>
                <w:sz w:val="24"/>
                <w:highlight w:val="none"/>
                <w:lang w:eastAsia="zh-CN"/>
              </w:rPr>
              <w:t>。</w:t>
            </w:r>
          </w:p>
          <w:p w14:paraId="2786A9FA">
            <w:pPr>
              <w:pStyle w:val="34"/>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textAlignment w:val="auto"/>
              <w:rPr>
                <w:rFonts w:hint="default" w:cs="Times New Roman"/>
                <w:b w:val="0"/>
                <w:bCs w:val="0"/>
                <w:snapToGrid w:val="0"/>
                <w:color w:val="auto"/>
                <w:kern w:val="18"/>
                <w:sz w:val="24"/>
                <w:szCs w:val="24"/>
                <w:lang w:val="en-US" w:eastAsia="zh-CN"/>
              </w:rPr>
            </w:pPr>
            <w:r>
              <w:rPr>
                <w:rFonts w:hint="eastAsia" w:asciiTheme="minorEastAsia" w:hAnsiTheme="minorEastAsia" w:eastAsiaTheme="minorEastAsia" w:cstheme="minorEastAsia"/>
                <w:b w:val="0"/>
                <w:bCs w:val="0"/>
                <w:snapToGrid w:val="0"/>
                <w:color w:val="auto"/>
                <w:kern w:val="18"/>
                <w:sz w:val="24"/>
                <w:szCs w:val="24"/>
                <w:lang w:val="en-US" w:eastAsia="zh-CN"/>
              </w:rPr>
              <w:t>本项目与《九江市生态环境局关于江西永修云山经济开发区扩区调区规划环境影响报告书审查意见的函》（九环评字〔2023〕26号）符合性分析如下表。</w:t>
            </w:r>
          </w:p>
          <w:p w14:paraId="0DB46786">
            <w:pPr>
              <w:pageBreakBefore w:val="0"/>
              <w:topLinePunct w:val="0"/>
              <w:autoSpaceDE w:val="0"/>
              <w:autoSpaceDN w:val="0"/>
              <w:bidi w:val="0"/>
              <w:adjustRightInd/>
              <w:snapToGrid/>
              <w:spacing w:beforeAutospacing="0" w:afterAutospacing="0"/>
              <w:ind w:left="0" w:leftChars="0" w:right="0" w:rightChars="0"/>
              <w:jc w:val="center"/>
              <w:rPr>
                <w:rFonts w:ascii="Times New Roman" w:hAnsi="Times New Roman" w:eastAsia="宋体" w:cs="宋体"/>
                <w:b/>
                <w:bCs/>
                <w:color w:val="auto"/>
                <w:kern w:val="0"/>
                <w:sz w:val="21"/>
                <w:szCs w:val="21"/>
              </w:rPr>
            </w:pPr>
            <w:r>
              <w:rPr>
                <w:rFonts w:hint="eastAsia" w:ascii="Times New Roman" w:hAnsi="Times New Roman" w:eastAsia="宋体" w:cs="宋体"/>
                <w:b/>
                <w:bCs/>
                <w:color w:val="auto"/>
                <w:kern w:val="0"/>
                <w:sz w:val="21"/>
                <w:szCs w:val="21"/>
                <w:lang w:val="en-US" w:eastAsia="zh-CN"/>
              </w:rPr>
              <w:t>表1-</w:t>
            </w:r>
            <w:r>
              <w:rPr>
                <w:rFonts w:hint="eastAsia" w:cs="宋体"/>
                <w:b/>
                <w:bCs/>
                <w:color w:val="auto"/>
                <w:kern w:val="0"/>
                <w:sz w:val="21"/>
                <w:szCs w:val="21"/>
                <w:lang w:val="en-US" w:eastAsia="zh-CN"/>
              </w:rPr>
              <w:t>2</w:t>
            </w:r>
            <w:r>
              <w:rPr>
                <w:rFonts w:hint="eastAsia" w:ascii="Times New Roman" w:hAnsi="Times New Roman" w:eastAsia="宋体" w:cs="宋体"/>
                <w:b/>
                <w:bCs/>
                <w:color w:val="auto"/>
                <w:kern w:val="0"/>
                <w:sz w:val="21"/>
                <w:szCs w:val="21"/>
                <w:lang w:val="en-US" w:eastAsia="zh-CN"/>
              </w:rPr>
              <w:t xml:space="preserve">    与九环评字</w:t>
            </w:r>
            <w:r>
              <w:rPr>
                <w:rFonts w:hint="eastAsia" w:ascii="Times New Roman" w:hAnsi="宋体" w:eastAsia="宋体" w:cs="Times New Roman"/>
                <w:b/>
                <w:bCs/>
                <w:snapToGrid w:val="0"/>
                <w:color w:val="auto"/>
                <w:kern w:val="2"/>
                <w:sz w:val="21"/>
                <w:szCs w:val="21"/>
                <w:lang w:val="en-US" w:eastAsia="zh-CN" w:bidi="ar-SA"/>
              </w:rPr>
              <w:t>[2023]26号符合性分析</w:t>
            </w:r>
          </w:p>
          <w:tbl>
            <w:tblPr>
              <w:tblStyle w:val="22"/>
              <w:tblW w:w="5000" w:type="pct"/>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436"/>
              <w:gridCol w:w="2018"/>
              <w:gridCol w:w="614"/>
            </w:tblGrid>
            <w:tr w14:paraId="22B282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75414009">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b/>
                      <w:bCs/>
                      <w:snapToGrid w:val="0"/>
                      <w:color w:val="auto"/>
                      <w:kern w:val="18"/>
                      <w:sz w:val="21"/>
                      <w:szCs w:val="21"/>
                      <w:vertAlign w:val="baseline"/>
                      <w:lang w:val="en-US" w:eastAsia="zh-CN"/>
                    </w:rPr>
                  </w:pPr>
                  <w:r>
                    <w:rPr>
                      <w:rFonts w:hint="eastAsia" w:cs="Times New Roman"/>
                      <w:b/>
                      <w:bCs/>
                      <w:snapToGrid w:val="0"/>
                      <w:color w:val="auto"/>
                      <w:kern w:val="18"/>
                      <w:sz w:val="21"/>
                      <w:szCs w:val="21"/>
                      <w:vertAlign w:val="baseline"/>
                      <w:lang w:val="en-US" w:eastAsia="zh-CN"/>
                    </w:rPr>
                    <w:t>要求</w:t>
                  </w:r>
                </w:p>
              </w:tc>
              <w:tc>
                <w:tcPr>
                  <w:tcW w:w="2018" w:type="dxa"/>
                  <w:tcBorders>
                    <w:tl2br w:val="nil"/>
                    <w:tr2bl w:val="nil"/>
                  </w:tcBorders>
                  <w:vAlign w:val="center"/>
                </w:tcPr>
                <w:p w14:paraId="270F6251">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b/>
                      <w:bCs/>
                      <w:snapToGrid w:val="0"/>
                      <w:color w:val="auto"/>
                      <w:kern w:val="18"/>
                      <w:sz w:val="21"/>
                      <w:szCs w:val="21"/>
                      <w:vertAlign w:val="baseline"/>
                      <w:lang w:val="en-US" w:eastAsia="zh-CN"/>
                    </w:rPr>
                  </w:pPr>
                  <w:r>
                    <w:rPr>
                      <w:rFonts w:hint="eastAsia" w:cs="Times New Roman"/>
                      <w:b/>
                      <w:bCs/>
                      <w:snapToGrid w:val="0"/>
                      <w:color w:val="auto"/>
                      <w:kern w:val="18"/>
                      <w:sz w:val="21"/>
                      <w:szCs w:val="21"/>
                      <w:vertAlign w:val="baseline"/>
                      <w:lang w:val="en-US" w:eastAsia="zh-CN"/>
                    </w:rPr>
                    <w:t>分析</w:t>
                  </w:r>
                </w:p>
              </w:tc>
              <w:tc>
                <w:tcPr>
                  <w:tcW w:w="614" w:type="dxa"/>
                  <w:tcBorders>
                    <w:tl2br w:val="nil"/>
                    <w:tr2bl w:val="nil"/>
                  </w:tcBorders>
                  <w:vAlign w:val="center"/>
                </w:tcPr>
                <w:p w14:paraId="4C74668A">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b/>
                      <w:bCs/>
                      <w:snapToGrid w:val="0"/>
                      <w:color w:val="auto"/>
                      <w:kern w:val="18"/>
                      <w:sz w:val="21"/>
                      <w:szCs w:val="21"/>
                      <w:vertAlign w:val="baseline"/>
                      <w:lang w:val="en-US" w:eastAsia="zh-CN"/>
                    </w:rPr>
                  </w:pPr>
                  <w:r>
                    <w:rPr>
                      <w:rFonts w:hint="eastAsia" w:cs="Times New Roman"/>
                      <w:b/>
                      <w:bCs/>
                      <w:snapToGrid w:val="0"/>
                      <w:color w:val="auto"/>
                      <w:kern w:val="18"/>
                      <w:sz w:val="21"/>
                      <w:szCs w:val="21"/>
                      <w:vertAlign w:val="baseline"/>
                      <w:lang w:val="en-US" w:eastAsia="zh-CN"/>
                    </w:rPr>
                    <w:t>符合性</w:t>
                  </w:r>
                </w:p>
              </w:tc>
            </w:tr>
            <w:tr w14:paraId="3015FC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501DF920">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一)优化产业定位和布局。按照“三线一单”管控要求，以生态保护红线、资源利用上线、环境质量底线为约束，落实环境准入负面清单，严格建设项目环境准入。支持产业匹配、工艺先进的企业入驻。禁止新建、扩建法律法规和相关产业政策明令禁止的落后产能项目。引进项目的工艺、设备、污染治理技术、清洁生产水平应达到国内先进水平。不新引进不属于规划产业方向、产业布局的项目</w:t>
                  </w:r>
                  <w:r>
                    <w:rPr>
                      <w:rFonts w:hint="eastAsia" w:cs="Times New Roman"/>
                      <w:snapToGrid w:val="0"/>
                      <w:color w:val="auto"/>
                      <w:kern w:val="18"/>
                      <w:sz w:val="21"/>
                      <w:szCs w:val="21"/>
                      <w:vertAlign w:val="baseline"/>
                      <w:lang w:val="en-US" w:eastAsia="zh-CN"/>
                    </w:rPr>
                    <w:t>。</w:t>
                  </w:r>
                </w:p>
              </w:tc>
              <w:tc>
                <w:tcPr>
                  <w:tcW w:w="2018" w:type="dxa"/>
                  <w:tcBorders>
                    <w:tl2br w:val="nil"/>
                    <w:tr2bl w:val="nil"/>
                  </w:tcBorders>
                  <w:vAlign w:val="center"/>
                </w:tcPr>
                <w:p w14:paraId="02E2508C">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本项目满足“三线一单”管控要求</w:t>
                  </w:r>
                  <w:r>
                    <w:rPr>
                      <w:rFonts w:hint="eastAsia" w:cs="Times New Roman"/>
                      <w:snapToGrid w:val="0"/>
                      <w:color w:val="auto"/>
                      <w:kern w:val="18"/>
                      <w:sz w:val="21"/>
                      <w:szCs w:val="21"/>
                      <w:vertAlign w:val="baseline"/>
                      <w:lang w:val="en-US" w:eastAsia="zh-CN"/>
                    </w:rPr>
                    <w:t>；</w:t>
                  </w:r>
                  <w:r>
                    <w:rPr>
                      <w:rFonts w:hint="default" w:ascii="Times New Roman" w:hAnsi="Times New Roman" w:cs="Times New Roman"/>
                      <w:snapToGrid w:val="0"/>
                      <w:color w:val="auto"/>
                      <w:kern w:val="18"/>
                      <w:sz w:val="21"/>
                      <w:szCs w:val="21"/>
                      <w:vertAlign w:val="baseline"/>
                      <w:lang w:val="en-US" w:eastAsia="zh-CN"/>
                    </w:rPr>
                    <w:t>项目不属于法律法规和相关产业政策明令禁止的落后产能项目，且本项目</w:t>
                  </w:r>
                  <w:r>
                    <w:rPr>
                      <w:rFonts w:hint="eastAsia" w:cs="Times New Roman"/>
                      <w:snapToGrid w:val="0"/>
                      <w:color w:val="auto"/>
                      <w:kern w:val="18"/>
                      <w:sz w:val="21"/>
                      <w:szCs w:val="21"/>
                      <w:vertAlign w:val="baseline"/>
                      <w:lang w:val="en-US" w:eastAsia="zh-CN"/>
                    </w:rPr>
                    <w:t>属于</w:t>
                  </w:r>
                  <w:r>
                    <w:rPr>
                      <w:rFonts w:hint="eastAsia" w:cs="Times New Roman"/>
                      <w:color w:val="auto"/>
                      <w:sz w:val="21"/>
                      <w:szCs w:val="21"/>
                      <w:lang w:val="en-US" w:eastAsia="zh-CN"/>
                    </w:rPr>
                    <w:t>废弃资源综合利用</w:t>
                  </w:r>
                  <w:r>
                    <w:rPr>
                      <w:rFonts w:hint="default" w:ascii="Times New Roman" w:hAnsi="Times New Roman" w:cs="Times New Roman"/>
                      <w:snapToGrid w:val="0"/>
                      <w:color w:val="auto"/>
                      <w:kern w:val="18"/>
                      <w:sz w:val="21"/>
                      <w:szCs w:val="21"/>
                      <w:vertAlign w:val="baseline"/>
                      <w:lang w:val="en-US" w:eastAsia="zh-CN"/>
                    </w:rPr>
                    <w:t>，</w:t>
                  </w:r>
                  <w:r>
                    <w:rPr>
                      <w:rFonts w:hint="eastAsia" w:cs="Times New Roman"/>
                      <w:snapToGrid w:val="0"/>
                      <w:color w:val="auto"/>
                      <w:kern w:val="18"/>
                      <w:sz w:val="21"/>
                      <w:szCs w:val="21"/>
                      <w:vertAlign w:val="baseline"/>
                      <w:lang w:val="en-US" w:eastAsia="zh-CN"/>
                    </w:rPr>
                    <w:t>不属于园区限制行业，符合</w:t>
                  </w:r>
                  <w:r>
                    <w:rPr>
                      <w:rFonts w:hint="default" w:ascii="Times New Roman" w:hAnsi="Times New Roman" w:cs="Times New Roman"/>
                      <w:snapToGrid w:val="0"/>
                      <w:color w:val="auto"/>
                      <w:kern w:val="18"/>
                      <w:sz w:val="21"/>
                      <w:szCs w:val="21"/>
                      <w:vertAlign w:val="baseline"/>
                      <w:lang w:val="en-US" w:eastAsia="zh-CN"/>
                    </w:rPr>
                    <w:t>园区产业规划</w:t>
                  </w:r>
                </w:p>
              </w:tc>
              <w:tc>
                <w:tcPr>
                  <w:tcW w:w="614" w:type="dxa"/>
                  <w:tcBorders>
                    <w:tl2br w:val="nil"/>
                    <w:tr2bl w:val="nil"/>
                  </w:tcBorders>
                  <w:vAlign w:val="center"/>
                </w:tcPr>
                <w:p w14:paraId="47E71B78">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eastAsia" w:cs="Times New Roman"/>
                      <w:snapToGrid w:val="0"/>
                      <w:color w:val="auto"/>
                      <w:kern w:val="18"/>
                      <w:sz w:val="21"/>
                      <w:szCs w:val="21"/>
                      <w:vertAlign w:val="baseline"/>
                      <w:lang w:val="en-US" w:eastAsia="zh-CN"/>
                    </w:rPr>
                    <w:t>符合</w:t>
                  </w:r>
                </w:p>
              </w:tc>
            </w:tr>
            <w:tr w14:paraId="70800E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1DE7B61E">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二)实施园区污染物排放总量控制。排放的氮氧化物、颗粒物、挥发性有机物、化学需氧量、氨氮等主要污染物不得超过核定的总量管控限值，必要时采取区域削减、限制生产等措施，确保实现区域及周边环境质量改善目标。排放废气污染物的企业应采取相应治理措施，深化工业源挥发性有机物污染防治，推广环保溶剂的使用，严格按照《重点行业挥发性有机物综合治理方案》对挥发性有机物进行治理。加强对现有污染源监管，提高环境管理水平。</w:t>
                  </w:r>
                </w:p>
              </w:tc>
              <w:tc>
                <w:tcPr>
                  <w:tcW w:w="2018" w:type="dxa"/>
                  <w:tcBorders>
                    <w:tl2br w:val="nil"/>
                    <w:tr2bl w:val="nil"/>
                  </w:tcBorders>
                  <w:vAlign w:val="center"/>
                </w:tcPr>
                <w:p w14:paraId="5371ED02">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eastAsia" w:cs="Times New Roman"/>
                      <w:snapToGrid w:val="0"/>
                      <w:color w:val="auto"/>
                      <w:kern w:val="18"/>
                      <w:sz w:val="21"/>
                      <w:szCs w:val="21"/>
                      <w:vertAlign w:val="baseline"/>
                      <w:lang w:val="en-US" w:eastAsia="zh-CN"/>
                    </w:rPr>
                    <w:t>本项目已按要求申请总量控制指标，并严格按照</w:t>
                  </w:r>
                  <w:r>
                    <w:rPr>
                      <w:rFonts w:hint="default" w:ascii="Times New Roman" w:hAnsi="Times New Roman" w:cs="Times New Roman"/>
                      <w:snapToGrid w:val="0"/>
                      <w:color w:val="auto"/>
                      <w:kern w:val="18"/>
                      <w:sz w:val="21"/>
                      <w:szCs w:val="21"/>
                      <w:vertAlign w:val="baseline"/>
                      <w:lang w:val="en-US" w:eastAsia="zh-CN"/>
                    </w:rPr>
                    <w:t>《重点行业挥发性有机物综合治理方案》对挥发性有机物进行治理</w:t>
                  </w:r>
                </w:p>
              </w:tc>
              <w:tc>
                <w:tcPr>
                  <w:tcW w:w="614" w:type="dxa"/>
                  <w:tcBorders>
                    <w:tl2br w:val="nil"/>
                    <w:tr2bl w:val="nil"/>
                  </w:tcBorders>
                  <w:shd w:val="clear" w:color="auto" w:fill="auto"/>
                  <w:vAlign w:val="center"/>
                </w:tcPr>
                <w:p w14:paraId="77767846">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18"/>
                      <w:sz w:val="21"/>
                      <w:szCs w:val="21"/>
                      <w:vertAlign w:val="baseline"/>
                      <w:lang w:val="en-US" w:eastAsia="zh-CN" w:bidi="ar-SA"/>
                    </w:rPr>
                  </w:pPr>
                  <w:r>
                    <w:rPr>
                      <w:rFonts w:hint="eastAsia" w:cs="Times New Roman"/>
                      <w:snapToGrid w:val="0"/>
                      <w:color w:val="auto"/>
                      <w:kern w:val="18"/>
                      <w:sz w:val="21"/>
                      <w:szCs w:val="21"/>
                      <w:vertAlign w:val="baseline"/>
                      <w:lang w:val="en-US" w:eastAsia="zh-CN"/>
                    </w:rPr>
                    <w:t>符合</w:t>
                  </w:r>
                </w:p>
              </w:tc>
            </w:tr>
            <w:tr w14:paraId="3CC0D9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6324A369">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三)加强园区基础设施建设。加强园区污水处理厂的规划与建设，加快推进江西蓝星星火污水处理厂提标改造工作，适时建立中水回用机制。加强园区污水管网的建设与日常维护，防止污水漏损。推广使用集中供热和清洁能源，加强园区供热和燃气管道建设。工业用地范围内不得存在居民点等环境敏感点，居住用地和工业用地之间应设置环境防护带。</w:t>
                  </w:r>
                </w:p>
              </w:tc>
              <w:tc>
                <w:tcPr>
                  <w:tcW w:w="2018" w:type="dxa"/>
                  <w:tcBorders>
                    <w:tl2br w:val="nil"/>
                    <w:tr2bl w:val="nil"/>
                  </w:tcBorders>
                  <w:vAlign w:val="center"/>
                </w:tcPr>
                <w:p w14:paraId="147A5105">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eastAsia" w:cs="Times New Roman"/>
                      <w:snapToGrid w:val="0"/>
                      <w:color w:val="auto"/>
                      <w:kern w:val="18"/>
                      <w:sz w:val="21"/>
                      <w:szCs w:val="21"/>
                      <w:vertAlign w:val="baseline"/>
                      <w:lang w:val="en-US" w:eastAsia="zh-CN"/>
                    </w:rPr>
                    <w:t>本项目位于</w:t>
                  </w:r>
                  <w:r>
                    <w:rPr>
                      <w:rFonts w:hint="default" w:ascii="Times New Roman" w:hAnsi="Times New Roman" w:cs="Times New Roman"/>
                      <w:snapToGrid w:val="0"/>
                      <w:color w:val="auto"/>
                      <w:kern w:val="18"/>
                      <w:sz w:val="21"/>
                      <w:szCs w:val="21"/>
                      <w:vertAlign w:val="baseline"/>
                      <w:lang w:val="en-US" w:eastAsia="zh-CN"/>
                    </w:rPr>
                    <w:t>江西永修云山经济开发区</w:t>
                  </w:r>
                  <w:r>
                    <w:rPr>
                      <w:rFonts w:hint="eastAsia" w:cs="Times New Roman"/>
                      <w:snapToGrid w:val="0"/>
                      <w:color w:val="auto"/>
                      <w:kern w:val="18"/>
                      <w:sz w:val="21"/>
                      <w:szCs w:val="21"/>
                      <w:vertAlign w:val="baseline"/>
                      <w:lang w:val="en-US" w:eastAsia="zh-CN"/>
                    </w:rPr>
                    <w:t>云山工业园园，建设符合园区规划</w:t>
                  </w:r>
                </w:p>
              </w:tc>
              <w:tc>
                <w:tcPr>
                  <w:tcW w:w="614" w:type="dxa"/>
                  <w:tcBorders>
                    <w:tl2br w:val="nil"/>
                    <w:tr2bl w:val="nil"/>
                  </w:tcBorders>
                  <w:shd w:val="clear" w:color="auto" w:fill="auto"/>
                  <w:vAlign w:val="center"/>
                </w:tcPr>
                <w:p w14:paraId="77AEEF25">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18"/>
                      <w:sz w:val="21"/>
                      <w:szCs w:val="21"/>
                      <w:vertAlign w:val="baseline"/>
                      <w:lang w:val="en-US" w:eastAsia="zh-CN" w:bidi="ar-SA"/>
                    </w:rPr>
                  </w:pPr>
                  <w:r>
                    <w:rPr>
                      <w:rFonts w:hint="eastAsia" w:cs="Times New Roman"/>
                      <w:snapToGrid w:val="0"/>
                      <w:color w:val="auto"/>
                      <w:kern w:val="18"/>
                      <w:sz w:val="21"/>
                      <w:szCs w:val="21"/>
                      <w:vertAlign w:val="baseline"/>
                      <w:lang w:val="en-US" w:eastAsia="zh-CN"/>
                    </w:rPr>
                    <w:t>符合</w:t>
                  </w:r>
                </w:p>
              </w:tc>
            </w:tr>
            <w:tr w14:paraId="2AFF88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3F404372">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四)强化事故风险防范和应急措施。规划涉及的水环境及大气环境均较为敏感，须高度重视环境安全，配套完善区域环境保护基础设施、事故应急拦截设施和环境风险防范措施，加强防范事故排放对杨柳津河、潦河、修河水环境和水生生物影响的规划及其工程措施。制订严格的区域性环境污染事故应急预案并纳入当地政府应急响应系统，开展环境风险防范应急演练，充分发挥地方政府在区域联防联控体系中的作用，一旦出现风险事故，必须立即启动应急预案，及时采取相应措施，控制并削减污染影响，确保周边居民生命财产安全与环境安全，完善建设园区层面的地表水三级防控措施</w:t>
                  </w:r>
                  <w:r>
                    <w:rPr>
                      <w:rFonts w:hint="eastAsia" w:cs="Times New Roman"/>
                      <w:snapToGrid w:val="0"/>
                      <w:color w:val="auto"/>
                      <w:kern w:val="18"/>
                      <w:sz w:val="21"/>
                      <w:szCs w:val="21"/>
                      <w:vertAlign w:val="baseline"/>
                      <w:lang w:val="en-US" w:eastAsia="zh-CN"/>
                    </w:rPr>
                    <w:t>。</w:t>
                  </w:r>
                </w:p>
              </w:tc>
              <w:tc>
                <w:tcPr>
                  <w:tcW w:w="2018" w:type="dxa"/>
                  <w:tcBorders>
                    <w:tl2br w:val="nil"/>
                    <w:tr2bl w:val="nil"/>
                  </w:tcBorders>
                  <w:vAlign w:val="center"/>
                </w:tcPr>
                <w:p w14:paraId="29235A2D">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eastAsia" w:cs="Times New Roman"/>
                      <w:snapToGrid w:val="0"/>
                      <w:color w:val="auto"/>
                      <w:kern w:val="18"/>
                      <w:sz w:val="21"/>
                      <w:szCs w:val="21"/>
                      <w:vertAlign w:val="baseline"/>
                      <w:lang w:val="en-US" w:eastAsia="zh-CN"/>
                    </w:rPr>
                    <w:t>园区建立有效的环境质量监测和预警体系</w:t>
                  </w:r>
                </w:p>
              </w:tc>
              <w:tc>
                <w:tcPr>
                  <w:tcW w:w="614" w:type="dxa"/>
                  <w:tcBorders>
                    <w:tl2br w:val="nil"/>
                    <w:tr2bl w:val="nil"/>
                  </w:tcBorders>
                  <w:shd w:val="clear" w:color="auto" w:fill="auto"/>
                  <w:vAlign w:val="center"/>
                </w:tcPr>
                <w:p w14:paraId="39EB9F26">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18"/>
                      <w:sz w:val="21"/>
                      <w:szCs w:val="21"/>
                      <w:vertAlign w:val="baseline"/>
                      <w:lang w:val="en-US" w:eastAsia="zh-CN" w:bidi="ar-SA"/>
                    </w:rPr>
                  </w:pPr>
                  <w:r>
                    <w:rPr>
                      <w:rFonts w:hint="eastAsia" w:cs="Times New Roman"/>
                      <w:snapToGrid w:val="0"/>
                      <w:color w:val="auto"/>
                      <w:kern w:val="18"/>
                      <w:sz w:val="21"/>
                      <w:szCs w:val="21"/>
                      <w:vertAlign w:val="baseline"/>
                      <w:lang w:val="en-US" w:eastAsia="zh-CN"/>
                    </w:rPr>
                    <w:t>符合</w:t>
                  </w:r>
                </w:p>
              </w:tc>
            </w:tr>
            <w:tr w14:paraId="31AA47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76EA84DE">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(五)建立有效的环境质量监测和预警体系。设置地表水、大气、地下水、土壤和声环境监控点位(断面)，做好跟踪监测工作，每年将监测结果报当地生态环境主管部门并存档备查，保护环境安全，保障群众权益。</w:t>
                  </w:r>
                </w:p>
              </w:tc>
              <w:tc>
                <w:tcPr>
                  <w:tcW w:w="2018" w:type="dxa"/>
                  <w:tcBorders>
                    <w:tl2br w:val="nil"/>
                    <w:tr2bl w:val="nil"/>
                  </w:tcBorders>
                  <w:vAlign w:val="center"/>
                </w:tcPr>
                <w:p w14:paraId="0FC98E99">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eastAsia" w:cs="Times New Roman"/>
                      <w:snapToGrid w:val="0"/>
                      <w:color w:val="auto"/>
                      <w:kern w:val="18"/>
                      <w:sz w:val="21"/>
                      <w:szCs w:val="21"/>
                      <w:vertAlign w:val="baseline"/>
                      <w:lang w:val="en-US" w:eastAsia="zh-CN"/>
                    </w:rPr>
                    <w:t>园区建立有效的环境质量监测和预警体系</w:t>
                  </w:r>
                </w:p>
              </w:tc>
              <w:tc>
                <w:tcPr>
                  <w:tcW w:w="614" w:type="dxa"/>
                  <w:tcBorders>
                    <w:tl2br w:val="nil"/>
                    <w:tr2bl w:val="nil"/>
                  </w:tcBorders>
                  <w:shd w:val="clear" w:color="auto" w:fill="auto"/>
                  <w:vAlign w:val="center"/>
                </w:tcPr>
                <w:p w14:paraId="50790A96">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18"/>
                      <w:sz w:val="21"/>
                      <w:szCs w:val="21"/>
                      <w:vertAlign w:val="baseline"/>
                      <w:lang w:val="en-US" w:eastAsia="zh-CN" w:bidi="ar-SA"/>
                    </w:rPr>
                  </w:pPr>
                  <w:r>
                    <w:rPr>
                      <w:rFonts w:hint="eastAsia" w:cs="Times New Roman"/>
                      <w:snapToGrid w:val="0"/>
                      <w:color w:val="auto"/>
                      <w:kern w:val="18"/>
                      <w:sz w:val="21"/>
                      <w:szCs w:val="21"/>
                      <w:vertAlign w:val="baseline"/>
                      <w:lang w:val="en-US" w:eastAsia="zh-CN"/>
                    </w:rPr>
                    <w:t>符合</w:t>
                  </w:r>
                </w:p>
              </w:tc>
            </w:tr>
            <w:tr w14:paraId="6BE50C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5D94E726">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六)强化入园项目管理。对拟建项目，在开展建设项目环境影响评价时，重点应放在论证项目与当地”三线一单”、规划环评及审查意见提出的环境管理要求相符性以及园区内外居民区环境空气影响分析、园区纳污水体地表水环境影响分析、地下水环境影响分析、防护距离设置、环境风险影响分析、污染防治措施等方面。鉴于杨柳津河水环境容量状况，云山工业园、星火工业园限制引进废水排放量大的项目入驻;城南工业园城南片区限制引进排放工业废水的项目入驻;距离密集居住区、重要交通干道设施较近的园区范围，审慎发展大气重污染、高风险企业入驻;距离重要湿地最近的云山工业园南面工业用地审慎规划环境风险等级高和大气污染型建设项目。修河岸线1km范围内，应严格执行长江经济带发展负面清单要求，禁止新建、扩建化工园区以及化工等高污染项目。</w:t>
                  </w:r>
                </w:p>
              </w:tc>
              <w:tc>
                <w:tcPr>
                  <w:tcW w:w="2018" w:type="dxa"/>
                  <w:tcBorders>
                    <w:tl2br w:val="nil"/>
                    <w:tr2bl w:val="nil"/>
                  </w:tcBorders>
                  <w:vAlign w:val="center"/>
                </w:tcPr>
                <w:p w14:paraId="3F664A98">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本项目</w:t>
                  </w:r>
                  <w:r>
                    <w:rPr>
                      <w:rFonts w:hint="eastAsia" w:cs="Times New Roman"/>
                      <w:snapToGrid w:val="0"/>
                      <w:color w:val="auto"/>
                      <w:kern w:val="18"/>
                      <w:sz w:val="21"/>
                      <w:szCs w:val="21"/>
                      <w:vertAlign w:val="baseline"/>
                      <w:lang w:val="en-US" w:eastAsia="zh-CN"/>
                    </w:rPr>
                    <w:t>已分析与当地</w:t>
                  </w:r>
                  <w:r>
                    <w:rPr>
                      <w:rFonts w:hint="default" w:ascii="Times New Roman" w:hAnsi="Times New Roman" w:cs="Times New Roman"/>
                      <w:snapToGrid w:val="0"/>
                      <w:color w:val="auto"/>
                      <w:kern w:val="18"/>
                      <w:sz w:val="21"/>
                      <w:szCs w:val="21"/>
                      <w:vertAlign w:val="baseline"/>
                      <w:lang w:val="en-US" w:eastAsia="zh-CN"/>
                    </w:rPr>
                    <w:t>“三线一单”</w:t>
                  </w:r>
                  <w:r>
                    <w:rPr>
                      <w:rFonts w:hint="eastAsia" w:cs="Times New Roman"/>
                      <w:snapToGrid w:val="0"/>
                      <w:color w:val="auto"/>
                      <w:kern w:val="18"/>
                      <w:sz w:val="21"/>
                      <w:szCs w:val="21"/>
                      <w:vertAlign w:val="baseline"/>
                      <w:lang w:val="en-US" w:eastAsia="zh-CN"/>
                    </w:rPr>
                    <w:t>相关要求，与规划环评的</w:t>
                  </w:r>
                  <w:r>
                    <w:rPr>
                      <w:rFonts w:hint="default" w:ascii="Times New Roman" w:hAnsi="Times New Roman" w:cs="Times New Roman"/>
                      <w:snapToGrid w:val="0"/>
                      <w:color w:val="auto"/>
                      <w:kern w:val="18"/>
                      <w:sz w:val="21"/>
                      <w:szCs w:val="21"/>
                      <w:vertAlign w:val="baseline"/>
                      <w:lang w:val="en-US" w:eastAsia="zh-CN"/>
                    </w:rPr>
                    <w:t>相符性，项目位于江西永修云山经济开发区</w:t>
                  </w:r>
                  <w:r>
                    <w:rPr>
                      <w:rFonts w:hint="eastAsia" w:cs="Times New Roman"/>
                      <w:snapToGrid w:val="0"/>
                      <w:color w:val="auto"/>
                      <w:kern w:val="18"/>
                      <w:sz w:val="21"/>
                      <w:szCs w:val="21"/>
                      <w:vertAlign w:val="baseline"/>
                      <w:lang w:val="en-US" w:eastAsia="zh-CN"/>
                    </w:rPr>
                    <w:t>云山工业园园</w:t>
                  </w:r>
                  <w:r>
                    <w:rPr>
                      <w:rFonts w:hint="default" w:ascii="Times New Roman" w:hAnsi="Times New Roman" w:cs="Times New Roman"/>
                      <w:snapToGrid w:val="0"/>
                      <w:color w:val="auto"/>
                      <w:kern w:val="18"/>
                      <w:sz w:val="21"/>
                      <w:szCs w:val="21"/>
                      <w:vertAlign w:val="baseline"/>
                      <w:lang w:val="en-US" w:eastAsia="zh-CN"/>
                    </w:rPr>
                    <w:t>；不属于废水排放量大的项目，且项目废水污染物排放满足总量控制要求，项目不在修河岸线1km范围内</w:t>
                  </w:r>
                  <w:r>
                    <w:rPr>
                      <w:rFonts w:hint="eastAsia" w:cs="Times New Roman"/>
                      <w:snapToGrid w:val="0"/>
                      <w:color w:val="auto"/>
                      <w:kern w:val="18"/>
                      <w:sz w:val="21"/>
                      <w:szCs w:val="21"/>
                      <w:vertAlign w:val="baseline"/>
                      <w:lang w:val="en-US" w:eastAsia="zh-CN"/>
                    </w:rPr>
                    <w:t>；</w:t>
                  </w:r>
                  <w:r>
                    <w:rPr>
                      <w:rFonts w:hint="default" w:ascii="Times New Roman" w:hAnsi="Times New Roman" w:cs="Times New Roman"/>
                      <w:snapToGrid w:val="0"/>
                      <w:color w:val="auto"/>
                      <w:kern w:val="18"/>
                      <w:sz w:val="21"/>
                      <w:szCs w:val="21"/>
                      <w:vertAlign w:val="baseline"/>
                      <w:lang w:val="en-US" w:eastAsia="zh-CN"/>
                    </w:rPr>
                    <w:t>项目不属于新建、扩建化工园区以及化工等高污染项目</w:t>
                  </w:r>
                </w:p>
                <w:p w14:paraId="5BF34F19">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p>
                <w:p w14:paraId="4E21F362">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p>
              </w:tc>
              <w:tc>
                <w:tcPr>
                  <w:tcW w:w="614" w:type="dxa"/>
                  <w:tcBorders>
                    <w:tl2br w:val="nil"/>
                    <w:tr2bl w:val="nil"/>
                  </w:tcBorders>
                  <w:shd w:val="clear" w:color="auto" w:fill="auto"/>
                  <w:vAlign w:val="center"/>
                </w:tcPr>
                <w:p w14:paraId="446E5E3E">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18"/>
                      <w:sz w:val="21"/>
                      <w:szCs w:val="21"/>
                      <w:vertAlign w:val="baseline"/>
                      <w:lang w:val="en-US" w:eastAsia="zh-CN" w:bidi="ar-SA"/>
                    </w:rPr>
                  </w:pPr>
                  <w:r>
                    <w:rPr>
                      <w:rFonts w:hint="eastAsia" w:cs="Times New Roman"/>
                      <w:snapToGrid w:val="0"/>
                      <w:color w:val="auto"/>
                      <w:kern w:val="18"/>
                      <w:sz w:val="21"/>
                      <w:szCs w:val="21"/>
                      <w:vertAlign w:val="baseline"/>
                      <w:lang w:val="en-US" w:eastAsia="zh-CN"/>
                    </w:rPr>
                    <w:t>符合</w:t>
                  </w:r>
                </w:p>
              </w:tc>
            </w:tr>
            <w:tr w14:paraId="728415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36" w:type="dxa"/>
                  <w:tcBorders>
                    <w:tl2br w:val="nil"/>
                    <w:tr2bl w:val="nil"/>
                  </w:tcBorders>
                  <w:vAlign w:val="center"/>
                </w:tcPr>
                <w:p w14:paraId="5D59E939">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eastAsia" w:cs="Times New Roman"/>
                      <w:snapToGrid w:val="0"/>
                      <w:color w:val="auto"/>
                      <w:kern w:val="18"/>
                      <w:sz w:val="21"/>
                      <w:szCs w:val="21"/>
                      <w:vertAlign w:val="baseline"/>
                      <w:lang w:val="en-US" w:eastAsia="zh-CN"/>
                    </w:rPr>
                    <w:t>（七）</w:t>
                  </w:r>
                  <w:r>
                    <w:rPr>
                      <w:rFonts w:hint="default" w:ascii="Times New Roman" w:hAnsi="Times New Roman" w:cs="Times New Roman"/>
                      <w:snapToGrid w:val="0"/>
                      <w:color w:val="auto"/>
                      <w:kern w:val="18"/>
                      <w:sz w:val="21"/>
                      <w:szCs w:val="21"/>
                      <w:vertAlign w:val="baseline"/>
                      <w:lang w:val="en-US" w:eastAsia="zh-CN"/>
                    </w:rPr>
                    <w:t>本次扩区调区仍保持“一区三园”格局，即星火工业园、云山工业园及城南工业园(城南片区和马口片区)，规划总面积为1895.51公顷，其中星火工业园787.60公顷，云山工业园 384.48 公顷，城南工业园723.43 公顷(城南片区 372.16公顷，马口片区351.27公顷)。产业定位:以有机硅为首位产业、以绿色建材、电子信息及装备制造为主导产业、以数字经济、新能源和新服务经济为新兴产业，集生态、绿色、创新于一体的省级重点工业园区。星火工业园:发挥有机硅产业集聚优势，促进产品向高端化转变，产业链向终端延伸，打造“低碳高效绿色发展示范区”;云山工业园:以有机硅为依托，形成以有机硅和绿色建材为主，包括有机硅及有机硅下游产品、绿色环保建材产品、轻工业、医药制造(禁止原料药和医药中间体)、冶炼(限定于规划地块的C3216铝冶炼)等产业的综合产业区:城南工业园:以电子信息及装备、新兴产业发展为主，未来重点引进电子信息及装备制造、新能源、数字经济、轻工业、新服务新经济等产业项目</w:t>
                  </w:r>
                  <w:r>
                    <w:rPr>
                      <w:rFonts w:hint="eastAsia" w:cs="Times New Roman"/>
                      <w:snapToGrid w:val="0"/>
                      <w:color w:val="auto"/>
                      <w:kern w:val="18"/>
                      <w:sz w:val="21"/>
                      <w:szCs w:val="21"/>
                      <w:vertAlign w:val="baseline"/>
                      <w:lang w:val="en-US" w:eastAsia="zh-CN"/>
                    </w:rPr>
                    <w:t>。</w:t>
                  </w:r>
                </w:p>
              </w:tc>
              <w:tc>
                <w:tcPr>
                  <w:tcW w:w="2018" w:type="dxa"/>
                  <w:tcBorders>
                    <w:tl2br w:val="nil"/>
                    <w:tr2bl w:val="nil"/>
                  </w:tcBorders>
                  <w:vAlign w:val="center"/>
                </w:tcPr>
                <w:p w14:paraId="3391FCFF">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snapToGrid w:val="0"/>
                      <w:color w:val="auto"/>
                      <w:kern w:val="18"/>
                      <w:sz w:val="21"/>
                      <w:szCs w:val="21"/>
                      <w:vertAlign w:val="baseline"/>
                      <w:lang w:val="en-US" w:eastAsia="zh-CN"/>
                    </w:rPr>
                  </w:pPr>
                  <w:r>
                    <w:rPr>
                      <w:rFonts w:hint="default" w:ascii="Times New Roman" w:hAnsi="Times New Roman" w:cs="Times New Roman"/>
                      <w:snapToGrid w:val="0"/>
                      <w:color w:val="auto"/>
                      <w:kern w:val="18"/>
                      <w:sz w:val="21"/>
                      <w:szCs w:val="21"/>
                      <w:vertAlign w:val="baseline"/>
                      <w:lang w:val="en-US" w:eastAsia="zh-CN"/>
                    </w:rPr>
                    <w:t>项目位于江西永修云山经济开发区</w:t>
                  </w:r>
                  <w:r>
                    <w:rPr>
                      <w:rFonts w:hint="eastAsia" w:cs="Times New Roman"/>
                      <w:snapToGrid w:val="0"/>
                      <w:color w:val="auto"/>
                      <w:kern w:val="18"/>
                      <w:sz w:val="21"/>
                      <w:szCs w:val="21"/>
                      <w:vertAlign w:val="baseline"/>
                      <w:lang w:val="en-US" w:eastAsia="zh-CN"/>
                    </w:rPr>
                    <w:t>云山工业园园</w:t>
                  </w:r>
                  <w:r>
                    <w:rPr>
                      <w:rFonts w:hint="eastAsia" w:ascii="Times New Roman" w:hAnsi="Times New Roman" w:cs="Times New Roman"/>
                      <w:snapToGrid w:val="0"/>
                      <w:color w:val="auto"/>
                      <w:kern w:val="18"/>
                      <w:sz w:val="21"/>
                      <w:szCs w:val="21"/>
                      <w:vertAlign w:val="baseline"/>
                      <w:lang w:val="en-US" w:eastAsia="zh-CN"/>
                    </w:rPr>
                    <w:t>，</w:t>
                  </w:r>
                  <w:r>
                    <w:rPr>
                      <w:rFonts w:hint="default" w:ascii="Times New Roman" w:hAnsi="Times New Roman" w:cs="Times New Roman"/>
                      <w:snapToGrid w:val="0"/>
                      <w:color w:val="auto"/>
                      <w:kern w:val="18"/>
                      <w:sz w:val="21"/>
                      <w:szCs w:val="21"/>
                      <w:vertAlign w:val="baseline"/>
                      <w:lang w:val="en-US" w:eastAsia="zh-CN"/>
                    </w:rPr>
                    <w:t>本项目</w:t>
                  </w:r>
                  <w:r>
                    <w:rPr>
                      <w:rFonts w:hint="eastAsia" w:cs="Times New Roman"/>
                      <w:snapToGrid w:val="0"/>
                      <w:color w:val="auto"/>
                      <w:kern w:val="18"/>
                      <w:sz w:val="21"/>
                      <w:szCs w:val="21"/>
                      <w:vertAlign w:val="baseline"/>
                      <w:lang w:val="en-US" w:eastAsia="zh-CN"/>
                    </w:rPr>
                    <w:t>属于</w:t>
                  </w:r>
                  <w:r>
                    <w:rPr>
                      <w:rFonts w:hint="eastAsia" w:cs="Times New Roman"/>
                      <w:color w:val="auto"/>
                      <w:sz w:val="21"/>
                      <w:szCs w:val="21"/>
                      <w:lang w:val="en-US" w:eastAsia="zh-CN"/>
                    </w:rPr>
                    <w:t>废弃资源综合利用</w:t>
                  </w:r>
                  <w:r>
                    <w:rPr>
                      <w:rFonts w:hint="eastAsia" w:ascii="Times New Roman" w:hAnsi="Times New Roman" w:cs="Times New Roman"/>
                      <w:snapToGrid w:val="0"/>
                      <w:color w:val="auto"/>
                      <w:kern w:val="18"/>
                      <w:sz w:val="21"/>
                      <w:szCs w:val="21"/>
                      <w:vertAlign w:val="baseline"/>
                      <w:lang w:val="en-US" w:eastAsia="zh-CN"/>
                    </w:rPr>
                    <w:t>，</w:t>
                  </w:r>
                  <w:r>
                    <w:rPr>
                      <w:rFonts w:hint="eastAsia" w:cs="Times New Roman"/>
                      <w:snapToGrid w:val="0"/>
                      <w:color w:val="auto"/>
                      <w:kern w:val="18"/>
                      <w:sz w:val="21"/>
                      <w:szCs w:val="21"/>
                      <w:vertAlign w:val="baseline"/>
                      <w:lang w:val="en-US" w:eastAsia="zh-CN"/>
                    </w:rPr>
                    <w:t>符合</w:t>
                  </w:r>
                  <w:r>
                    <w:rPr>
                      <w:rFonts w:hint="default" w:ascii="Times New Roman" w:hAnsi="Times New Roman" w:cs="Times New Roman"/>
                      <w:snapToGrid w:val="0"/>
                      <w:color w:val="auto"/>
                      <w:kern w:val="18"/>
                      <w:sz w:val="21"/>
                      <w:szCs w:val="21"/>
                      <w:vertAlign w:val="baseline"/>
                      <w:lang w:val="en-US" w:eastAsia="zh-CN"/>
                    </w:rPr>
                    <w:t>低碳高效绿色发展</w:t>
                  </w:r>
                  <w:r>
                    <w:rPr>
                      <w:rFonts w:hint="eastAsia" w:ascii="Times New Roman" w:hAnsi="Times New Roman" w:cs="Times New Roman"/>
                      <w:snapToGrid w:val="0"/>
                      <w:color w:val="auto"/>
                      <w:kern w:val="18"/>
                      <w:sz w:val="21"/>
                      <w:szCs w:val="21"/>
                      <w:vertAlign w:val="baseline"/>
                      <w:lang w:val="en-US" w:eastAsia="zh-CN"/>
                    </w:rPr>
                    <w:t>要求</w:t>
                  </w:r>
                </w:p>
              </w:tc>
              <w:tc>
                <w:tcPr>
                  <w:tcW w:w="614" w:type="dxa"/>
                  <w:tcBorders>
                    <w:tl2br w:val="nil"/>
                    <w:tr2bl w:val="nil"/>
                  </w:tcBorders>
                  <w:shd w:val="clear" w:color="auto" w:fill="auto"/>
                  <w:vAlign w:val="center"/>
                </w:tcPr>
                <w:p w14:paraId="408C24A7">
                  <w:pPr>
                    <w:pStyle w:val="34"/>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eastAsia="宋体" w:cs="Times New Roman"/>
                      <w:snapToGrid w:val="0"/>
                      <w:color w:val="auto"/>
                      <w:kern w:val="18"/>
                      <w:sz w:val="21"/>
                      <w:szCs w:val="21"/>
                      <w:vertAlign w:val="baseline"/>
                      <w:lang w:val="en-US" w:eastAsia="zh-CN" w:bidi="ar-SA"/>
                    </w:rPr>
                  </w:pPr>
                  <w:r>
                    <w:rPr>
                      <w:rFonts w:hint="eastAsia" w:cs="Times New Roman"/>
                      <w:snapToGrid w:val="0"/>
                      <w:color w:val="auto"/>
                      <w:kern w:val="18"/>
                      <w:sz w:val="21"/>
                      <w:szCs w:val="21"/>
                      <w:vertAlign w:val="baseline"/>
                      <w:lang w:val="en-US" w:eastAsia="zh-CN"/>
                    </w:rPr>
                    <w:t>符合</w:t>
                  </w:r>
                </w:p>
              </w:tc>
            </w:tr>
          </w:tbl>
          <w:p w14:paraId="0F63B093">
            <w:pPr>
              <w:pStyle w:val="34"/>
              <w:pageBreakBefore w:val="0"/>
              <w:topLinePunct w:val="0"/>
              <w:bidi w:val="0"/>
              <w:adjustRightInd/>
              <w:snapToGrid/>
              <w:spacing w:beforeAutospacing="0" w:afterAutospacing="0"/>
              <w:ind w:left="0" w:leftChars="0" w:right="0" w:rightChars="0" w:firstLine="0" w:firstLineChars="0"/>
              <w:rPr>
                <w:rFonts w:hint="eastAsia"/>
                <w:color w:val="auto"/>
              </w:rPr>
            </w:pPr>
          </w:p>
        </w:tc>
      </w:tr>
      <w:tr w14:paraId="6B675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03" w:type="pct"/>
            <w:tcBorders>
              <w:top w:val="single" w:color="auto" w:sz="4" w:space="0"/>
              <w:left w:val="single" w:color="auto" w:sz="8" w:space="0"/>
              <w:bottom w:val="single" w:color="auto" w:sz="4" w:space="0"/>
              <w:right w:val="single" w:color="auto" w:sz="4" w:space="0"/>
              <w:tl2br w:val="nil"/>
              <w:tr2bl w:val="nil"/>
            </w:tcBorders>
            <w:noWrap w:val="0"/>
            <w:vAlign w:val="center"/>
          </w:tcPr>
          <w:p w14:paraId="6AE21DC6">
            <w:pPr>
              <w:pageBreakBefore w:val="0"/>
              <w:topLinePunct w:val="0"/>
              <w:autoSpaceDE w:val="0"/>
              <w:autoSpaceDN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4"/>
                <w:szCs w:val="24"/>
                <w:lang w:val="en-US" w:eastAsia="zh-CN"/>
              </w:rPr>
            </w:pPr>
            <w:r>
              <w:rPr>
                <w:rFonts w:hint="eastAsia" w:eastAsia="宋体" w:cs="Times New Roman"/>
                <w:color w:val="auto"/>
                <w:kern w:val="0"/>
                <w:sz w:val="24"/>
                <w:szCs w:val="24"/>
                <w:lang w:val="en-US" w:eastAsia="zh-CN"/>
              </w:rPr>
              <w:t>其他符合性分析</w:t>
            </w:r>
          </w:p>
        </w:tc>
        <w:tc>
          <w:tcPr>
            <w:tcW w:w="4096" w:type="pct"/>
            <w:gridSpan w:val="3"/>
            <w:tcBorders>
              <w:top w:val="single" w:color="auto" w:sz="4" w:space="0"/>
              <w:left w:val="single" w:color="auto" w:sz="4" w:space="0"/>
              <w:bottom w:val="single" w:color="auto" w:sz="4" w:space="0"/>
              <w:right w:val="single" w:color="auto" w:sz="8" w:space="0"/>
              <w:tl2br w:val="nil"/>
              <w:tr2bl w:val="nil"/>
            </w:tcBorders>
            <w:shd w:val="clear" w:color="auto" w:fill="auto"/>
            <w:noWrap w:val="0"/>
            <w:vAlign w:val="center"/>
          </w:tcPr>
          <w:p w14:paraId="2A1480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、产业政策分析</w:t>
            </w:r>
          </w:p>
          <w:p w14:paraId="63A94B88">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rPr>
            </w:pPr>
            <w:r>
              <w:rPr>
                <w:rFonts w:hint="eastAsia" w:asciiTheme="minorEastAsia" w:hAnsiTheme="minorEastAsia" w:eastAsiaTheme="minorEastAsia" w:cstheme="minorEastAsia"/>
                <w:color w:val="auto"/>
                <w:sz w:val="24"/>
                <w:szCs w:val="24"/>
                <w:lang w:eastAsia="zh-CN"/>
              </w:rPr>
              <w:t>根据《国民经济行业分类》（</w:t>
            </w:r>
            <w:r>
              <w:rPr>
                <w:rFonts w:hint="eastAsia" w:asciiTheme="minorEastAsia" w:hAnsiTheme="minorEastAsia" w:eastAsiaTheme="minorEastAsia" w:cstheme="minorEastAsia"/>
                <w:color w:val="auto"/>
                <w:sz w:val="24"/>
                <w:szCs w:val="24"/>
                <w:lang w:val="en-US" w:eastAsia="zh-CN"/>
              </w:rPr>
              <w:t>2019修订版</w:t>
            </w:r>
            <w:r>
              <w:rPr>
                <w:rFonts w:hint="eastAsia" w:asciiTheme="minorEastAsia" w:hAnsiTheme="minorEastAsia" w:eastAsiaTheme="minorEastAsia" w:cstheme="minorEastAsia"/>
                <w:color w:val="auto"/>
                <w:sz w:val="24"/>
                <w:szCs w:val="24"/>
                <w:lang w:eastAsia="zh-CN"/>
              </w:rPr>
              <w:t>），本项目属</w:t>
            </w:r>
            <w:r>
              <w:rPr>
                <w:rFonts w:hint="eastAsia" w:asciiTheme="minorEastAsia" w:hAnsiTheme="minorEastAsia" w:eastAsiaTheme="minorEastAsia" w:cstheme="minorEastAsia"/>
                <w:color w:val="auto"/>
                <w:sz w:val="24"/>
                <w:szCs w:val="24"/>
                <w:lang w:val="en-US" w:eastAsia="zh-CN"/>
              </w:rPr>
              <w:t>于C4220非金属废料和碎屑加工处理类</w:t>
            </w:r>
            <w:r>
              <w:rPr>
                <w:rFonts w:hint="eastAsia" w:asciiTheme="minorEastAsia" w:hAnsiTheme="minorEastAsia" w:eastAsiaTheme="minorEastAsia" w:cstheme="minorEastAsia"/>
                <w:color w:val="auto"/>
                <w:sz w:val="24"/>
                <w:szCs w:val="24"/>
                <w:lang w:eastAsia="zh-CN"/>
              </w:rPr>
              <w:t>。经查阅《产业结构调整指导目录》（20</w:t>
            </w:r>
            <w:r>
              <w:rPr>
                <w:rFonts w:hint="eastAsia" w:asciiTheme="minorEastAsia" w:hAnsiTheme="minorEastAsia" w:eastAsiaTheme="minorEastAsia" w:cstheme="minorEastAsia"/>
                <w:color w:val="auto"/>
                <w:sz w:val="24"/>
                <w:szCs w:val="24"/>
                <w:lang w:val="en-US" w:eastAsia="zh-CN"/>
              </w:rPr>
              <w:t>24</w:t>
            </w:r>
            <w:r>
              <w:rPr>
                <w:rFonts w:hint="eastAsia" w:asciiTheme="minorEastAsia" w:hAnsiTheme="minorEastAsia" w:eastAsiaTheme="minorEastAsia" w:cstheme="minorEastAsia"/>
                <w:color w:val="auto"/>
                <w:sz w:val="24"/>
                <w:szCs w:val="24"/>
                <w:lang w:eastAsia="zh-CN"/>
              </w:rPr>
              <w:t>年本），</w:t>
            </w:r>
            <w:r>
              <w:rPr>
                <w:rFonts w:ascii="宋体" w:hAnsi="宋体" w:eastAsia="宋体" w:cs="宋体"/>
                <w:color w:val="auto"/>
                <w:sz w:val="24"/>
                <w:szCs w:val="24"/>
              </w:rPr>
              <w:t>本项目属于鼓励类中的“四十二、环境保护与资源节约 综合利用 8.废弃物循环利用：废钢铁、废有色金属、废纸、废橡胶、 废玻璃、废塑料…等城市典型废弃物循环利用、技术设备开发及应用”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故符合国家产业政策</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同时</w:t>
            </w:r>
            <w:r>
              <w:rPr>
                <w:rFonts w:hint="eastAsia" w:asciiTheme="minorEastAsia" w:hAnsiTheme="minorEastAsia" w:eastAsiaTheme="minorEastAsia" w:cstheme="minorEastAsia"/>
                <w:color w:val="auto"/>
                <w:sz w:val="24"/>
                <w:szCs w:val="24"/>
                <w:lang w:eastAsia="zh-CN"/>
              </w:rPr>
              <w:t>永修县行政审批局</w:t>
            </w:r>
            <w:r>
              <w:rPr>
                <w:rFonts w:hint="eastAsia" w:asciiTheme="minorEastAsia" w:hAnsiTheme="minorEastAsia" w:eastAsiaTheme="minorEastAsia" w:cstheme="minorEastAsia"/>
                <w:color w:val="auto"/>
                <w:sz w:val="24"/>
                <w:szCs w:val="24"/>
              </w:rPr>
              <w:t>同意了本项目的备案申请</w:t>
            </w:r>
            <w:r>
              <w:rPr>
                <w:rFonts w:hint="eastAsia" w:asciiTheme="minorEastAsia" w:hAnsiTheme="minorEastAsia" w:eastAsiaTheme="minorEastAsia" w:cstheme="minorEastAsia"/>
                <w:snapToGrid w:val="0"/>
                <w:color w:val="auto"/>
                <w:kern w:val="0"/>
                <w:sz w:val="24"/>
                <w:szCs w:val="24"/>
                <w:lang w:val="en-US" w:eastAsia="zh-CN" w:bidi="ar-SA"/>
              </w:rPr>
              <w:t>（统一项目代码2504-360425-07-02-131469）</w:t>
            </w:r>
            <w:r>
              <w:rPr>
                <w:rFonts w:hint="default" w:ascii="Times New Roman" w:hAnsi="Times New Roman" w:cs="Times New Roman"/>
                <w:color w:val="auto"/>
                <w:sz w:val="24"/>
                <w:szCs w:val="24"/>
              </w:rPr>
              <w:t>。</w:t>
            </w:r>
          </w:p>
          <w:p w14:paraId="4C9E8713">
            <w:pPr>
              <w:pStyle w:val="35"/>
              <w:pageBreakBefore w:val="0"/>
              <w:topLinePunct w:val="0"/>
              <w:bidi w:val="0"/>
              <w:adjustRightInd/>
              <w:snapToGrid/>
              <w:spacing w:beforeAutospacing="0" w:afterAutospacing="0" w:line="360" w:lineRule="auto"/>
              <w:ind w:left="0" w:leftChars="0" w:right="0" w:rightChars="0"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val="en-US" w:eastAsia="zh-CN"/>
              </w:rPr>
              <w:t>采用的生产工艺及其设备均不属于淘汰类</w:t>
            </w:r>
            <w:r>
              <w:rPr>
                <w:rFonts w:hint="default" w:ascii="Times New Roman" w:hAnsi="Times New Roman" w:cs="Times New Roman"/>
                <w:color w:val="auto"/>
                <w:sz w:val="24"/>
                <w:szCs w:val="24"/>
              </w:rPr>
              <w:t>工艺</w:t>
            </w:r>
            <w:r>
              <w:rPr>
                <w:rFonts w:hint="eastAsia" w:ascii="Times New Roman" w:hAnsi="Times New Roman" w:cs="Times New Roman"/>
                <w:color w:val="auto"/>
                <w:sz w:val="24"/>
                <w:szCs w:val="24"/>
                <w:lang w:val="en-US" w:eastAsia="zh-CN"/>
              </w:rPr>
              <w:t>设备</w:t>
            </w:r>
            <w:r>
              <w:rPr>
                <w:rFonts w:hint="default" w:ascii="Times New Roman" w:hAnsi="Times New Roman" w:cs="Times New Roman"/>
                <w:color w:val="auto"/>
                <w:sz w:val="24"/>
                <w:szCs w:val="24"/>
              </w:rPr>
              <w:t>。</w:t>
            </w:r>
          </w:p>
          <w:p w14:paraId="7E6F51B8">
            <w:pPr>
              <w:pageBreakBefore w:val="0"/>
              <w:topLinePunct w:val="0"/>
              <w:bidi w:val="0"/>
              <w:adjustRightInd/>
              <w:snapToGrid/>
              <w:spacing w:beforeAutospacing="0" w:afterAutospacing="0" w:line="360" w:lineRule="auto"/>
              <w:ind w:left="0" w:leftChars="0" w:right="0" w:rightChars="0" w:firstLine="480" w:firstLineChars="200"/>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因此</w:t>
            </w:r>
            <w:r>
              <w:rPr>
                <w:rFonts w:hint="default" w:ascii="Times New Roman" w:hAnsi="Times New Roman" w:cs="Times New Roman"/>
                <w:color w:val="auto"/>
                <w:sz w:val="24"/>
                <w:szCs w:val="24"/>
              </w:rPr>
              <w:t>，本项目</w:t>
            </w:r>
            <w:r>
              <w:rPr>
                <w:rFonts w:hint="eastAsia" w:ascii="Times New Roman" w:hAnsi="Times New Roman" w:eastAsia="宋体" w:cs="Times New Roman"/>
                <w:color w:val="auto"/>
                <w:sz w:val="24"/>
                <w:szCs w:val="24"/>
                <w:lang w:val="en-US" w:eastAsia="zh-CN"/>
              </w:rPr>
              <w:t>建设</w:t>
            </w:r>
            <w:r>
              <w:rPr>
                <w:rFonts w:hint="default" w:ascii="Times New Roman" w:hAnsi="Times New Roman" w:cs="Times New Roman"/>
                <w:color w:val="auto"/>
                <w:sz w:val="24"/>
                <w:szCs w:val="24"/>
              </w:rPr>
              <w:t>符合国家及地方产业政策</w:t>
            </w:r>
            <w:r>
              <w:rPr>
                <w:rFonts w:hint="eastAsia" w:ascii="Times New Roman" w:hAnsi="Times New Roman" w:eastAsia="宋体" w:cs="Times New Roman"/>
                <w:color w:val="auto"/>
                <w:sz w:val="24"/>
                <w:szCs w:val="24"/>
                <w:lang w:val="en-US" w:eastAsia="zh-CN"/>
              </w:rPr>
              <w:t>的要求</w:t>
            </w:r>
            <w:r>
              <w:rPr>
                <w:rFonts w:hint="default" w:ascii="Times New Roman" w:hAnsi="Times New Roman" w:cs="Times New Roman"/>
                <w:color w:val="auto"/>
                <w:sz w:val="24"/>
                <w:szCs w:val="24"/>
              </w:rPr>
              <w:t>。</w:t>
            </w:r>
          </w:p>
          <w:p w14:paraId="486167B8">
            <w:pPr>
              <w:pageBreakBefore w:val="0"/>
              <w:topLinePunct w:val="0"/>
              <w:bidi w:val="0"/>
              <w:adjustRightInd/>
              <w:snapToGrid/>
              <w:spacing w:beforeAutospacing="0" w:afterAutospacing="0" w:line="360" w:lineRule="auto"/>
              <w:ind w:left="0" w:leftChars="0" w:right="0" w:rightChars="0" w:firstLine="480" w:firstLineChars="200"/>
              <w:rPr>
                <w:rFonts w:hint="eastAsia" w:eastAsia="宋体"/>
                <w:b/>
                <w:bCs/>
                <w:color w:val="auto"/>
                <w:sz w:val="24"/>
                <w:szCs w:val="24"/>
                <w:lang w:eastAsia="zh-CN"/>
              </w:rPr>
            </w:pPr>
            <w:r>
              <w:rPr>
                <w:rFonts w:hint="eastAsia"/>
                <w:b/>
                <w:bCs/>
                <w:color w:val="auto"/>
                <w:sz w:val="24"/>
                <w:szCs w:val="24"/>
                <w:lang w:val="en-US" w:eastAsia="zh-CN"/>
              </w:rPr>
              <w:t>2、选址可行性</w:t>
            </w:r>
            <w:r>
              <w:rPr>
                <w:rFonts w:hint="eastAsia" w:eastAsia="宋体"/>
                <w:b/>
                <w:bCs/>
                <w:color w:val="auto"/>
                <w:sz w:val="24"/>
                <w:szCs w:val="24"/>
                <w:lang w:val="en-US" w:eastAsia="zh-CN"/>
              </w:rPr>
              <w:t>分析</w:t>
            </w:r>
          </w:p>
          <w:p w14:paraId="1DA60449">
            <w:pPr>
              <w:widowControl/>
              <w:spacing w:line="360" w:lineRule="auto"/>
              <w:ind w:firstLine="480" w:firstLineChars="200"/>
              <w:jc w:val="left"/>
              <w:rPr>
                <w:rFonts w:ascii="Times New Roman" w:hAnsi="Times New Roman" w:eastAsia="宋体" w:cstheme="minorEastAsia"/>
                <w:color w:val="auto"/>
                <w:sz w:val="24"/>
              </w:rPr>
            </w:pPr>
            <w:r>
              <w:rPr>
                <w:rFonts w:hint="eastAsia" w:ascii="Times New Roman" w:hAnsi="Times New Roman" w:eastAsia="宋体" w:cstheme="minorEastAsia"/>
                <w:color w:val="auto"/>
                <w:sz w:val="24"/>
              </w:rPr>
              <w:t xml:space="preserve">（1）用地性质相符性分析 </w:t>
            </w:r>
          </w:p>
          <w:p w14:paraId="6DF96D22">
            <w:pPr>
              <w:widowControl/>
              <w:spacing w:line="360" w:lineRule="auto"/>
              <w:ind w:firstLine="480" w:firstLineChars="200"/>
              <w:jc w:val="left"/>
              <w:rPr>
                <w:rFonts w:hint="eastAsia" w:ascii="Times New Roman" w:hAnsi="Times New Roman" w:eastAsia="宋体" w:cstheme="minorEastAsia"/>
                <w:color w:val="auto"/>
                <w:sz w:val="24"/>
              </w:rPr>
            </w:pPr>
            <w:r>
              <w:rPr>
                <w:rFonts w:hint="eastAsia" w:ascii="Times New Roman" w:hAnsi="Times New Roman" w:eastAsia="宋体" w:cstheme="minorEastAsia"/>
                <w:color w:val="auto"/>
                <w:sz w:val="24"/>
              </w:rPr>
              <w:t>项目位于</w:t>
            </w:r>
            <w:r>
              <w:rPr>
                <w:rFonts w:hint="eastAsia" w:ascii="Times New Roman" w:hAnsi="Times New Roman" w:eastAsia="宋体" w:cs="宋体"/>
                <w:b w:val="0"/>
                <w:bCs w:val="0"/>
                <w:color w:val="auto"/>
                <w:sz w:val="24"/>
              </w:rPr>
              <w:t>江西省</w:t>
            </w:r>
            <w:r>
              <w:rPr>
                <w:rFonts w:hint="eastAsia" w:asciiTheme="minorEastAsia" w:hAnsiTheme="minorEastAsia" w:eastAsiaTheme="minorEastAsia" w:cstheme="minorEastAsia"/>
                <w:snapToGrid w:val="0"/>
                <w:color w:val="auto"/>
                <w:kern w:val="18"/>
                <w:sz w:val="24"/>
                <w:szCs w:val="24"/>
                <w:lang w:val="en-US" w:eastAsia="zh-CN"/>
              </w:rPr>
              <w:t>九江市永修县云山经济开发区云山工业园园荣祺大道南侧江西鑫润绿色循环发展有限公司</w:t>
            </w:r>
            <w:r>
              <w:rPr>
                <w:rFonts w:hint="eastAsia" w:ascii="Times New Roman" w:hAnsi="Times New Roman" w:eastAsia="宋体" w:cstheme="minorEastAsia"/>
                <w:color w:val="auto"/>
                <w:sz w:val="24"/>
              </w:rPr>
              <w:t>，</w:t>
            </w:r>
            <w:r>
              <w:rPr>
                <w:rFonts w:hint="eastAsia" w:ascii="Times New Roman" w:hAnsi="Times New Roman" w:eastAsia="宋体" w:cstheme="minorEastAsia"/>
                <w:color w:val="auto"/>
                <w:sz w:val="24"/>
                <w:lang w:val="en-US" w:eastAsia="zh-CN"/>
              </w:rPr>
              <w:t>属于技改项目。</w:t>
            </w:r>
            <w:r>
              <w:rPr>
                <w:rFonts w:hint="eastAsia" w:ascii="Times New Roman" w:hAnsi="Times New Roman" w:eastAsia="宋体" w:cstheme="minorEastAsia"/>
                <w:color w:val="auto"/>
                <w:sz w:val="24"/>
              </w:rPr>
              <w:t>根据云山工业园土地利用规划图，项目所在地为工业用地，符合用地规划。</w:t>
            </w:r>
          </w:p>
          <w:p w14:paraId="2B00B430">
            <w:pPr>
              <w:widowControl/>
              <w:spacing w:line="360" w:lineRule="auto"/>
              <w:ind w:firstLine="480" w:firstLineChars="200"/>
              <w:jc w:val="left"/>
              <w:rPr>
                <w:rFonts w:ascii="Times New Roman" w:hAnsi="Times New Roman" w:eastAsia="宋体" w:cstheme="minorEastAsia"/>
                <w:color w:val="auto"/>
                <w:sz w:val="24"/>
              </w:rPr>
            </w:pPr>
            <w:r>
              <w:rPr>
                <w:rFonts w:hint="eastAsia" w:ascii="Times New Roman" w:hAnsi="Times New Roman" w:eastAsia="宋体" w:cstheme="minorEastAsia"/>
                <w:color w:val="auto"/>
                <w:sz w:val="24"/>
              </w:rPr>
              <w:t xml:space="preserve">（2）选址所在地环境敏感程度分析 </w:t>
            </w:r>
          </w:p>
          <w:p w14:paraId="6CF60394">
            <w:pPr>
              <w:spacing w:line="360" w:lineRule="auto"/>
              <w:ind w:firstLine="480" w:firstLineChars="200"/>
              <w:jc w:val="both"/>
              <w:rPr>
                <w:rFonts w:hint="eastAsia" w:ascii="Times New Roman" w:hAnsi="Times New Roman" w:eastAsia="宋体" w:cstheme="minorEastAsia"/>
                <w:color w:val="auto"/>
                <w:sz w:val="24"/>
              </w:rPr>
            </w:pPr>
            <w:r>
              <w:rPr>
                <w:rFonts w:hint="eastAsia" w:ascii="Times New Roman" w:hAnsi="Times New Roman" w:eastAsia="宋体" w:cstheme="minorEastAsia"/>
                <w:color w:val="auto"/>
                <w:sz w:val="24"/>
              </w:rPr>
              <w:t>项目选址不属于生活饮用水和地下水补给区、风景名胜区、温泉疗养区、水产养殖区、基本农田保护区、自然保护区等需要特殊保护的区域。</w:t>
            </w:r>
            <w:r>
              <w:rPr>
                <w:rFonts w:hint="eastAsia" w:ascii="Times New Roman" w:hAnsi="Times New Roman" w:eastAsia="宋体"/>
                <w:color w:val="auto"/>
                <w:sz w:val="24"/>
                <w:szCs w:val="24"/>
                <w:lang w:eastAsia="zh-CN"/>
              </w:rPr>
              <w:t>根据调查，</w:t>
            </w:r>
            <w:r>
              <w:rPr>
                <w:rFonts w:hint="eastAsia" w:ascii="Times New Roman" w:hAnsi="Times New Roman" w:eastAsia="宋体" w:cstheme="minorEastAsia"/>
                <w:color w:val="auto"/>
                <w:sz w:val="24"/>
              </w:rPr>
              <w:t>距离本项目最近环境保护目标为</w:t>
            </w:r>
            <w:r>
              <w:rPr>
                <w:rFonts w:hint="eastAsia" w:ascii="Times New Roman" w:hAnsi="Times New Roman" w:eastAsia="宋体" w:cstheme="minorEastAsia"/>
                <w:color w:val="auto"/>
                <w:sz w:val="24"/>
                <w:lang w:val="en-US" w:eastAsia="zh-CN"/>
              </w:rPr>
              <w:t>西南</w:t>
            </w:r>
            <w:r>
              <w:rPr>
                <w:rFonts w:hint="eastAsia" w:ascii="Times New Roman" w:hAnsi="Times New Roman" w:eastAsia="宋体" w:cstheme="minorEastAsia"/>
                <w:color w:val="auto"/>
                <w:sz w:val="24"/>
              </w:rPr>
              <w:t>侧的老屋刘，距离本项目距离约为</w:t>
            </w:r>
            <w:r>
              <w:rPr>
                <w:rFonts w:hint="eastAsia" w:ascii="Times New Roman" w:hAnsi="Times New Roman" w:eastAsia="宋体" w:cstheme="minorEastAsia"/>
                <w:color w:val="auto"/>
                <w:sz w:val="24"/>
                <w:lang w:val="en-US" w:eastAsia="zh-CN"/>
              </w:rPr>
              <w:t>530</w:t>
            </w:r>
            <w:r>
              <w:rPr>
                <w:rFonts w:hint="eastAsia" w:ascii="Times New Roman" w:hAnsi="Times New Roman" w:eastAsia="宋体" w:cstheme="minorEastAsia"/>
                <w:color w:val="auto"/>
                <w:sz w:val="24"/>
              </w:rPr>
              <w:t>m，</w:t>
            </w:r>
            <w:r>
              <w:rPr>
                <w:rFonts w:hint="eastAsia" w:ascii="Times New Roman" w:hAnsi="Times New Roman" w:eastAsia="宋体"/>
                <w:color w:val="auto"/>
                <w:sz w:val="24"/>
                <w:szCs w:val="24"/>
                <w:lang w:eastAsia="zh-CN"/>
              </w:rPr>
              <w:t>受项目影响较小。本项目运营期产生的废水、固废、废气等均得到妥善处理，建成投产后对周边环境敏感点影响小。因此，本项目与周边企业相容性较好。</w:t>
            </w:r>
            <w:r>
              <w:rPr>
                <w:rFonts w:hint="eastAsia" w:ascii="Times New Roman" w:hAnsi="Times New Roman" w:eastAsia="宋体" w:cstheme="minorEastAsia"/>
                <w:color w:val="auto"/>
                <w:sz w:val="24"/>
              </w:rPr>
              <w:t>满足卫生防护距离要求。</w:t>
            </w:r>
          </w:p>
          <w:p w14:paraId="747ED73B">
            <w:pPr>
              <w:widowControl/>
              <w:spacing w:line="360" w:lineRule="auto"/>
              <w:ind w:firstLine="480" w:firstLineChars="200"/>
              <w:jc w:val="left"/>
              <w:rPr>
                <w:rFonts w:ascii="Times New Roman" w:hAnsi="Times New Roman" w:eastAsia="宋体" w:cstheme="minorEastAsia"/>
                <w:color w:val="auto"/>
                <w:sz w:val="24"/>
              </w:rPr>
            </w:pPr>
            <w:r>
              <w:rPr>
                <w:rFonts w:hint="eastAsia" w:ascii="Times New Roman" w:hAnsi="Times New Roman" w:eastAsia="宋体" w:cstheme="minorEastAsia"/>
                <w:color w:val="auto"/>
                <w:sz w:val="24"/>
              </w:rPr>
              <w:t xml:space="preserve">（3）环境容量 </w:t>
            </w:r>
          </w:p>
          <w:p w14:paraId="1679A542">
            <w:pPr>
              <w:widowControl/>
              <w:spacing w:line="360" w:lineRule="auto"/>
              <w:ind w:firstLine="480" w:firstLineChars="200"/>
              <w:jc w:val="left"/>
              <w:rPr>
                <w:rFonts w:ascii="Times New Roman" w:hAnsi="Times New Roman" w:eastAsia="宋体" w:cstheme="minorEastAsia"/>
                <w:color w:val="auto"/>
                <w:sz w:val="24"/>
              </w:rPr>
            </w:pPr>
            <w:r>
              <w:rPr>
                <w:rFonts w:hint="eastAsia" w:ascii="Times New Roman" w:hAnsi="Times New Roman" w:eastAsia="宋体" w:cstheme="minorEastAsia"/>
                <w:color w:val="auto"/>
                <w:sz w:val="24"/>
              </w:rPr>
              <w:t xml:space="preserve">项目所在区域环境质量现状较好，大气、地表水等环境满足相应环境功能区划要求，区域有足够的环境容量。 </w:t>
            </w:r>
          </w:p>
          <w:p w14:paraId="0D215C83">
            <w:pPr>
              <w:widowControl/>
              <w:spacing w:line="360" w:lineRule="auto"/>
              <w:ind w:firstLine="480" w:firstLineChars="200"/>
              <w:jc w:val="left"/>
              <w:rPr>
                <w:rFonts w:ascii="Times New Roman" w:hAnsi="Times New Roman" w:eastAsia="宋体" w:cstheme="minorEastAsia"/>
                <w:color w:val="auto"/>
                <w:sz w:val="24"/>
              </w:rPr>
            </w:pPr>
            <w:r>
              <w:rPr>
                <w:rFonts w:hint="eastAsia" w:ascii="Times New Roman" w:hAnsi="Times New Roman" w:eastAsia="宋体" w:cstheme="minorEastAsia"/>
                <w:color w:val="auto"/>
                <w:sz w:val="24"/>
              </w:rPr>
              <w:t>（4）环境影响程度</w:t>
            </w:r>
          </w:p>
          <w:p w14:paraId="4F7BC065">
            <w:pPr>
              <w:widowControl/>
              <w:spacing w:line="360" w:lineRule="auto"/>
              <w:ind w:firstLine="480" w:firstLineChars="200"/>
              <w:jc w:val="left"/>
              <w:rPr>
                <w:rFonts w:ascii="Times New Roman" w:hAnsi="Times New Roman" w:eastAsia="宋体" w:cstheme="minorEastAsia"/>
                <w:color w:val="auto"/>
                <w:sz w:val="24"/>
              </w:rPr>
            </w:pPr>
            <w:r>
              <w:rPr>
                <w:rFonts w:hint="eastAsia" w:ascii="Times New Roman" w:hAnsi="Times New Roman" w:eastAsia="宋体" w:cstheme="minorEastAsia"/>
                <w:color w:val="auto"/>
                <w:sz w:val="24"/>
              </w:rPr>
              <w:t>根据运营期环境影响保护措施确定的污染物源强，项目建成后污染物达标排放对区域大气环境、声环境及地表水环境影响较小。</w:t>
            </w:r>
          </w:p>
          <w:p w14:paraId="28A293C1">
            <w:pPr>
              <w:widowControl/>
              <w:spacing w:line="360" w:lineRule="auto"/>
              <w:ind w:firstLine="480" w:firstLineChars="200"/>
              <w:jc w:val="left"/>
              <w:rPr>
                <w:rFonts w:ascii="Times New Roman" w:hAnsi="Times New Roman" w:eastAsia="宋体" w:cstheme="minorEastAsia"/>
                <w:color w:val="auto"/>
                <w:sz w:val="24"/>
              </w:rPr>
            </w:pPr>
            <w:r>
              <w:rPr>
                <w:rFonts w:hint="eastAsia" w:ascii="Times New Roman" w:hAnsi="Times New Roman" w:eastAsia="宋体" w:cstheme="minorEastAsia"/>
                <w:color w:val="auto"/>
                <w:sz w:val="24"/>
              </w:rPr>
              <w:t>（5）项目与周边企业相容性分析及选址可行性分析。</w:t>
            </w:r>
          </w:p>
          <w:p w14:paraId="4B2620FB">
            <w:pPr>
              <w:pageBreakBefore w:val="0"/>
              <w:topLinePunct w:val="0"/>
              <w:bidi w:val="0"/>
              <w:adjustRightInd/>
              <w:snapToGrid/>
              <w:spacing w:beforeAutospacing="0" w:afterAutospacing="0" w:line="360" w:lineRule="auto"/>
              <w:ind w:left="0" w:leftChars="0" w:right="0" w:rightChars="0" w:firstLine="480" w:firstLineChars="200"/>
              <w:rPr>
                <w:rFonts w:hint="eastAsia" w:cs="Times New Roman"/>
                <w:b w:val="0"/>
                <w:bCs/>
                <w:color w:val="auto"/>
                <w:kern w:val="0"/>
                <w:sz w:val="24"/>
                <w:szCs w:val="24"/>
                <w:highlight w:val="none"/>
                <w:u w:val="none"/>
                <w:lang w:val="en-US" w:eastAsia="zh-CN" w:bidi="ar-SA"/>
              </w:rPr>
            </w:pPr>
            <w:r>
              <w:rPr>
                <w:rFonts w:hint="eastAsia" w:ascii="Times New Roman" w:hAnsi="Times New Roman" w:eastAsia="宋体" w:cstheme="minorEastAsia"/>
                <w:color w:val="auto"/>
                <w:sz w:val="24"/>
                <w:szCs w:val="24"/>
              </w:rPr>
              <w:t>项目</w:t>
            </w:r>
            <w:r>
              <w:rPr>
                <w:rFonts w:hint="eastAsia" w:ascii="Times New Roman" w:hAnsi="Times New Roman" w:eastAsia="宋体" w:cstheme="minorEastAsia"/>
                <w:color w:val="auto"/>
                <w:sz w:val="24"/>
                <w:szCs w:val="24"/>
                <w:lang w:val="en-US" w:eastAsia="zh-CN"/>
              </w:rPr>
              <w:t>东面为江西鑫丰驰实业有限公司，南面为瑞龙公司，西面为华大工程材料有限公司，北面隔道路为江西高透基板材料科技有限公司</w:t>
            </w:r>
            <w:r>
              <w:rPr>
                <w:rFonts w:hint="eastAsia" w:ascii="Times New Roman" w:hAnsi="Times New Roman" w:eastAsia="宋体" w:cstheme="minorEastAsia"/>
                <w:color w:val="auto"/>
                <w:sz w:val="24"/>
                <w:lang w:val="en-US" w:eastAsia="zh-CN"/>
              </w:rPr>
              <w:t>。根据园区规划用地可知，</w:t>
            </w:r>
            <w:r>
              <w:rPr>
                <w:rFonts w:hint="eastAsia" w:ascii="Times New Roman" w:hAnsi="Times New Roman" w:eastAsia="宋体" w:cstheme="minorEastAsia"/>
                <w:color w:val="auto"/>
                <w:sz w:val="24"/>
              </w:rPr>
              <w:t>项目用地为工业用地，企业周边主要为</w:t>
            </w:r>
            <w:r>
              <w:rPr>
                <w:rFonts w:hint="eastAsia" w:ascii="Times New Roman" w:hAnsi="Times New Roman" w:eastAsia="宋体" w:cstheme="minorEastAsia"/>
                <w:color w:val="auto"/>
                <w:sz w:val="24"/>
                <w:lang w:val="en-US" w:eastAsia="zh-CN"/>
              </w:rPr>
              <w:t>轻工业生产</w:t>
            </w:r>
            <w:r>
              <w:rPr>
                <w:rFonts w:hint="eastAsia" w:ascii="Times New Roman" w:hAnsi="Times New Roman" w:eastAsia="宋体" w:cstheme="minorEastAsia"/>
                <w:color w:val="auto"/>
                <w:sz w:val="24"/>
              </w:rPr>
              <w:t>企业，本项目建设对周边企业影响较小，因此项目与周边企业相容性较好。</w:t>
            </w:r>
          </w:p>
          <w:p w14:paraId="046A1B4E">
            <w:pPr>
              <w:pageBreakBefore w:val="0"/>
              <w:topLinePunct w:val="0"/>
              <w:bidi w:val="0"/>
              <w:adjustRightInd/>
              <w:snapToGrid/>
              <w:spacing w:beforeAutospacing="0" w:afterAutospacing="0" w:line="360" w:lineRule="auto"/>
              <w:ind w:left="0" w:leftChars="0" w:right="0" w:rightChars="0" w:firstLine="480" w:firstLineChars="200"/>
              <w:rPr>
                <w:rFonts w:hint="eastAsia" w:cs="Times New Roman"/>
                <w:b w:val="0"/>
                <w:bCs/>
                <w:color w:val="auto"/>
                <w:kern w:val="0"/>
                <w:sz w:val="24"/>
                <w:szCs w:val="24"/>
                <w:highlight w:val="none"/>
                <w:u w:val="none"/>
                <w:lang w:val="en-US" w:eastAsia="zh-CN" w:bidi="ar-SA"/>
              </w:rPr>
            </w:pPr>
          </w:p>
          <w:p w14:paraId="71C61C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color w:val="auto"/>
                <w:sz w:val="24"/>
                <w:szCs w:val="24"/>
                <w:lang w:val="en-US" w:eastAsia="zh-CN"/>
              </w:rPr>
              <w:t>3、“三线一单”符合性分析</w:t>
            </w:r>
          </w:p>
          <w:p w14:paraId="37058334">
            <w:pPr>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三线一单</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是指生态保护红线、环境质量底线、资源利用上线和生态环境准入清单。通过</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划框子、定规则</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，将行政区域划分为若干环境管控单元，并根据环境管控单元特征提出针对性的生态环境准入清单。</w:t>
            </w:r>
          </w:p>
          <w:p w14:paraId="7388F54F">
            <w:pPr>
              <w:spacing w:line="360" w:lineRule="auto"/>
              <w:ind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1</w:t>
            </w: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bidi="ar"/>
              </w:rPr>
              <w:t>生态保护红线分析</w:t>
            </w:r>
          </w:p>
          <w:p w14:paraId="6F11E964">
            <w:pPr>
              <w:spacing w:line="360" w:lineRule="auto"/>
              <w:ind w:firstLine="480" w:firstLineChars="200"/>
              <w:jc w:val="left"/>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szCs w:val="24"/>
                <w:highlight w:val="none"/>
              </w:rPr>
              <w:t>生态保护红线是生态空间范围内具有特殊重要生态功能必须实行强制性严格保护的区域。本项目</w:t>
            </w:r>
            <w:r>
              <w:rPr>
                <w:rFonts w:hint="default" w:ascii="Times New Roman" w:hAnsi="Times New Roman" w:cs="Times New Roman"/>
                <w:color w:val="auto"/>
                <w:sz w:val="24"/>
                <w:szCs w:val="24"/>
                <w:highlight w:val="none"/>
                <w:lang w:eastAsia="zh-CN"/>
              </w:rPr>
              <w:t>位于</w:t>
            </w:r>
            <w:r>
              <w:rPr>
                <w:rFonts w:hint="eastAsia" w:ascii="Times New Roman" w:hAnsi="Times New Roman" w:eastAsia="宋体" w:cs="Times New Roman"/>
                <w:color w:val="auto"/>
                <w:sz w:val="24"/>
                <w:szCs w:val="24"/>
                <w:highlight w:val="none"/>
                <w:lang w:eastAsia="zh-CN"/>
              </w:rPr>
              <w:t>江西省九江市永修县永修云山经济开发区</w:t>
            </w:r>
            <w:r>
              <w:rPr>
                <w:rFonts w:hint="eastAsia" w:ascii="Times New Roman" w:hAnsi="Times New Roman" w:eastAsia="宋体" w:cs="Times New Roman"/>
                <w:color w:val="auto"/>
                <w:sz w:val="24"/>
                <w:szCs w:val="24"/>
                <w:highlight w:val="none"/>
                <w:lang w:val="en-US" w:eastAsia="zh-CN"/>
              </w:rPr>
              <w:t>云山</w:t>
            </w:r>
            <w:r>
              <w:rPr>
                <w:rFonts w:hint="eastAsia" w:ascii="Times New Roman" w:hAnsi="Times New Roman" w:eastAsia="宋体" w:cs="Times New Roman"/>
                <w:color w:val="auto"/>
                <w:sz w:val="24"/>
                <w:szCs w:val="24"/>
                <w:highlight w:val="none"/>
                <w:lang w:eastAsia="zh-CN"/>
              </w:rPr>
              <w:t>工业园</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对照</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江西</w:t>
            </w:r>
            <w:r>
              <w:rPr>
                <w:rFonts w:hint="default" w:ascii="Times New Roman" w:hAnsi="Times New Roman" w:cs="Times New Roman"/>
                <w:color w:val="auto"/>
                <w:sz w:val="24"/>
                <w:szCs w:val="24"/>
                <w:highlight w:val="none"/>
              </w:rPr>
              <w:t>省生态保护红线》</w:t>
            </w:r>
            <w:r>
              <w:rPr>
                <w:rFonts w:hint="default"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《江西省人民政府关于发布江西省生态保护红线的通知》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赣府发</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2018</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21号</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，本项目不属于限制和禁止开发区域，不属于生态红线保护区</w:t>
            </w:r>
            <w:r>
              <w:rPr>
                <w:rFonts w:hint="default" w:ascii="Times New Roman" w:hAnsi="Times New Roman" w:cs="Times New Roman"/>
                <w:color w:val="auto"/>
                <w:sz w:val="24"/>
                <w:szCs w:val="24"/>
                <w:highlight w:val="none"/>
                <w:lang w:eastAsia="zh-CN"/>
              </w:rPr>
              <w:t>（详见附图</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，且不在当地饮用水源、风景区、自然保护区等生态保护区内，项目的建设不涉及生态红线</w:t>
            </w:r>
            <w:r>
              <w:rPr>
                <w:rFonts w:hint="default" w:ascii="Times New Roman" w:hAnsi="Times New Roman" w:cs="Times New Roman"/>
                <w:bCs/>
                <w:color w:val="auto"/>
                <w:sz w:val="24"/>
                <w:szCs w:val="24"/>
                <w:highlight w:val="none"/>
              </w:rPr>
              <w:t>。</w:t>
            </w:r>
          </w:p>
          <w:p w14:paraId="2E13660F">
            <w:pPr>
              <w:adjustRightIn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环境质量底线</w:t>
            </w:r>
          </w:p>
          <w:p w14:paraId="479300B0">
            <w:pPr>
              <w:adjustRightInd w:val="0"/>
              <w:spacing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环境质量底线为：环境空气质量目标为《环境空气质量标准》（GB3095-2012）中的二级，水环境质量目标为《地表水环境质量标准》（GB3838-2002）中的</w:t>
            </w:r>
            <w:r>
              <w:rPr>
                <w:rFonts w:hint="default" w:ascii="Times New Roman" w:hAnsi="Times New Roman" w:eastAsia="宋体" w:cs="Times New Roman"/>
                <w:color w:val="auto"/>
                <w:sz w:val="24"/>
                <w:szCs w:val="24"/>
                <w:highlight w:val="none"/>
              </w:rPr>
              <w:t>Ⅲ</w:t>
            </w:r>
            <w:r>
              <w:rPr>
                <w:rFonts w:hint="default" w:ascii="Times New Roman" w:hAnsi="Times New Roman" w:cs="Times New Roman"/>
                <w:color w:val="auto"/>
                <w:sz w:val="24"/>
                <w:szCs w:val="24"/>
                <w:highlight w:val="none"/>
              </w:rPr>
              <w:t>类标准，声环境质量目标为《声环境质量标准》（GB3096-2008）中的</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w:t>
            </w:r>
            <w:r>
              <w:rPr>
                <w:rFonts w:hint="eastAsia" w:cs="Times New Roman"/>
                <w:color w:val="auto"/>
                <w:sz w:val="24"/>
                <w:szCs w:val="24"/>
                <w:highlight w:val="none"/>
                <w:lang w:eastAsia="zh-CN"/>
              </w:rPr>
              <w:t>。本项目对产生的</w:t>
            </w:r>
            <w:r>
              <w:rPr>
                <w:rFonts w:hint="default" w:ascii="Times New Roman" w:hAnsi="Times New Roman" w:cs="Times New Roman"/>
                <w:color w:val="auto"/>
                <w:sz w:val="24"/>
                <w:szCs w:val="24"/>
                <w:highlight w:val="none"/>
              </w:rPr>
              <w:t>废气、废水</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噪声经</w:t>
            </w:r>
            <w:r>
              <w:rPr>
                <w:rFonts w:hint="default" w:ascii="Times New Roman" w:hAnsi="Times New Roman" w:cs="Times New Roman"/>
                <w:color w:val="auto"/>
                <w:sz w:val="24"/>
                <w:szCs w:val="24"/>
                <w:highlight w:val="none"/>
              </w:rPr>
              <w:t>治理后能做到达标排放，固体废物可做到无害化处置。采取本环评提出的相关防治措施后，排放的污染物不会突破区域环境质量底线。</w:t>
            </w:r>
          </w:p>
          <w:p w14:paraId="3ED30414">
            <w:pPr>
              <w:adjustRightIn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（3）资源利用上线</w:t>
            </w:r>
          </w:p>
          <w:p w14:paraId="5367E383">
            <w:pPr>
              <w:adjustRightIn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不属于高能耗、高污染、资源型企业，用水来自市政供水管网，用电来自市政供电。建成运行后通过内部管理、设备选择、原辅材料的选用和管理、废物回收利用、污染治理等多方面采取合理可行的防治措施，以</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节能、降耗、减污</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为目标，有效的控制污染。本项目运营过程中消耗一定量的电源、水资源等，生产过程应尽可能做到合理利用水资源和节约能耗，项目资源所消耗量相对区域资源利用总量较少，</w:t>
            </w:r>
            <w:r>
              <w:rPr>
                <w:rFonts w:hint="eastAsia" w:ascii="Times New Roman" w:hAnsi="Times New Roman" w:cs="Times New Roman"/>
                <w:color w:val="auto"/>
                <w:sz w:val="24"/>
                <w:szCs w:val="24"/>
                <w:highlight w:val="none"/>
                <w:lang w:val="en-US" w:eastAsia="zh-CN"/>
              </w:rPr>
              <w:t>且</w:t>
            </w:r>
            <w:r>
              <w:rPr>
                <w:rFonts w:hint="default" w:ascii="Times New Roman" w:hAnsi="Times New Roman" w:cs="Times New Roman"/>
                <w:color w:val="auto"/>
                <w:sz w:val="24"/>
                <w:szCs w:val="24"/>
                <w:highlight w:val="none"/>
              </w:rPr>
              <w:t>区域供电、供水能满足本项目</w:t>
            </w:r>
            <w:r>
              <w:rPr>
                <w:rFonts w:hint="eastAsia"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要求</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故</w:t>
            </w:r>
            <w:r>
              <w:rPr>
                <w:rFonts w:hint="default" w:ascii="Times New Roman" w:hAnsi="Times New Roman" w:cs="Times New Roman"/>
                <w:color w:val="auto"/>
                <w:sz w:val="24"/>
                <w:szCs w:val="24"/>
                <w:highlight w:val="none"/>
              </w:rPr>
              <w:t>符合资源利用上线要求。</w:t>
            </w:r>
          </w:p>
          <w:p w14:paraId="3D833B1B">
            <w:pPr>
              <w:adjustRightIn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（4）环境准入负面清单</w:t>
            </w:r>
          </w:p>
          <w:p w14:paraId="1D7E6BA2">
            <w:pPr>
              <w:pStyle w:val="27"/>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eastAsia"/>
                <w:color w:val="auto"/>
                <w:lang w:val="en-US" w:eastAsia="zh-CN"/>
              </w:rPr>
            </w:pPr>
            <w:r>
              <w:rPr>
                <w:rFonts w:hint="eastAsia" w:cs="Times New Roman"/>
                <w:b w:val="0"/>
                <w:bCs/>
                <w:color w:val="auto"/>
                <w:kern w:val="0"/>
                <w:sz w:val="24"/>
                <w:szCs w:val="24"/>
                <w:highlight w:val="none"/>
                <w:u w:val="none"/>
                <w:lang w:val="en-US" w:eastAsia="zh-CN" w:bidi="ar-SA"/>
              </w:rPr>
              <w:t>本项目位于江西永修云山经济开发区云山工业园园江西鑫润绿色循环发展有限公司现有厂区内,</w:t>
            </w:r>
            <w:r>
              <w:rPr>
                <w:rFonts w:hint="eastAsia"/>
                <w:color w:val="auto"/>
                <w:lang w:val="en-US" w:eastAsia="zh-CN"/>
              </w:rPr>
              <w:t>根据推动长江经济带发展领导小组办公室关于印发《长江经济带发展负面清单指南（试行，2022 年版）》的通知，项目与其相符性分析见下表</w:t>
            </w:r>
          </w:p>
          <w:p w14:paraId="5BFCF0F9">
            <w:pPr>
              <w:keepNext w:val="0"/>
              <w:keepLines w:val="0"/>
              <w:pageBreakBefore w:val="0"/>
              <w:widowControl w:val="0"/>
              <w:kinsoku/>
              <w:wordWrap/>
              <w:overflowPunct/>
              <w:topLinePunct w:val="0"/>
              <w:autoSpaceDE w:val="0"/>
              <w:autoSpaceDN w:val="0"/>
              <w:bidi w:val="0"/>
              <w:adjustRightInd/>
              <w:snapToGrid/>
              <w:spacing w:beforeAutospacing="0" w:afterAutospacing="0"/>
              <w:ind w:left="0" w:leftChars="0" w:right="0" w:rightChars="0"/>
              <w:jc w:val="center"/>
              <w:textAlignment w:val="auto"/>
              <w:rPr>
                <w:rFonts w:hint="eastAsia" w:ascii="Times New Roman" w:hAnsi="Times New Roman" w:eastAsia="宋体" w:cs="宋体"/>
                <w:b/>
                <w:bCs/>
                <w:color w:val="auto"/>
                <w:kern w:val="0"/>
                <w:sz w:val="21"/>
                <w:szCs w:val="21"/>
                <w:lang w:val="en-US" w:eastAsia="zh-CN"/>
              </w:rPr>
            </w:pPr>
            <w:r>
              <w:rPr>
                <w:rFonts w:hint="eastAsia" w:ascii="Times New Roman" w:hAnsi="Times New Roman" w:eastAsia="宋体" w:cs="宋体"/>
                <w:b/>
                <w:bCs/>
                <w:color w:val="auto"/>
                <w:kern w:val="0"/>
                <w:sz w:val="21"/>
                <w:szCs w:val="21"/>
                <w:lang w:val="en-US" w:eastAsia="zh-CN"/>
              </w:rPr>
              <w:t>表1-</w:t>
            </w:r>
            <w:r>
              <w:rPr>
                <w:rFonts w:hint="eastAsia" w:cs="宋体"/>
                <w:b/>
                <w:bCs/>
                <w:color w:val="auto"/>
                <w:kern w:val="0"/>
                <w:sz w:val="21"/>
                <w:szCs w:val="21"/>
                <w:lang w:val="en-US" w:eastAsia="zh-CN"/>
              </w:rPr>
              <w:t>3</w:t>
            </w:r>
            <w:r>
              <w:rPr>
                <w:rFonts w:hint="eastAsia" w:ascii="Times New Roman" w:hAnsi="Times New Roman" w:eastAsia="宋体" w:cs="宋体"/>
                <w:b/>
                <w:bCs/>
                <w:color w:val="auto"/>
                <w:kern w:val="0"/>
                <w:sz w:val="21"/>
                <w:szCs w:val="21"/>
                <w:lang w:val="en-US" w:eastAsia="zh-CN"/>
              </w:rPr>
              <w:t xml:space="preserve">  与《长江经济带发展负面清单指南》（试行 2022年版）的通知相符性分析</w:t>
            </w:r>
          </w:p>
          <w:tbl>
            <w:tblPr>
              <w:tblStyle w:val="2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4"/>
              <w:gridCol w:w="2347"/>
              <w:gridCol w:w="747"/>
            </w:tblGrid>
            <w:tr w14:paraId="53F3E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3173FB25">
                  <w:pPr>
                    <w:pStyle w:val="16"/>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内容</w:t>
                  </w:r>
                </w:p>
              </w:tc>
              <w:tc>
                <w:tcPr>
                  <w:tcW w:w="2344" w:type="dxa"/>
                  <w:tcBorders>
                    <w:tl2br w:val="nil"/>
                    <w:tr2bl w:val="nil"/>
                  </w:tcBorders>
                  <w:vAlign w:val="center"/>
                </w:tcPr>
                <w:p w14:paraId="768A33EF">
                  <w:pPr>
                    <w:pStyle w:val="16"/>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符合性分析</w:t>
                  </w:r>
                </w:p>
              </w:tc>
              <w:tc>
                <w:tcPr>
                  <w:tcW w:w="728" w:type="dxa"/>
                  <w:tcBorders>
                    <w:tl2br w:val="nil"/>
                    <w:tr2bl w:val="nil"/>
                  </w:tcBorders>
                  <w:vAlign w:val="center"/>
                </w:tcPr>
                <w:p w14:paraId="039040C4">
                  <w:pPr>
                    <w:pStyle w:val="16"/>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符合</w:t>
                  </w:r>
                  <w:r>
                    <w:rPr>
                      <w:rFonts w:hint="eastAsia" w:ascii="宋体" w:hAnsi="宋体" w:cs="宋体"/>
                      <w:b/>
                      <w:bCs/>
                      <w:color w:val="auto"/>
                      <w:sz w:val="21"/>
                      <w:szCs w:val="21"/>
                      <w:vertAlign w:val="baseline"/>
                      <w:lang w:val="en-US" w:eastAsia="zh-CN"/>
                    </w:rPr>
                    <w:t>性</w:t>
                  </w:r>
                </w:p>
              </w:tc>
            </w:tr>
            <w:tr w14:paraId="12185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0C4E653B">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禁止建设不符合全国和省级港口布局规划以及港口总体规划的码头项目，禁止建设不符合《长江干线过江通道布局规划》的过长江通道项目。</w:t>
                  </w:r>
                </w:p>
              </w:tc>
              <w:tc>
                <w:tcPr>
                  <w:tcW w:w="2344" w:type="dxa"/>
                  <w:tcBorders>
                    <w:tl2br w:val="nil"/>
                    <w:tr2bl w:val="nil"/>
                  </w:tcBorders>
                  <w:vAlign w:val="center"/>
                </w:tcPr>
                <w:p w14:paraId="4C4BED5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hAnsi="宋体" w:eastAsia="宋体" w:cs="宋体"/>
                      <w:color w:val="auto"/>
                      <w:sz w:val="21"/>
                      <w:szCs w:val="21"/>
                      <w:lang w:eastAsia="zh-CN"/>
                    </w:rPr>
                    <w:t>项目</w:t>
                  </w:r>
                  <w:r>
                    <w:rPr>
                      <w:rFonts w:hint="eastAsia" w:ascii="宋体" w:hAnsi="宋体" w:eastAsia="宋体" w:cs="宋体"/>
                      <w:color w:val="auto"/>
                      <w:sz w:val="21"/>
                      <w:szCs w:val="21"/>
                      <w:lang w:eastAsia="zh-CN"/>
                    </w:rPr>
                    <w:t>不属于</w:t>
                  </w:r>
                  <w:r>
                    <w:rPr>
                      <w:rFonts w:hint="eastAsia" w:hAnsi="宋体" w:eastAsia="宋体" w:cs="宋体"/>
                      <w:color w:val="auto"/>
                      <w:sz w:val="21"/>
                      <w:szCs w:val="21"/>
                      <w:lang w:eastAsia="zh-CN"/>
                    </w:rPr>
                    <w:t>码头项目和过长江通道项目</w:t>
                  </w:r>
                </w:p>
              </w:tc>
              <w:tc>
                <w:tcPr>
                  <w:tcW w:w="728" w:type="dxa"/>
                  <w:tcBorders>
                    <w:tl2br w:val="nil"/>
                    <w:tr2bl w:val="nil"/>
                  </w:tcBorders>
                  <w:vAlign w:val="center"/>
                </w:tcPr>
                <w:p w14:paraId="48A72685">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46597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3E72336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344" w:type="dxa"/>
                  <w:tcBorders>
                    <w:tl2br w:val="nil"/>
                    <w:tr2bl w:val="nil"/>
                  </w:tcBorders>
                  <w:vAlign w:val="center"/>
                </w:tcPr>
                <w:p w14:paraId="2C313049">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项目不在自然保护区核心区、缓冲区的岸线和河段范围内</w:t>
                  </w:r>
                </w:p>
              </w:tc>
              <w:tc>
                <w:tcPr>
                  <w:tcW w:w="728" w:type="dxa"/>
                  <w:tcBorders>
                    <w:tl2br w:val="nil"/>
                    <w:tr2bl w:val="nil"/>
                  </w:tcBorders>
                  <w:vAlign w:val="center"/>
                </w:tcPr>
                <w:p w14:paraId="1E83AD58">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696AC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13518E3D">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宋体" w:hAnsi="宋体" w:eastAsia="宋体" w:cs="宋体"/>
                      <w:color w:val="auto"/>
                      <w:sz w:val="21"/>
                      <w:szCs w:val="21"/>
                      <w:lang w:eastAsia="zh-CN"/>
                    </w:rPr>
                    <w:t>。</w:t>
                  </w:r>
                </w:p>
              </w:tc>
              <w:tc>
                <w:tcPr>
                  <w:tcW w:w="2344" w:type="dxa"/>
                  <w:tcBorders>
                    <w:tl2br w:val="nil"/>
                    <w:tr2bl w:val="nil"/>
                  </w:tcBorders>
                  <w:vAlign w:val="center"/>
                </w:tcPr>
                <w:p w14:paraId="66F0706D">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项目不在饮用水水源保护区的岸线和河段范围内</w:t>
                  </w:r>
                </w:p>
              </w:tc>
              <w:tc>
                <w:tcPr>
                  <w:tcW w:w="728" w:type="dxa"/>
                  <w:tcBorders>
                    <w:tl2br w:val="nil"/>
                    <w:tr2bl w:val="nil"/>
                  </w:tcBorders>
                  <w:vAlign w:val="center"/>
                </w:tcPr>
                <w:p w14:paraId="453F751B">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58F6E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6540BBDF">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44" w:type="dxa"/>
                  <w:tcBorders>
                    <w:tl2br w:val="nil"/>
                    <w:tr2bl w:val="nil"/>
                  </w:tcBorders>
                  <w:vAlign w:val="center"/>
                </w:tcPr>
                <w:p w14:paraId="3E00A788">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项目不在水产种质资源保护区的岸线和河段范围内，不在国家湿地公园的岸线和河段范围内</w:t>
                  </w:r>
                </w:p>
              </w:tc>
              <w:tc>
                <w:tcPr>
                  <w:tcW w:w="728" w:type="dxa"/>
                  <w:tcBorders>
                    <w:tl2br w:val="nil"/>
                    <w:tr2bl w:val="nil"/>
                  </w:tcBorders>
                  <w:vAlign w:val="center"/>
                </w:tcPr>
                <w:p w14:paraId="62978FC9">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24E21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50B87719">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44" w:type="dxa"/>
                  <w:tcBorders>
                    <w:tl2br w:val="nil"/>
                    <w:tr2bl w:val="nil"/>
                  </w:tcBorders>
                  <w:vAlign w:val="center"/>
                </w:tcPr>
                <w:p w14:paraId="4D94A385">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项目不在岸线保护区和保留区，不在划定的河段及湖泊保护区、保留区内</w:t>
                  </w:r>
                </w:p>
              </w:tc>
              <w:tc>
                <w:tcPr>
                  <w:tcW w:w="728" w:type="dxa"/>
                  <w:tcBorders>
                    <w:tl2br w:val="nil"/>
                    <w:tr2bl w:val="nil"/>
                  </w:tcBorders>
                  <w:vAlign w:val="center"/>
                </w:tcPr>
                <w:p w14:paraId="3F101BC8">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6188F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0C88DE86">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禁止未经许可在长江干支流及湖泊新设、改设或扩大排污</w:t>
                  </w:r>
                  <w:r>
                    <w:rPr>
                      <w:rFonts w:hint="eastAsia" w:ascii="宋体" w:hAnsi="宋体" w:eastAsia="宋体" w:cs="宋体"/>
                      <w:color w:val="auto"/>
                      <w:sz w:val="21"/>
                      <w:szCs w:val="21"/>
                      <w:lang w:eastAsia="zh-CN"/>
                    </w:rPr>
                    <w:t>口</w:t>
                  </w:r>
                  <w:r>
                    <w:rPr>
                      <w:rFonts w:hint="eastAsia" w:ascii="宋体" w:hAnsi="宋体" w:eastAsia="宋体" w:cs="宋体"/>
                      <w:color w:val="auto"/>
                      <w:sz w:val="21"/>
                      <w:szCs w:val="21"/>
                    </w:rPr>
                    <w:t>。</w:t>
                  </w:r>
                </w:p>
              </w:tc>
              <w:tc>
                <w:tcPr>
                  <w:tcW w:w="2344" w:type="dxa"/>
                  <w:tcBorders>
                    <w:tl2br w:val="nil"/>
                    <w:tr2bl w:val="nil"/>
                  </w:tcBorders>
                  <w:vAlign w:val="center"/>
                </w:tcPr>
                <w:p w14:paraId="47DDB60B">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项目</w:t>
                  </w:r>
                  <w:r>
                    <w:rPr>
                      <w:rFonts w:hint="eastAsia" w:hAnsi="宋体" w:cs="宋体"/>
                      <w:color w:val="auto"/>
                      <w:sz w:val="21"/>
                      <w:szCs w:val="21"/>
                      <w:lang w:val="en-US" w:eastAsia="zh-CN"/>
                    </w:rPr>
                    <w:t>不涉及</w:t>
                  </w:r>
                  <w:r>
                    <w:rPr>
                      <w:rFonts w:hint="eastAsia" w:asciiTheme="minorEastAsia" w:hAnsiTheme="minorEastAsia" w:eastAsiaTheme="minorEastAsia" w:cstheme="minorEastAsia"/>
                      <w:color w:val="auto"/>
                      <w:sz w:val="21"/>
                      <w:szCs w:val="21"/>
                      <w:lang w:eastAsia="zh-CN"/>
                    </w:rPr>
                    <w:t>新设排污口</w:t>
                  </w:r>
                </w:p>
              </w:tc>
              <w:tc>
                <w:tcPr>
                  <w:tcW w:w="728" w:type="dxa"/>
                  <w:tcBorders>
                    <w:tl2br w:val="nil"/>
                    <w:tr2bl w:val="nil"/>
                  </w:tcBorders>
                  <w:vAlign w:val="center"/>
                </w:tcPr>
                <w:p w14:paraId="67D16859">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715CC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5" w:type="dxa"/>
                  <w:tcBorders>
                    <w:tl2br w:val="nil"/>
                    <w:tr2bl w:val="nil"/>
                  </w:tcBorders>
                  <w:vAlign w:val="center"/>
                </w:tcPr>
                <w:p w14:paraId="55366CCC">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禁止在“一江一口两湖七河”和332个水生生物保护区开展生产性捕捞。</w:t>
                  </w:r>
                </w:p>
              </w:tc>
              <w:tc>
                <w:tcPr>
                  <w:tcW w:w="2344" w:type="dxa"/>
                  <w:tcBorders>
                    <w:tl2br w:val="nil"/>
                    <w:tr2bl w:val="nil"/>
                  </w:tcBorders>
                  <w:vAlign w:val="center"/>
                </w:tcPr>
                <w:p w14:paraId="7F10C47D">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项目不进行生产性捕捞</w:t>
                  </w:r>
                </w:p>
              </w:tc>
              <w:tc>
                <w:tcPr>
                  <w:tcW w:w="728" w:type="dxa"/>
                  <w:tcBorders>
                    <w:tl2br w:val="nil"/>
                    <w:tr2bl w:val="nil"/>
                  </w:tcBorders>
                  <w:vAlign w:val="center"/>
                </w:tcPr>
                <w:p w14:paraId="71188432">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435CC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11F5E568">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44" w:type="dxa"/>
                  <w:tcBorders>
                    <w:tl2br w:val="nil"/>
                    <w:tr2bl w:val="nil"/>
                  </w:tcBorders>
                  <w:vAlign w:val="center"/>
                </w:tcPr>
                <w:p w14:paraId="1FAA7501">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default"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项目</w:t>
                  </w:r>
                  <w:r>
                    <w:rPr>
                      <w:rFonts w:hint="eastAsia" w:ascii="宋体" w:hAnsi="宋体" w:eastAsia="宋体" w:cs="宋体"/>
                      <w:color w:val="auto"/>
                      <w:kern w:val="0"/>
                      <w:sz w:val="21"/>
                      <w:szCs w:val="21"/>
                      <w:lang w:val="en-US" w:eastAsia="zh-CN" w:bidi="ar-SA"/>
                    </w:rPr>
                    <w:t>不在长江1公里内</w:t>
                  </w:r>
                  <w:r>
                    <w:rPr>
                      <w:rFonts w:hint="default" w:ascii="宋体" w:hAnsi="宋体" w:eastAsia="宋体" w:cs="宋体"/>
                      <w:color w:val="auto"/>
                      <w:kern w:val="0"/>
                      <w:sz w:val="21"/>
                      <w:szCs w:val="21"/>
                      <w:lang w:val="en-US" w:eastAsia="zh-CN" w:bidi="ar-SA"/>
                    </w:rPr>
                    <w:t>，项目不涉及尾矿库、冶炼渣库和磷石膏库</w:t>
                  </w:r>
                  <w:r>
                    <w:rPr>
                      <w:rFonts w:hint="eastAsia" w:hAnsi="宋体" w:eastAsia="宋体" w:cs="宋体"/>
                      <w:color w:val="auto"/>
                      <w:kern w:val="0"/>
                      <w:sz w:val="21"/>
                      <w:szCs w:val="21"/>
                      <w:lang w:val="en-US" w:eastAsia="zh-CN" w:bidi="ar-SA"/>
                    </w:rPr>
                    <w:t>，</w:t>
                  </w:r>
                  <w:r>
                    <w:rPr>
                      <w:rFonts w:hint="eastAsia" w:ascii="Times New Roman" w:hAnsi="Times New Roman" w:eastAsia="宋体" w:cs="Times New Roman"/>
                      <w:color w:val="auto"/>
                      <w:sz w:val="21"/>
                      <w:szCs w:val="21"/>
                      <w:highlight w:val="none"/>
                      <w:lang w:eastAsia="zh-CN"/>
                    </w:rPr>
                    <w:t>不属于化工项目</w:t>
                  </w:r>
                </w:p>
              </w:tc>
              <w:tc>
                <w:tcPr>
                  <w:tcW w:w="728" w:type="dxa"/>
                  <w:tcBorders>
                    <w:tl2br w:val="nil"/>
                    <w:tr2bl w:val="nil"/>
                  </w:tcBorders>
                  <w:vAlign w:val="center"/>
                </w:tcPr>
                <w:p w14:paraId="222A6072">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6B119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3985" w:type="dxa"/>
                  <w:tcBorders>
                    <w:tl2br w:val="nil"/>
                    <w:tr2bl w:val="nil"/>
                  </w:tcBorders>
                  <w:vAlign w:val="center"/>
                </w:tcPr>
                <w:p w14:paraId="7CF26465">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禁止在合规园区外新建、扩建钢铁、石化、化工、焦化、建材、有色、制浆造纸等高污染项目。</w:t>
                  </w:r>
                </w:p>
              </w:tc>
              <w:tc>
                <w:tcPr>
                  <w:tcW w:w="2344" w:type="dxa"/>
                  <w:tcBorders>
                    <w:tl2br w:val="nil"/>
                    <w:tr2bl w:val="nil"/>
                  </w:tcBorders>
                  <w:vAlign w:val="center"/>
                </w:tcPr>
                <w:p w14:paraId="2C6D46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0"/>
                      <w:sz w:val="21"/>
                      <w:szCs w:val="21"/>
                      <w:lang w:val="en-US" w:eastAsia="zh-CN" w:bidi="ar-SA"/>
                    </w:rPr>
                  </w:pPr>
                  <w:r>
                    <w:rPr>
                      <w:rFonts w:hint="eastAsia"/>
                      <w:color w:val="auto"/>
                      <w:sz w:val="21"/>
                      <w:szCs w:val="21"/>
                      <w:lang w:eastAsia="zh-CN"/>
                    </w:rPr>
                    <w:t>项目位于永修云山经济开发区</w:t>
                  </w:r>
                  <w:r>
                    <w:rPr>
                      <w:rFonts w:hint="eastAsia" w:cs="Times New Roman"/>
                      <w:snapToGrid w:val="0"/>
                      <w:color w:val="auto"/>
                      <w:kern w:val="18"/>
                      <w:sz w:val="21"/>
                      <w:szCs w:val="21"/>
                      <w:vertAlign w:val="baseline"/>
                      <w:lang w:val="en-US" w:eastAsia="zh-CN"/>
                    </w:rPr>
                    <w:t>云山工业园</w:t>
                  </w:r>
                  <w:r>
                    <w:rPr>
                      <w:rFonts w:hint="eastAsia" w:ascii="宋体" w:hAnsi="宋体" w:eastAsia="宋体" w:cs="宋体"/>
                      <w:color w:val="auto"/>
                      <w:kern w:val="0"/>
                      <w:sz w:val="21"/>
                      <w:szCs w:val="21"/>
                      <w:lang w:val="en-US" w:eastAsia="zh-CN" w:bidi="ar-SA"/>
                    </w:rPr>
                    <w:t>，属于合规园区</w:t>
                  </w:r>
                </w:p>
              </w:tc>
              <w:tc>
                <w:tcPr>
                  <w:tcW w:w="728" w:type="dxa"/>
                  <w:tcBorders>
                    <w:tl2br w:val="nil"/>
                    <w:tr2bl w:val="nil"/>
                  </w:tcBorders>
                  <w:vAlign w:val="center"/>
                </w:tcPr>
                <w:p w14:paraId="17CA7FC1">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11724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5318E0FA">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禁止新建、扩建不符合国家石化、现代煤化工等产业布局规划的项目。</w:t>
                  </w:r>
                </w:p>
              </w:tc>
              <w:tc>
                <w:tcPr>
                  <w:tcW w:w="2344" w:type="dxa"/>
                  <w:tcBorders>
                    <w:tl2br w:val="nil"/>
                    <w:tr2bl w:val="nil"/>
                  </w:tcBorders>
                  <w:vAlign w:val="center"/>
                </w:tcPr>
                <w:p w14:paraId="1EB0D9D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color w:val="auto"/>
                      <w:sz w:val="21"/>
                      <w:szCs w:val="21"/>
                    </w:rPr>
                    <w:t>项目不属于石化、现代煤化工等产业</w:t>
                  </w:r>
                </w:p>
              </w:tc>
              <w:tc>
                <w:tcPr>
                  <w:tcW w:w="728" w:type="dxa"/>
                  <w:tcBorders>
                    <w:tl2br w:val="nil"/>
                    <w:tr2bl w:val="nil"/>
                  </w:tcBorders>
                  <w:vAlign w:val="center"/>
                </w:tcPr>
                <w:p w14:paraId="1EDC3CA6">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4A5A1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4207548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344" w:type="dxa"/>
                  <w:tcBorders>
                    <w:tl2br w:val="nil"/>
                    <w:tr2bl w:val="nil"/>
                  </w:tcBorders>
                  <w:vAlign w:val="center"/>
                </w:tcPr>
                <w:p w14:paraId="0002075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项目不属于落后产能项目和严重过剩产能行业的项目以及不符合要求的高耗能高排放项目</w:t>
                  </w:r>
                </w:p>
              </w:tc>
              <w:tc>
                <w:tcPr>
                  <w:tcW w:w="728" w:type="dxa"/>
                  <w:tcBorders>
                    <w:tl2br w:val="nil"/>
                    <w:tr2bl w:val="nil"/>
                  </w:tcBorders>
                  <w:vAlign w:val="center"/>
                </w:tcPr>
                <w:p w14:paraId="02B62A8E">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01242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5" w:type="dxa"/>
                  <w:tcBorders>
                    <w:tl2br w:val="nil"/>
                    <w:tr2bl w:val="nil"/>
                  </w:tcBorders>
                  <w:vAlign w:val="center"/>
                </w:tcPr>
                <w:p w14:paraId="0B8EEE59">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法律法规及相关政策文件有更加严格规定的从其规定。</w:t>
                  </w:r>
                </w:p>
              </w:tc>
              <w:tc>
                <w:tcPr>
                  <w:tcW w:w="2344" w:type="dxa"/>
                  <w:tcBorders>
                    <w:tl2br w:val="nil"/>
                    <w:tr2bl w:val="nil"/>
                  </w:tcBorders>
                  <w:vAlign w:val="center"/>
                </w:tcPr>
                <w:p w14:paraId="19950A8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项目符合</w:t>
                  </w:r>
                  <w:r>
                    <w:rPr>
                      <w:rFonts w:hint="eastAsia" w:ascii="宋体" w:hAnsi="宋体" w:eastAsia="宋体" w:cs="宋体"/>
                      <w:color w:val="auto"/>
                      <w:sz w:val="21"/>
                      <w:szCs w:val="21"/>
                    </w:rPr>
                    <w:t>法律法规及相关政策</w:t>
                  </w:r>
                  <w:r>
                    <w:rPr>
                      <w:rFonts w:hint="eastAsia" w:hAnsi="宋体" w:eastAsia="宋体" w:cs="宋体"/>
                      <w:color w:val="auto"/>
                      <w:sz w:val="21"/>
                      <w:szCs w:val="21"/>
                      <w:lang w:eastAsia="zh-CN"/>
                    </w:rPr>
                    <w:t>要求</w:t>
                  </w:r>
                </w:p>
              </w:tc>
              <w:tc>
                <w:tcPr>
                  <w:tcW w:w="728" w:type="dxa"/>
                  <w:tcBorders>
                    <w:tl2br w:val="nil"/>
                    <w:tr2bl w:val="nil"/>
                  </w:tcBorders>
                  <w:vAlign w:val="center"/>
                </w:tcPr>
                <w:p w14:paraId="537C7C2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bl>
          <w:p w14:paraId="0170B1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对照“推动长江经济带发展领导小组办公室关于印发《长江经济带发展负面清单指南（试行，2022年版）》</w:t>
            </w:r>
            <w:r>
              <w:rPr>
                <w:rFonts w:hint="eastAsia" w:ascii="宋体" w:hAnsi="宋体" w:cs="宋体"/>
                <w:color w:val="auto"/>
                <w:kern w:val="0"/>
                <w:sz w:val="24"/>
                <w:szCs w:val="24"/>
                <w:lang w:val="en-US" w:eastAsia="zh-CN" w:bidi="ar"/>
              </w:rPr>
              <w:t>的通知</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分析可知</w:t>
            </w:r>
            <w:r>
              <w:rPr>
                <w:rFonts w:hint="eastAsia" w:ascii="宋体" w:hAnsi="宋体" w:eastAsia="宋体" w:cs="宋体"/>
                <w:color w:val="auto"/>
                <w:kern w:val="0"/>
                <w:sz w:val="24"/>
                <w:szCs w:val="24"/>
                <w:lang w:val="en-US" w:eastAsia="zh-CN" w:bidi="ar"/>
              </w:rPr>
              <w:t>，本项目不属于负面清单内项目。</w:t>
            </w:r>
          </w:p>
          <w:p w14:paraId="0C72787B">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rightChars="0" w:firstLine="480" w:firstLineChars="200"/>
              <w:jc w:val="left"/>
              <w:textAlignment w:val="auto"/>
              <w:rPr>
                <w:rFonts w:hint="eastAsia" w:ascii="Times New Roman" w:hAnsi="Times New Roman" w:eastAsia="宋体" w:cs="宋体"/>
                <w:b w:val="0"/>
                <w:bCs w:val="0"/>
                <w:color w:val="auto"/>
                <w:kern w:val="0"/>
                <w:sz w:val="24"/>
                <w:szCs w:val="24"/>
                <w:lang w:val="en-US" w:eastAsia="zh-CN"/>
              </w:rPr>
            </w:pPr>
            <w:r>
              <w:rPr>
                <w:rFonts w:hint="eastAsia" w:ascii="宋体" w:hAnsi="宋体" w:eastAsia="宋体" w:cs="宋体"/>
                <w:b w:val="0"/>
                <w:bCs w:val="0"/>
                <w:color w:val="auto"/>
                <w:sz w:val="24"/>
                <w:szCs w:val="24"/>
                <w:lang w:val="en-US" w:eastAsia="zh-CN"/>
              </w:rPr>
              <w:t>根据《江西省长江经济带发展负面清单实施细则</w:t>
            </w:r>
            <w:r>
              <w:rPr>
                <w:rFonts w:hint="eastAsia" w:ascii="宋体" w:hAnsi="宋体" w:cs="宋体"/>
                <w:b w:val="0"/>
                <w:bCs w:val="0"/>
                <w:color w:val="auto"/>
                <w:sz w:val="24"/>
                <w:szCs w:val="24"/>
                <w:lang w:val="en-US" w:eastAsia="zh-CN"/>
              </w:rPr>
              <w:t>（试行，2022年版）</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的通知（赣长江办</w:t>
            </w:r>
            <w:r>
              <w:rPr>
                <w:rFonts w:hint="eastAsia" w:ascii="宋体" w:hAnsi="宋体" w:eastAsia="宋体" w:cs="宋体"/>
                <w:b w:val="0"/>
                <w:bCs w:val="0"/>
                <w:color w:val="auto"/>
                <w:kern w:val="0"/>
                <w:sz w:val="24"/>
                <w:szCs w:val="24"/>
                <w:lang w:val="en-US" w:eastAsia="zh-CN" w:bidi="ar"/>
              </w:rPr>
              <w:t>〔2022〕</w:t>
            </w:r>
            <w:r>
              <w:rPr>
                <w:rFonts w:hint="eastAsia" w:ascii="宋体" w:hAnsi="宋体" w:cs="宋体"/>
                <w:b w:val="0"/>
                <w:bCs w:val="0"/>
                <w:color w:val="auto"/>
                <w:kern w:val="0"/>
                <w:sz w:val="24"/>
                <w:szCs w:val="24"/>
                <w:lang w:val="en-US" w:eastAsia="zh-CN" w:bidi="ar"/>
              </w:rPr>
              <w:t>7号</w:t>
            </w:r>
            <w:r>
              <w:rPr>
                <w:rFonts w:hint="eastAsia" w:ascii="宋体" w:hAnsi="宋体" w:cs="宋体"/>
                <w:b w:val="0"/>
                <w:bCs w:val="0"/>
                <w:color w:val="auto"/>
                <w:sz w:val="24"/>
                <w:szCs w:val="24"/>
                <w:lang w:val="en-US" w:eastAsia="zh-CN"/>
              </w:rPr>
              <w:t>）</w:t>
            </w:r>
            <w:r>
              <w:rPr>
                <w:rFonts w:ascii="宋体" w:hAnsi="宋体" w:eastAsia="宋体" w:cs="宋体"/>
                <w:b w:val="0"/>
                <w:bCs w:val="0"/>
                <w:color w:val="auto"/>
                <w:sz w:val="24"/>
                <w:szCs w:val="24"/>
              </w:rPr>
              <w:t>，本项目与其相符性分析见下表</w:t>
            </w:r>
            <w:r>
              <w:rPr>
                <w:rFonts w:hint="eastAsia" w:ascii="宋体" w:hAnsi="宋体" w:eastAsia="宋体" w:cs="宋体"/>
                <w:b w:val="0"/>
                <w:bCs w:val="0"/>
                <w:color w:val="auto"/>
                <w:sz w:val="24"/>
                <w:szCs w:val="24"/>
                <w:lang w:eastAsia="zh-CN"/>
              </w:rPr>
              <w:t>：</w:t>
            </w:r>
          </w:p>
          <w:p w14:paraId="078DF093">
            <w:pPr>
              <w:widowControl w:val="0"/>
              <w:numPr>
                <w:ilvl w:val="0"/>
                <w:numId w:val="0"/>
              </w:numPr>
              <w:jc w:val="center"/>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color w:val="auto"/>
                <w:kern w:val="2"/>
                <w:sz w:val="21"/>
                <w:szCs w:val="24"/>
                <w:highlight w:val="none"/>
                <w:lang w:val="en-US" w:eastAsia="zh-CN" w:bidi="ar-SA"/>
              </w:rPr>
              <w:t>表1-</w:t>
            </w:r>
            <w:r>
              <w:rPr>
                <w:rFonts w:hint="eastAsia" w:cs="Times New Roman"/>
                <w:b/>
                <w:color w:val="auto"/>
                <w:kern w:val="2"/>
                <w:sz w:val="21"/>
                <w:szCs w:val="24"/>
                <w:highlight w:val="none"/>
                <w:lang w:val="en-US" w:eastAsia="zh-CN" w:bidi="ar-SA"/>
              </w:rPr>
              <w:t xml:space="preserve">4  </w:t>
            </w:r>
            <w:r>
              <w:rPr>
                <w:rFonts w:hint="default" w:ascii="Times New Roman" w:hAnsi="Times New Roman" w:eastAsia="宋体" w:cs="Times New Roman"/>
                <w:b/>
                <w:color w:val="auto"/>
                <w:kern w:val="2"/>
                <w:sz w:val="21"/>
                <w:szCs w:val="24"/>
                <w:highlight w:val="none"/>
                <w:lang w:val="en-US" w:eastAsia="zh-CN" w:bidi="ar-SA"/>
              </w:rPr>
              <w:t>与《江西省长江经济带</w:t>
            </w:r>
            <w:r>
              <w:rPr>
                <w:rFonts w:hint="eastAsia" w:eastAsia="宋体" w:cs="Times New Roman"/>
                <w:b/>
                <w:color w:val="auto"/>
                <w:kern w:val="2"/>
                <w:sz w:val="21"/>
                <w:szCs w:val="24"/>
                <w:highlight w:val="none"/>
                <w:lang w:val="en-US" w:eastAsia="zh-CN" w:bidi="ar-SA"/>
              </w:rPr>
              <w:t>发展</w:t>
            </w:r>
            <w:r>
              <w:rPr>
                <w:rFonts w:hint="default" w:ascii="Times New Roman" w:hAnsi="Times New Roman" w:eastAsia="宋体" w:cs="Times New Roman"/>
                <w:b/>
                <w:color w:val="auto"/>
                <w:kern w:val="2"/>
                <w:sz w:val="21"/>
                <w:szCs w:val="24"/>
                <w:highlight w:val="none"/>
                <w:lang w:val="en-US" w:eastAsia="zh-CN" w:bidi="ar-SA"/>
              </w:rPr>
              <w:t>负面清单实施细则（试行，2022年版）》 的</w:t>
            </w:r>
            <w:r>
              <w:rPr>
                <w:rFonts w:hint="eastAsia" w:ascii="Times New Roman" w:hAnsi="Times New Roman" w:eastAsia="宋体" w:cs="Times New Roman"/>
                <w:b/>
                <w:color w:val="auto"/>
                <w:kern w:val="2"/>
                <w:sz w:val="21"/>
                <w:szCs w:val="24"/>
                <w:highlight w:val="none"/>
                <w:lang w:val="en-US" w:eastAsia="zh-CN" w:bidi="ar-SA"/>
              </w:rPr>
              <w:t>通知（赣长江办〔2022〕7号）</w:t>
            </w:r>
            <w:r>
              <w:rPr>
                <w:rFonts w:hint="default" w:ascii="Times New Roman" w:hAnsi="Times New Roman" w:eastAsia="宋体" w:cs="Times New Roman"/>
                <w:b/>
                <w:color w:val="auto"/>
                <w:kern w:val="2"/>
                <w:sz w:val="21"/>
                <w:szCs w:val="24"/>
                <w:highlight w:val="none"/>
                <w:lang w:val="en-US" w:eastAsia="zh-CN" w:bidi="ar-SA"/>
              </w:rPr>
              <w:t>相符性分析</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
              <w:gridCol w:w="4201"/>
              <w:gridCol w:w="1820"/>
              <w:gridCol w:w="697"/>
            </w:tblGrid>
            <w:tr w14:paraId="1389264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247" w:type="pct"/>
                  <w:tcBorders>
                    <w:tl2br w:val="nil"/>
                    <w:tr2bl w:val="nil"/>
                  </w:tcBorders>
                  <w:noWrap w:val="0"/>
                  <w:vAlign w:val="center"/>
                </w:tcPr>
                <w:p w14:paraId="32553C2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项目</w:t>
                  </w:r>
                </w:p>
              </w:tc>
              <w:tc>
                <w:tcPr>
                  <w:tcW w:w="2972" w:type="pct"/>
                  <w:tcBorders>
                    <w:tl2br w:val="nil"/>
                    <w:tr2bl w:val="nil"/>
                  </w:tcBorders>
                  <w:noWrap w:val="0"/>
                  <w:vAlign w:val="center"/>
                </w:tcPr>
                <w:p w14:paraId="74ED551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内容</w:t>
                  </w:r>
                </w:p>
              </w:tc>
              <w:tc>
                <w:tcPr>
                  <w:tcW w:w="1287" w:type="pct"/>
                  <w:tcBorders>
                    <w:tl2br w:val="nil"/>
                    <w:tr2bl w:val="nil"/>
                  </w:tcBorders>
                  <w:noWrap w:val="0"/>
                  <w:vAlign w:val="center"/>
                </w:tcPr>
                <w:p w14:paraId="31C7D9F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符合性分析</w:t>
                  </w:r>
                </w:p>
              </w:tc>
              <w:tc>
                <w:tcPr>
                  <w:tcW w:w="492" w:type="pct"/>
                  <w:tcBorders>
                    <w:tl2br w:val="nil"/>
                    <w:tr2bl w:val="nil"/>
                  </w:tcBorders>
                  <w:noWrap w:val="0"/>
                  <w:vAlign w:val="center"/>
                </w:tcPr>
                <w:p w14:paraId="72B7C3F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符合性</w:t>
                  </w:r>
                </w:p>
              </w:tc>
            </w:tr>
            <w:tr w14:paraId="407EF09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47" w:type="pct"/>
                  <w:vMerge w:val="restart"/>
                  <w:tcBorders>
                    <w:tl2br w:val="nil"/>
                    <w:tr2bl w:val="nil"/>
                  </w:tcBorders>
                  <w:noWrap w:val="0"/>
                  <w:vAlign w:val="center"/>
                </w:tcPr>
                <w:p w14:paraId="5D3F768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严格岸线河段管控</w:t>
                  </w:r>
                </w:p>
              </w:tc>
              <w:tc>
                <w:tcPr>
                  <w:tcW w:w="2972" w:type="pct"/>
                  <w:tcBorders>
                    <w:tl2br w:val="nil"/>
                    <w:tr2bl w:val="nil"/>
                  </w:tcBorders>
                  <w:noWrap w:val="0"/>
                  <w:vAlign w:val="center"/>
                </w:tcPr>
                <w:p w14:paraId="4ECDB85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sz w:val="21"/>
                      <w:szCs w:val="21"/>
                      <w:highlight w:val="none"/>
                    </w:rPr>
                    <w:t>禁止建设不符合国家、省级批准的内河航道及港口布局规划的码头项目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禁止建设不符合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国家长江干线过江通道布局规划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的过长江通道项目。</w:t>
                  </w:r>
                </w:p>
              </w:tc>
              <w:tc>
                <w:tcPr>
                  <w:tcW w:w="1287" w:type="pct"/>
                  <w:tcBorders>
                    <w:tl2br w:val="nil"/>
                    <w:tr2bl w:val="nil"/>
                  </w:tcBorders>
                  <w:noWrap w:val="0"/>
                  <w:vAlign w:val="center"/>
                </w:tcPr>
                <w:p w14:paraId="1021FD6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项目</w:t>
                  </w:r>
                  <w:r>
                    <w:rPr>
                      <w:rFonts w:hint="eastAsia" w:ascii="宋体" w:hAnsi="宋体" w:eastAsia="宋体" w:cs="宋体"/>
                      <w:color w:val="auto"/>
                      <w:kern w:val="0"/>
                      <w:sz w:val="21"/>
                      <w:szCs w:val="21"/>
                    </w:rPr>
                    <w:t>不属于码头项目</w:t>
                  </w:r>
                  <w:r>
                    <w:rPr>
                      <w:rFonts w:hint="eastAsia" w:ascii="宋体" w:hAnsi="宋体" w:eastAsia="宋体" w:cs="宋体"/>
                      <w:color w:val="auto"/>
                      <w:kern w:val="0"/>
                      <w:sz w:val="21"/>
                      <w:szCs w:val="21"/>
                      <w:lang w:eastAsia="zh-CN"/>
                    </w:rPr>
                    <w:t>，不属于</w:t>
                  </w:r>
                  <w:r>
                    <w:rPr>
                      <w:rFonts w:hint="eastAsia" w:ascii="宋体" w:hAnsi="宋体" w:eastAsia="宋体" w:cs="宋体"/>
                      <w:color w:val="auto"/>
                      <w:kern w:val="0"/>
                      <w:sz w:val="21"/>
                      <w:szCs w:val="21"/>
                    </w:rPr>
                    <w:t>长江通道项目</w:t>
                  </w:r>
                </w:p>
              </w:tc>
              <w:tc>
                <w:tcPr>
                  <w:tcW w:w="492" w:type="pct"/>
                  <w:tcBorders>
                    <w:tl2br w:val="nil"/>
                    <w:tr2bl w:val="nil"/>
                  </w:tcBorders>
                  <w:noWrap w:val="0"/>
                  <w:vAlign w:val="center"/>
                </w:tcPr>
                <w:p w14:paraId="4B4E9E6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符合</w:t>
                  </w:r>
                </w:p>
              </w:tc>
            </w:tr>
            <w:tr w14:paraId="24B0CA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tcBorders>
                    <w:tl2br w:val="nil"/>
                    <w:tr2bl w:val="nil"/>
                  </w:tcBorders>
                  <w:noWrap w:val="0"/>
                  <w:vAlign w:val="center"/>
                </w:tcPr>
                <w:p w14:paraId="78501AA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5A15CAC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sz w:val="21"/>
                      <w:szCs w:val="21"/>
                      <w:highlight w:val="none"/>
                    </w:rPr>
                    <w:t>禁止在自然保护区核心区、缓冲区的岸线和河段范围内</w:t>
                  </w:r>
                  <w:r>
                    <w:rPr>
                      <w:rFonts w:hint="default" w:ascii="Times New Roman" w:hAnsi="Times New Roman" w:eastAsia="宋体" w:cs="Times New Roman"/>
                      <w:color w:val="auto"/>
                      <w:sz w:val="21"/>
                      <w:szCs w:val="21"/>
                      <w:highlight w:val="none"/>
                      <w:lang w:val="en-US" w:eastAsia="zh-CN"/>
                    </w:rPr>
                    <w:t>投资建设</w:t>
                  </w:r>
                  <w:r>
                    <w:rPr>
                      <w:rFonts w:hint="default" w:ascii="Times New Roman" w:hAnsi="Times New Roman" w:eastAsia="宋体" w:cs="Times New Roman"/>
                      <w:color w:val="auto"/>
                      <w:sz w:val="21"/>
                      <w:szCs w:val="21"/>
                      <w:highlight w:val="none"/>
                    </w:rPr>
                    <w:t>旅游和生产经营</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w:t>
                  </w:r>
                </w:p>
              </w:tc>
              <w:tc>
                <w:tcPr>
                  <w:tcW w:w="1287" w:type="pct"/>
                  <w:tcBorders>
                    <w:tl2br w:val="nil"/>
                    <w:tr2bl w:val="nil"/>
                  </w:tcBorders>
                  <w:noWrap w:val="0"/>
                  <w:vAlign w:val="center"/>
                </w:tcPr>
                <w:p w14:paraId="6027324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color w:val="auto"/>
                      <w:sz w:val="21"/>
                      <w:szCs w:val="21"/>
                    </w:rPr>
                    <w:t>项目</w:t>
                  </w:r>
                  <w:r>
                    <w:rPr>
                      <w:rFonts w:hint="eastAsia" w:ascii="宋体" w:hAnsi="宋体" w:eastAsia="宋体" w:cs="宋体"/>
                      <w:color w:val="auto"/>
                      <w:kern w:val="0"/>
                      <w:sz w:val="21"/>
                      <w:szCs w:val="21"/>
                      <w:lang w:eastAsia="zh-CN"/>
                    </w:rPr>
                    <w:t>不在</w:t>
                  </w:r>
                  <w:r>
                    <w:rPr>
                      <w:rFonts w:hint="eastAsia" w:ascii="宋体" w:hAnsi="宋体" w:eastAsia="宋体" w:cs="宋体"/>
                      <w:color w:val="auto"/>
                      <w:kern w:val="0"/>
                      <w:sz w:val="21"/>
                      <w:szCs w:val="21"/>
                    </w:rPr>
                    <w:t>自然保护区</w:t>
                  </w:r>
                  <w:r>
                    <w:rPr>
                      <w:rFonts w:hint="eastAsia" w:ascii="宋体" w:hAnsi="宋体" w:eastAsia="宋体" w:cs="宋体"/>
                      <w:color w:val="auto"/>
                      <w:kern w:val="0"/>
                      <w:sz w:val="21"/>
                      <w:szCs w:val="21"/>
                      <w:lang w:eastAsia="zh-CN"/>
                    </w:rPr>
                    <w:t>核心区</w:t>
                  </w:r>
                  <w:r>
                    <w:rPr>
                      <w:rFonts w:hint="eastAsia" w:ascii="宋体" w:hAnsi="宋体" w:eastAsia="宋体" w:cs="宋体"/>
                      <w:color w:val="auto"/>
                      <w:kern w:val="0"/>
                      <w:sz w:val="21"/>
                      <w:szCs w:val="21"/>
                    </w:rPr>
                    <w:t>、缓冲区的岸线和河段范围</w:t>
                  </w:r>
                  <w:r>
                    <w:rPr>
                      <w:rFonts w:hint="eastAsia" w:ascii="宋体" w:hAnsi="宋体" w:eastAsia="宋体" w:cs="宋体"/>
                      <w:color w:val="auto"/>
                      <w:kern w:val="0"/>
                      <w:sz w:val="21"/>
                      <w:szCs w:val="21"/>
                      <w:lang w:eastAsia="zh-CN"/>
                    </w:rPr>
                    <w:t>内</w:t>
                  </w:r>
                </w:p>
              </w:tc>
              <w:tc>
                <w:tcPr>
                  <w:tcW w:w="492" w:type="pct"/>
                  <w:tcBorders>
                    <w:tl2br w:val="nil"/>
                    <w:tr2bl w:val="nil"/>
                  </w:tcBorders>
                  <w:noWrap w:val="0"/>
                  <w:vAlign w:val="center"/>
                </w:tcPr>
                <w:p w14:paraId="70EEC1D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4C6F8E3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47" w:type="pct"/>
                  <w:vMerge w:val="continue"/>
                  <w:tcBorders>
                    <w:tl2br w:val="nil"/>
                    <w:tr2bl w:val="nil"/>
                  </w:tcBorders>
                  <w:noWrap w:val="0"/>
                  <w:vAlign w:val="center"/>
                </w:tcPr>
                <w:p w14:paraId="09FAD79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2C611C0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禁止在风景名胜区</w:t>
                  </w:r>
                  <w:r>
                    <w:rPr>
                      <w:rFonts w:hint="default" w:ascii="Times New Roman" w:hAnsi="Times New Roman" w:eastAsia="宋体" w:cs="Times New Roman"/>
                      <w:color w:val="auto"/>
                      <w:sz w:val="21"/>
                      <w:szCs w:val="21"/>
                      <w:highlight w:val="none"/>
                      <w:lang w:val="en-US" w:eastAsia="zh-CN"/>
                    </w:rPr>
                    <w:t>核心景区</w:t>
                  </w:r>
                  <w:r>
                    <w:rPr>
                      <w:rFonts w:hint="default" w:ascii="Times New Roman" w:hAnsi="Times New Roman" w:eastAsia="宋体" w:cs="Times New Roman"/>
                      <w:color w:val="auto"/>
                      <w:sz w:val="21"/>
                      <w:szCs w:val="21"/>
                      <w:highlight w:val="none"/>
                    </w:rPr>
                    <w:t>的岸线和河段范围内开展以下行为：</w:t>
                  </w:r>
                </w:p>
                <w:p w14:paraId="09FEC1E2">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开山、采石、开矿、开荒、修坟立碑等破坏景观、植被和地形地貌的活动；</w:t>
                  </w:r>
                </w:p>
                <w:p w14:paraId="24F02832">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sz w:val="21"/>
                      <w:szCs w:val="21"/>
                      <w:highlight w:val="none"/>
                    </w:rPr>
                    <w:t>修建储存爆炸性、易燃性、放射性、毒害性、腐蚀性物品的设施；</w:t>
                  </w:r>
                </w:p>
                <w:p w14:paraId="2FEABD09">
                  <w:pPr>
                    <w:keepNext w:val="0"/>
                    <w:keepLines w:val="0"/>
                    <w:pageBreakBefore w:val="0"/>
                    <w:widowControl w:val="0"/>
                    <w:numPr>
                      <w:ilvl w:val="0"/>
                      <w:numId w:val="4"/>
                    </w:numPr>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sz w:val="21"/>
                      <w:szCs w:val="21"/>
                      <w:highlight w:val="none"/>
                    </w:rPr>
                    <w:t>违反风景名胜区规划，建设与风景名胜资源保护无关的设施。</w:t>
                  </w:r>
                </w:p>
              </w:tc>
              <w:tc>
                <w:tcPr>
                  <w:tcW w:w="1287" w:type="pct"/>
                  <w:tcBorders>
                    <w:tl2br w:val="nil"/>
                    <w:tr2bl w:val="nil"/>
                  </w:tcBorders>
                  <w:noWrap w:val="0"/>
                  <w:vAlign w:val="center"/>
                </w:tcPr>
                <w:p w14:paraId="045F6BE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color w:val="auto"/>
                      <w:sz w:val="21"/>
                      <w:szCs w:val="21"/>
                    </w:rPr>
                    <w:t>项目</w:t>
                  </w:r>
                  <w:r>
                    <w:rPr>
                      <w:rFonts w:hint="eastAsia" w:ascii="宋体" w:hAnsi="宋体" w:eastAsia="宋体" w:cs="宋体"/>
                      <w:color w:val="auto"/>
                      <w:kern w:val="0"/>
                      <w:sz w:val="21"/>
                      <w:szCs w:val="21"/>
                    </w:rPr>
                    <w:t>不在国家级、省级风景名胜区的岸线和河段范围内</w:t>
                  </w:r>
                </w:p>
              </w:tc>
              <w:tc>
                <w:tcPr>
                  <w:tcW w:w="492" w:type="pct"/>
                  <w:tcBorders>
                    <w:tl2br w:val="nil"/>
                    <w:tr2bl w:val="nil"/>
                  </w:tcBorders>
                  <w:noWrap w:val="0"/>
                  <w:vAlign w:val="center"/>
                </w:tcPr>
                <w:p w14:paraId="48E2D20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2E17CFA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tcBorders>
                    <w:tl2br w:val="nil"/>
                    <w:tr2bl w:val="nil"/>
                  </w:tcBorders>
                  <w:noWrap w:val="0"/>
                  <w:vAlign w:val="center"/>
                </w:tcPr>
                <w:p w14:paraId="2AE2516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35FA4D8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禁止在饮用水水源一级保护区的岸线和河段范围内开展下列行为：</w:t>
                  </w:r>
                </w:p>
                <w:p w14:paraId="53FF2B7E">
                  <w:pPr>
                    <w:keepNext w:val="0"/>
                    <w:keepLines w:val="0"/>
                    <w:pageBreakBefore w:val="0"/>
                    <w:widowControl w:val="0"/>
                    <w:numPr>
                      <w:ilvl w:val="0"/>
                      <w:numId w:val="5"/>
                    </w:numPr>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新建、改建、扩建与供水设施和保护水源无关的建设项目；</w:t>
                  </w:r>
                  <w:r>
                    <w:rPr>
                      <w:rFonts w:hint="default" w:ascii="Times New Roman" w:hAnsi="Times New Roman" w:eastAsia="宋体" w:cs="Times New Roman"/>
                      <w:color w:val="auto"/>
                      <w:sz w:val="21"/>
                      <w:szCs w:val="21"/>
                      <w:highlight w:val="none"/>
                      <w:lang w:val="en-US" w:eastAsia="zh-CN"/>
                    </w:rPr>
                    <w:t>已建成的与供水设施和保护水源无关的建设项目，由县级以上人民政府责令拆除或者关闭。</w:t>
                  </w:r>
                </w:p>
                <w:p w14:paraId="4E8529DF">
                  <w:pPr>
                    <w:keepNext w:val="0"/>
                    <w:keepLines w:val="0"/>
                    <w:pageBreakBefore w:val="0"/>
                    <w:widowControl w:val="0"/>
                    <w:numPr>
                      <w:ilvl w:val="0"/>
                      <w:numId w:val="5"/>
                    </w:numPr>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sz w:val="21"/>
                      <w:szCs w:val="21"/>
                      <w:highlight w:val="none"/>
                      <w:lang w:val="en-US" w:eastAsia="zh-CN"/>
                    </w:rPr>
                    <w:t>禁止在饮用水水源一级保护区内从事网箱养殖、旅游、游泳、垂钓或者其他可能污染饮用水水体的活动。</w:t>
                  </w:r>
                </w:p>
              </w:tc>
              <w:tc>
                <w:tcPr>
                  <w:tcW w:w="1287" w:type="pct"/>
                  <w:tcBorders>
                    <w:tl2br w:val="nil"/>
                    <w:tr2bl w:val="nil"/>
                  </w:tcBorders>
                  <w:noWrap w:val="0"/>
                  <w:vAlign w:val="center"/>
                </w:tcPr>
                <w:p w14:paraId="03B7FC5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color w:val="auto"/>
                      <w:sz w:val="21"/>
                      <w:szCs w:val="21"/>
                    </w:rPr>
                    <w:t>项目</w:t>
                  </w:r>
                  <w:r>
                    <w:rPr>
                      <w:rFonts w:hint="eastAsia" w:ascii="宋体" w:hAnsi="宋体" w:eastAsia="宋体" w:cs="宋体"/>
                      <w:color w:val="auto"/>
                      <w:kern w:val="0"/>
                      <w:sz w:val="21"/>
                      <w:szCs w:val="21"/>
                    </w:rPr>
                    <w:t>不在饮用水水源一级保护区的岸线和河段范围内</w:t>
                  </w:r>
                </w:p>
              </w:tc>
              <w:tc>
                <w:tcPr>
                  <w:tcW w:w="492" w:type="pct"/>
                  <w:tcBorders>
                    <w:tl2br w:val="nil"/>
                    <w:tr2bl w:val="nil"/>
                  </w:tcBorders>
                  <w:noWrap w:val="0"/>
                  <w:vAlign w:val="center"/>
                </w:tcPr>
                <w:p w14:paraId="724463E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1CA4A73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7" w:type="pct"/>
                  <w:vMerge w:val="continue"/>
                  <w:tcBorders>
                    <w:tl2br w:val="nil"/>
                    <w:tr2bl w:val="nil"/>
                  </w:tcBorders>
                  <w:noWrap w:val="0"/>
                  <w:vAlign w:val="center"/>
                </w:tcPr>
                <w:p w14:paraId="464D13C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05832D8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禁止在饮用水水源二级保护区的岸线和河段范围内开展下列行为：</w:t>
                  </w:r>
                </w:p>
                <w:p w14:paraId="062F9F7F">
                  <w:pPr>
                    <w:keepNext w:val="0"/>
                    <w:keepLines w:val="0"/>
                    <w:pageBreakBefore w:val="0"/>
                    <w:widowControl w:val="0"/>
                    <w:numPr>
                      <w:ilvl w:val="0"/>
                      <w:numId w:val="6"/>
                    </w:numPr>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新建、改建、扩建</w:t>
                  </w:r>
                  <w:r>
                    <w:rPr>
                      <w:rFonts w:hint="default" w:ascii="Times New Roman" w:hAnsi="Times New Roman" w:eastAsia="宋体" w:cs="Times New Roman"/>
                      <w:color w:val="auto"/>
                      <w:sz w:val="21"/>
                      <w:szCs w:val="21"/>
                      <w:highlight w:val="none"/>
                      <w:lang w:val="en-US" w:eastAsia="zh-CN"/>
                    </w:rPr>
                    <w:t>排放污染物的</w:t>
                  </w:r>
                  <w:r>
                    <w:rPr>
                      <w:rFonts w:hint="default" w:ascii="Times New Roman" w:hAnsi="Times New Roman" w:eastAsia="宋体" w:cs="Times New Roman"/>
                      <w:color w:val="auto"/>
                      <w:sz w:val="21"/>
                      <w:szCs w:val="21"/>
                      <w:highlight w:val="none"/>
                    </w:rPr>
                    <w:t>建设项目；</w:t>
                  </w:r>
                  <w:r>
                    <w:rPr>
                      <w:rFonts w:hint="default" w:ascii="Times New Roman" w:hAnsi="Times New Roman" w:eastAsia="宋体" w:cs="Times New Roman"/>
                      <w:color w:val="auto"/>
                      <w:sz w:val="21"/>
                      <w:szCs w:val="21"/>
                      <w:highlight w:val="none"/>
                      <w:lang w:val="en-US" w:eastAsia="zh-CN"/>
                    </w:rPr>
                    <w:t>已建成的排放污水物的建设项目，由县级以上人民政府责令拆除或者关闭。</w:t>
                  </w:r>
                </w:p>
                <w:p w14:paraId="6BCBEDDE">
                  <w:pPr>
                    <w:keepNext w:val="0"/>
                    <w:keepLines w:val="0"/>
                    <w:pageBreakBefore w:val="0"/>
                    <w:widowControl w:val="0"/>
                    <w:numPr>
                      <w:ilvl w:val="0"/>
                      <w:numId w:val="6"/>
                    </w:numPr>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sz w:val="21"/>
                      <w:szCs w:val="21"/>
                      <w:highlight w:val="none"/>
                      <w:lang w:val="en-US" w:eastAsia="zh-CN"/>
                    </w:rPr>
                    <w:t>在饮用水水源二级保护区内从事网箱养殖、旅游等活动，应当按照规定采取措施，防止污染饮用水水体。</w:t>
                  </w:r>
                </w:p>
              </w:tc>
              <w:tc>
                <w:tcPr>
                  <w:tcW w:w="1287" w:type="pct"/>
                  <w:tcBorders>
                    <w:tl2br w:val="nil"/>
                    <w:tr2bl w:val="nil"/>
                  </w:tcBorders>
                  <w:noWrap w:val="0"/>
                  <w:vAlign w:val="center"/>
                </w:tcPr>
                <w:p w14:paraId="67A3121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color w:val="auto"/>
                      <w:sz w:val="21"/>
                      <w:szCs w:val="21"/>
                    </w:rPr>
                    <w:t>项目</w:t>
                  </w:r>
                  <w:r>
                    <w:rPr>
                      <w:rFonts w:hint="eastAsia" w:ascii="宋体" w:hAnsi="宋体" w:eastAsia="宋体" w:cs="宋体"/>
                      <w:color w:val="auto"/>
                      <w:sz w:val="21"/>
                      <w:szCs w:val="21"/>
                    </w:rPr>
                    <w:t>不在饮用水水源二级保护区的岸线和河段范围内</w:t>
                  </w:r>
                </w:p>
              </w:tc>
              <w:tc>
                <w:tcPr>
                  <w:tcW w:w="492" w:type="pct"/>
                  <w:tcBorders>
                    <w:tl2br w:val="nil"/>
                    <w:tr2bl w:val="nil"/>
                  </w:tcBorders>
                  <w:noWrap w:val="0"/>
                  <w:vAlign w:val="center"/>
                </w:tcPr>
                <w:p w14:paraId="05AD4C3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34E6048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47" w:type="pct"/>
                  <w:vMerge w:val="continue"/>
                  <w:tcBorders>
                    <w:tl2br w:val="nil"/>
                    <w:tr2bl w:val="nil"/>
                  </w:tcBorders>
                  <w:noWrap w:val="0"/>
                  <w:vAlign w:val="center"/>
                </w:tcPr>
                <w:p w14:paraId="041CA41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0CDC5323">
                  <w:pPr>
                    <w:keepNext w:val="0"/>
                    <w:keepLines w:val="0"/>
                    <w:pageBreakBefore w:val="0"/>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禁止在水产种质资源保护区的岸线和河段范围内新建围湖（河）造田（地）等投资建设项目。</w:t>
                  </w:r>
                </w:p>
                <w:p w14:paraId="259B16A0">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color w:val="auto"/>
                      <w:sz w:val="21"/>
                      <w:szCs w:val="21"/>
                    </w:rPr>
                  </w:pPr>
                  <w:r>
                    <w:rPr>
                      <w:rFonts w:hint="eastAsia" w:ascii="宋体" w:hAnsi="宋体" w:eastAsia="宋体" w:cs="宋体"/>
                      <w:color w:val="auto"/>
                      <w:kern w:val="0"/>
                      <w:sz w:val="21"/>
                      <w:szCs w:val="21"/>
                      <w:lang w:val="en-US" w:eastAsia="zh-CN" w:bidi="ar"/>
                    </w:rPr>
                    <w:t>单位和个人在水产种质资源保护区内从事水生生物资源调査、科学研究、教学实习、参观游览、影视拍摄等活动，应当遵守有关法律法规和保护区管理制度，不得损害水产种质资源及其生存环境。</w:t>
                  </w:r>
                </w:p>
              </w:tc>
              <w:tc>
                <w:tcPr>
                  <w:tcW w:w="1287" w:type="pct"/>
                  <w:tcBorders>
                    <w:tl2br w:val="nil"/>
                    <w:tr2bl w:val="nil"/>
                  </w:tcBorders>
                  <w:noWrap w:val="0"/>
                  <w:vAlign w:val="center"/>
                </w:tcPr>
                <w:p w14:paraId="4FAA005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color w:val="auto"/>
                      <w:sz w:val="21"/>
                      <w:szCs w:val="21"/>
                    </w:rPr>
                    <w:t>项目</w:t>
                  </w:r>
                  <w:r>
                    <w:rPr>
                      <w:rFonts w:hint="default" w:ascii="Times New Roman" w:hAnsi="Times New Roman" w:eastAsia="宋体" w:cs="Times New Roman"/>
                      <w:color w:val="auto"/>
                      <w:sz w:val="21"/>
                      <w:szCs w:val="21"/>
                      <w:highlight w:val="none"/>
                      <w:lang w:val="en-US" w:eastAsia="zh-CN"/>
                    </w:rPr>
                    <w:t>不在水产种质资源保护区的岸线和河段范围内</w:t>
                  </w:r>
                </w:p>
              </w:tc>
              <w:tc>
                <w:tcPr>
                  <w:tcW w:w="492" w:type="pct"/>
                  <w:tcBorders>
                    <w:tl2br w:val="nil"/>
                    <w:tr2bl w:val="nil"/>
                  </w:tcBorders>
                  <w:noWrap w:val="0"/>
                  <w:vAlign w:val="center"/>
                </w:tcPr>
                <w:p w14:paraId="71F7452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62663F0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247" w:type="pct"/>
                  <w:vMerge w:val="continue"/>
                  <w:tcBorders>
                    <w:tl2br w:val="nil"/>
                    <w:tr2bl w:val="nil"/>
                  </w:tcBorders>
                  <w:noWrap w:val="0"/>
                  <w:vAlign w:val="center"/>
                </w:tcPr>
                <w:p w14:paraId="6B4AF81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01327F38">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kern w:val="0"/>
                      <w:sz w:val="21"/>
                      <w:szCs w:val="21"/>
                      <w:lang w:val="en-US" w:eastAsia="zh-CN" w:bidi="ar-SA"/>
                    </w:rPr>
                    <w:t>除国家规定的外，</w:t>
                  </w:r>
                  <w:r>
                    <w:rPr>
                      <w:rFonts w:hint="eastAsia" w:ascii="Times New Roman" w:hAnsi="Times New Roman" w:eastAsia="宋体" w:cs="Times New Roman"/>
                      <w:color w:val="auto"/>
                      <w:kern w:val="0"/>
                      <w:sz w:val="21"/>
                      <w:szCs w:val="21"/>
                      <w:lang w:val="en-US" w:eastAsia="zh-CN" w:bidi="ar-SA"/>
                    </w:rPr>
                    <w:t>禁止在</w:t>
                  </w:r>
                  <w:r>
                    <w:rPr>
                      <w:rFonts w:hint="default" w:ascii="Times New Roman" w:hAnsi="Times New Roman" w:eastAsia="宋体" w:cs="Times New Roman"/>
                      <w:color w:val="auto"/>
                      <w:kern w:val="0"/>
                      <w:sz w:val="21"/>
                      <w:szCs w:val="21"/>
                      <w:lang w:val="en-US" w:eastAsia="zh-CN" w:bidi="ar-SA"/>
                    </w:rPr>
                    <w:t>国家湿地公园的岸线和河段范围内挖沙、采矿以及任何不符合主体功能定位的投资建设项目。</w:t>
                  </w:r>
                </w:p>
              </w:tc>
              <w:tc>
                <w:tcPr>
                  <w:tcW w:w="1287" w:type="pct"/>
                  <w:tcBorders>
                    <w:tl2br w:val="nil"/>
                    <w:tr2bl w:val="nil"/>
                  </w:tcBorders>
                  <w:noWrap w:val="0"/>
                  <w:vAlign w:val="center"/>
                </w:tcPr>
                <w:p w14:paraId="49D2ED5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不在国家湿地公园的岸线和河段范围内</w:t>
                  </w:r>
                </w:p>
              </w:tc>
              <w:tc>
                <w:tcPr>
                  <w:tcW w:w="492" w:type="pct"/>
                  <w:tcBorders>
                    <w:tl2br w:val="nil"/>
                    <w:tr2bl w:val="nil"/>
                  </w:tcBorders>
                  <w:noWrap w:val="0"/>
                  <w:vAlign w:val="center"/>
                </w:tcPr>
                <w:p w14:paraId="727BDA9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358846D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247" w:type="pct"/>
                  <w:vMerge w:val="continue"/>
                  <w:tcBorders>
                    <w:tl2br w:val="nil"/>
                    <w:tr2bl w:val="nil"/>
                  </w:tcBorders>
                  <w:noWrap w:val="0"/>
                  <w:vAlign w:val="center"/>
                </w:tcPr>
                <w:p w14:paraId="4F926D6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378FCDE5">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kern w:val="0"/>
                      <w:sz w:val="21"/>
                      <w:szCs w:val="21"/>
                      <w:lang w:val="en-US" w:eastAsia="zh-CN" w:bidi="ar-S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287" w:type="pct"/>
                  <w:tcBorders>
                    <w:tl2br w:val="nil"/>
                    <w:tr2bl w:val="nil"/>
                  </w:tcBorders>
                  <w:noWrap w:val="0"/>
                  <w:vAlign w:val="center"/>
                </w:tcPr>
                <w:p w14:paraId="4877AFC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color w:val="auto"/>
                      <w:sz w:val="21"/>
                      <w:szCs w:val="21"/>
                    </w:rPr>
                    <w:t>项目</w:t>
                  </w:r>
                  <w:r>
                    <w:rPr>
                      <w:rFonts w:hint="eastAsia"/>
                      <w:color w:val="auto"/>
                      <w:sz w:val="21"/>
                      <w:szCs w:val="21"/>
                    </w:rPr>
                    <w:t>不属于利用、占用长江流域河湖岸线，</w:t>
                  </w:r>
                  <w:r>
                    <w:rPr>
                      <w:color w:val="auto"/>
                      <w:sz w:val="21"/>
                      <w:szCs w:val="21"/>
                    </w:rPr>
                    <w:t>不在</w:t>
                  </w:r>
                  <w:r>
                    <w:rPr>
                      <w:rFonts w:hint="eastAsia"/>
                      <w:color w:val="auto"/>
                      <w:sz w:val="21"/>
                      <w:szCs w:val="21"/>
                    </w:rPr>
                    <w:t>岸线保护区和保留区</w:t>
                  </w:r>
                </w:p>
              </w:tc>
              <w:tc>
                <w:tcPr>
                  <w:tcW w:w="492" w:type="pct"/>
                  <w:tcBorders>
                    <w:tl2br w:val="nil"/>
                    <w:tr2bl w:val="nil"/>
                  </w:tcBorders>
                  <w:noWrap w:val="0"/>
                  <w:vAlign w:val="center"/>
                </w:tcPr>
                <w:p w14:paraId="5D1EBD0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67F1400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47" w:type="pct"/>
                  <w:vMerge w:val="continue"/>
                  <w:tcBorders>
                    <w:tl2br w:val="nil"/>
                    <w:tr2bl w:val="nil"/>
                  </w:tcBorders>
                  <w:noWrap w:val="0"/>
                  <w:vAlign w:val="center"/>
                </w:tcPr>
                <w:p w14:paraId="3DE2091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757A565B">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kern w:val="0"/>
                      <w:sz w:val="21"/>
                      <w:szCs w:val="21"/>
                      <w:lang w:val="en-US" w:eastAsia="zh-CN" w:bidi="ar-SA"/>
                    </w:rPr>
                    <w:t>禁止在《全国重要江河湖泊水功能规划》划定的河段及湖泊保护区、保留区内投资建设不利于水资源及自然生态保护的项目。</w:t>
                  </w:r>
                </w:p>
              </w:tc>
              <w:tc>
                <w:tcPr>
                  <w:tcW w:w="1287" w:type="pct"/>
                  <w:tcBorders>
                    <w:tl2br w:val="nil"/>
                    <w:tr2bl w:val="nil"/>
                  </w:tcBorders>
                  <w:noWrap w:val="0"/>
                  <w:vAlign w:val="center"/>
                </w:tcPr>
                <w:p w14:paraId="3240E7D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不在</w:t>
                  </w:r>
                  <w:r>
                    <w:rPr>
                      <w:rFonts w:hint="default" w:ascii="Times New Roman" w:hAnsi="Times New Roman" w:eastAsia="宋体" w:cs="Times New Roman"/>
                      <w:color w:val="auto"/>
                      <w:kern w:val="0"/>
                      <w:sz w:val="21"/>
                      <w:szCs w:val="21"/>
                      <w:lang w:val="en-US" w:eastAsia="zh-CN" w:bidi="ar-SA"/>
                    </w:rPr>
                    <w:t>《全国重要江河湖泊水功能规划》划定的河段及湖泊</w:t>
                  </w:r>
                  <w:r>
                    <w:rPr>
                      <w:rFonts w:hint="eastAsia" w:ascii="宋体" w:hAnsi="宋体" w:eastAsia="宋体" w:cs="宋体"/>
                      <w:color w:val="auto"/>
                      <w:kern w:val="0"/>
                      <w:sz w:val="21"/>
                      <w:szCs w:val="21"/>
                    </w:rPr>
                    <w:t>保护区、保留区内</w:t>
                  </w:r>
                </w:p>
              </w:tc>
              <w:tc>
                <w:tcPr>
                  <w:tcW w:w="492" w:type="pct"/>
                  <w:tcBorders>
                    <w:tl2br w:val="nil"/>
                    <w:tr2bl w:val="nil"/>
                  </w:tcBorders>
                  <w:noWrap w:val="0"/>
                  <w:vAlign w:val="center"/>
                </w:tcPr>
                <w:p w14:paraId="3A2399D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5C1544D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restart"/>
                  <w:tcBorders>
                    <w:tl2br w:val="nil"/>
                    <w:tr2bl w:val="nil"/>
                  </w:tcBorders>
                  <w:noWrap w:val="0"/>
                  <w:vAlign w:val="center"/>
                </w:tcPr>
                <w:p w14:paraId="60BC004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严控区域活动管控</w:t>
                  </w:r>
                </w:p>
              </w:tc>
              <w:tc>
                <w:tcPr>
                  <w:tcW w:w="2972" w:type="pct"/>
                  <w:tcBorders>
                    <w:tl2br w:val="nil"/>
                    <w:tr2bl w:val="nil"/>
                  </w:tcBorders>
                  <w:noWrap w:val="0"/>
                  <w:vAlign w:val="center"/>
                </w:tcPr>
                <w:p w14:paraId="75922155">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禁止未经许可在长江干支流及湖泊新设、改设或扩大排污口。</w:t>
                  </w:r>
                </w:p>
              </w:tc>
              <w:tc>
                <w:tcPr>
                  <w:tcW w:w="1287" w:type="pct"/>
                  <w:tcBorders>
                    <w:tl2br w:val="nil"/>
                    <w:tr2bl w:val="nil"/>
                  </w:tcBorders>
                  <w:noWrap w:val="0"/>
                  <w:vAlign w:val="center"/>
                </w:tcPr>
                <w:p w14:paraId="5949D7D5">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kern w:val="0"/>
                      <w:sz w:val="21"/>
                      <w:szCs w:val="21"/>
                      <w:lang w:val="en-US" w:eastAsia="zh-CN" w:bidi="ar-SA"/>
                    </w:rPr>
                    <w:t>项目不设</w:t>
                  </w:r>
                  <w:r>
                    <w:rPr>
                      <w:rFonts w:hint="eastAsia" w:cs="Times New Roman"/>
                      <w:color w:val="auto"/>
                      <w:kern w:val="0"/>
                      <w:sz w:val="21"/>
                      <w:szCs w:val="21"/>
                      <w:lang w:val="en-US" w:eastAsia="zh-CN" w:bidi="ar-SA"/>
                    </w:rPr>
                    <w:t>入河</w:t>
                  </w:r>
                  <w:r>
                    <w:rPr>
                      <w:rFonts w:hint="default" w:ascii="Times New Roman" w:hAnsi="Times New Roman" w:eastAsia="宋体" w:cs="Times New Roman"/>
                      <w:color w:val="auto"/>
                      <w:kern w:val="0"/>
                      <w:sz w:val="21"/>
                      <w:szCs w:val="21"/>
                      <w:lang w:val="en-US" w:eastAsia="zh-CN" w:bidi="ar-SA"/>
                    </w:rPr>
                    <w:t>排污口</w:t>
                  </w:r>
                </w:p>
              </w:tc>
              <w:tc>
                <w:tcPr>
                  <w:tcW w:w="492" w:type="pct"/>
                  <w:tcBorders>
                    <w:tl2br w:val="nil"/>
                    <w:tr2bl w:val="nil"/>
                  </w:tcBorders>
                  <w:noWrap w:val="0"/>
                  <w:vAlign w:val="center"/>
                </w:tcPr>
                <w:p w14:paraId="1E693C3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680E68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 w:type="pct"/>
                  <w:vMerge w:val="continue"/>
                  <w:tcBorders>
                    <w:tl2br w:val="nil"/>
                    <w:tr2bl w:val="nil"/>
                  </w:tcBorders>
                  <w:noWrap w:val="0"/>
                  <w:vAlign w:val="center"/>
                </w:tcPr>
                <w:p w14:paraId="66D0906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57FC218A">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禁止在长江干流江西段、鄱阳湖和《率先全面禁捕的长江流域水生生物保护区名录》中的水生生物保护区开展生产性捕捞。</w:t>
                  </w:r>
                </w:p>
              </w:tc>
              <w:tc>
                <w:tcPr>
                  <w:tcW w:w="1287" w:type="pct"/>
                  <w:tcBorders>
                    <w:tl2br w:val="nil"/>
                    <w:tr2bl w:val="nil"/>
                  </w:tcBorders>
                  <w:noWrap w:val="0"/>
                  <w:vAlign w:val="center"/>
                </w:tcPr>
                <w:p w14:paraId="7A82A2DE">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宋体" w:hAnsi="宋体" w:eastAsia="宋体" w:cs="宋体"/>
                      <w:color w:val="auto"/>
                      <w:kern w:val="0"/>
                      <w:sz w:val="21"/>
                      <w:szCs w:val="21"/>
                    </w:rPr>
                  </w:pPr>
                  <w:r>
                    <w:rPr>
                      <w:rFonts w:hint="default" w:ascii="Times New Roman" w:hAnsi="Times New Roman" w:eastAsia="宋体" w:cs="Times New Roman"/>
                      <w:color w:val="auto"/>
                      <w:kern w:val="0"/>
                      <w:sz w:val="21"/>
                      <w:szCs w:val="21"/>
                      <w:lang w:val="en-US" w:eastAsia="zh-CN" w:bidi="ar-SA"/>
                    </w:rPr>
                    <w:t>不涉及生产线捕捞</w:t>
                  </w:r>
                </w:p>
              </w:tc>
              <w:tc>
                <w:tcPr>
                  <w:tcW w:w="492" w:type="pct"/>
                  <w:tcBorders>
                    <w:tl2br w:val="nil"/>
                    <w:tr2bl w:val="nil"/>
                  </w:tcBorders>
                  <w:noWrap w:val="0"/>
                  <w:vAlign w:val="center"/>
                </w:tcPr>
                <w:p w14:paraId="4350EDA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2284CB2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47" w:type="pct"/>
                  <w:vMerge w:val="continue"/>
                  <w:tcBorders>
                    <w:tl2br w:val="nil"/>
                    <w:tr2bl w:val="nil"/>
                  </w:tcBorders>
                  <w:noWrap w:val="0"/>
                  <w:vAlign w:val="center"/>
                </w:tcPr>
                <w:p w14:paraId="7120815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47945D3B">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禁止在长江干支流、重要湖泊岸线一公里范围内新建、扩建化工园区和化工项目。</w:t>
                  </w:r>
                </w:p>
              </w:tc>
              <w:tc>
                <w:tcPr>
                  <w:tcW w:w="1287" w:type="pct"/>
                  <w:tcBorders>
                    <w:tl2br w:val="nil"/>
                    <w:tr2bl w:val="nil"/>
                  </w:tcBorders>
                  <w:noWrap w:val="0"/>
                  <w:vAlign w:val="center"/>
                </w:tcPr>
                <w:p w14:paraId="631A1C4E">
                  <w:pPr>
                    <w:keepNext w:val="0"/>
                    <w:keepLines w:val="0"/>
                    <w:pageBreakBefore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color w:val="auto"/>
                      <w:sz w:val="21"/>
                      <w:szCs w:val="21"/>
                    </w:rPr>
                    <w:t>项目</w:t>
                  </w:r>
                  <w:r>
                    <w:rPr>
                      <w:rFonts w:hint="eastAsia" w:eastAsia="宋体"/>
                      <w:color w:val="auto"/>
                      <w:sz w:val="21"/>
                      <w:szCs w:val="21"/>
                      <w:lang w:eastAsia="zh-CN"/>
                    </w:rPr>
                    <w:t>不在长江</w:t>
                  </w:r>
                  <w:r>
                    <w:rPr>
                      <w:rFonts w:hint="eastAsia" w:eastAsia="宋体"/>
                      <w:color w:val="auto"/>
                      <w:sz w:val="21"/>
                      <w:szCs w:val="21"/>
                      <w:lang w:val="en-US" w:eastAsia="zh-CN"/>
                    </w:rPr>
                    <w:t>1公里</w:t>
                  </w:r>
                  <w:r>
                    <w:rPr>
                      <w:color w:val="auto"/>
                      <w:sz w:val="21"/>
                      <w:szCs w:val="21"/>
                    </w:rPr>
                    <w:t>内，</w:t>
                  </w:r>
                  <w:r>
                    <w:rPr>
                      <w:rFonts w:hint="eastAsia" w:eastAsia="宋体"/>
                      <w:color w:val="auto"/>
                      <w:sz w:val="21"/>
                      <w:szCs w:val="21"/>
                      <w:lang w:eastAsia="zh-CN"/>
                    </w:rPr>
                    <w:t>且</w:t>
                  </w:r>
                  <w:r>
                    <w:rPr>
                      <w:rFonts w:hint="default" w:ascii="Times New Roman" w:hAnsi="Times New Roman" w:eastAsia="宋体" w:cs="Times New Roman"/>
                      <w:color w:val="auto"/>
                      <w:sz w:val="21"/>
                      <w:szCs w:val="21"/>
                      <w:highlight w:val="none"/>
                      <w:lang w:val="en-US" w:eastAsia="zh-CN"/>
                    </w:rPr>
                    <w:t>不属于化工项目</w:t>
                  </w:r>
                </w:p>
              </w:tc>
              <w:tc>
                <w:tcPr>
                  <w:tcW w:w="492" w:type="pct"/>
                  <w:tcBorders>
                    <w:tl2br w:val="nil"/>
                    <w:tr2bl w:val="nil"/>
                  </w:tcBorders>
                  <w:noWrap w:val="0"/>
                  <w:vAlign w:val="center"/>
                </w:tcPr>
                <w:p w14:paraId="06DF9FA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431E7D4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47" w:type="pct"/>
                  <w:vMerge w:val="continue"/>
                  <w:tcBorders>
                    <w:tl2br w:val="nil"/>
                    <w:tr2bl w:val="nil"/>
                  </w:tcBorders>
                  <w:noWrap w:val="0"/>
                  <w:vAlign w:val="center"/>
                </w:tcPr>
                <w:p w14:paraId="38DBED6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632AD8FA">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禁止在长江干流岸线三公里范围内和重要支流岸线一公里范围内新建、改建、扩建尾矿库、冶炼渣库和磷石膏库，以提升安全、生态环境保护水平为目的的改建除外。</w:t>
                  </w:r>
                </w:p>
              </w:tc>
              <w:tc>
                <w:tcPr>
                  <w:tcW w:w="1287" w:type="pct"/>
                  <w:tcBorders>
                    <w:tl2br w:val="nil"/>
                    <w:tr2bl w:val="nil"/>
                  </w:tcBorders>
                  <w:noWrap w:val="0"/>
                  <w:vAlign w:val="center"/>
                </w:tcPr>
                <w:p w14:paraId="4AA90461">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项目</w:t>
                  </w:r>
                  <w:r>
                    <w:rPr>
                      <w:rFonts w:ascii="Times New Roman" w:hAnsi="Times New Roman" w:cs="Times New Roman"/>
                      <w:color w:val="auto"/>
                      <w:sz w:val="21"/>
                      <w:szCs w:val="21"/>
                    </w:rPr>
                    <w:t>不位于</w:t>
                  </w:r>
                  <w:r>
                    <w:rPr>
                      <w:rFonts w:ascii="Times New Roman" w:hAnsi="Times New Roman" w:cs="Times New Roman"/>
                      <w:color w:val="auto"/>
                      <w:spacing w:val="16"/>
                      <w:sz w:val="21"/>
                      <w:szCs w:val="21"/>
                    </w:rPr>
                    <w:t>长江干流岸线三公里范围内和重要支流</w:t>
                  </w:r>
                  <w:r>
                    <w:rPr>
                      <w:rFonts w:ascii="Times New Roman" w:hAnsi="Times New Roman" w:cs="Times New Roman"/>
                      <w:color w:val="auto"/>
                      <w:spacing w:val="-4"/>
                      <w:sz w:val="21"/>
                      <w:szCs w:val="21"/>
                    </w:rPr>
                    <w:t>岸线一公里范围内</w:t>
                  </w:r>
                  <w:r>
                    <w:rPr>
                      <w:rFonts w:hint="eastAsia" w:ascii="Times New Roman" w:hAnsi="Times New Roman" w:eastAsia="宋体" w:cs="Times New Roman"/>
                      <w:color w:val="auto"/>
                      <w:spacing w:val="-4"/>
                      <w:sz w:val="21"/>
                      <w:szCs w:val="21"/>
                      <w:lang w:eastAsia="zh-CN"/>
                    </w:rPr>
                    <w:t>，</w:t>
                  </w:r>
                  <w:r>
                    <w:rPr>
                      <w:rFonts w:hint="eastAsia" w:ascii="宋体" w:hAnsi="宋体" w:eastAsia="宋体" w:cs="宋体"/>
                      <w:color w:val="auto"/>
                      <w:kern w:val="0"/>
                      <w:sz w:val="21"/>
                      <w:szCs w:val="21"/>
                      <w:lang w:val="en-US" w:eastAsia="zh-CN"/>
                    </w:rPr>
                    <w:t>不属于新建、改建、扩建尾矿库、冶炼渣库和磷石膏库项目</w:t>
                  </w:r>
                </w:p>
              </w:tc>
              <w:tc>
                <w:tcPr>
                  <w:tcW w:w="492" w:type="pct"/>
                  <w:tcBorders>
                    <w:tl2br w:val="nil"/>
                    <w:tr2bl w:val="nil"/>
                  </w:tcBorders>
                  <w:noWrap w:val="0"/>
                  <w:vAlign w:val="center"/>
                </w:tcPr>
                <w:p w14:paraId="3E6CA1A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符合</w:t>
                  </w:r>
                </w:p>
              </w:tc>
            </w:tr>
            <w:tr w14:paraId="6790C1A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247" w:type="pct"/>
                  <w:vMerge w:val="continue"/>
                  <w:tcBorders>
                    <w:tl2br w:val="nil"/>
                    <w:tr2bl w:val="nil"/>
                  </w:tcBorders>
                  <w:noWrap w:val="0"/>
                  <w:vAlign w:val="center"/>
                </w:tcPr>
                <w:p w14:paraId="15167B9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2505EA0D">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SA"/>
                    </w:rPr>
                    <w:t>禁止在合规园区外新建、扩建钢铁、石化、化工、焦化、建材、有色、制浆造纸等高污染项目。</w:t>
                  </w:r>
                </w:p>
              </w:tc>
              <w:tc>
                <w:tcPr>
                  <w:tcW w:w="1287" w:type="pct"/>
                  <w:tcBorders>
                    <w:tl2br w:val="nil"/>
                    <w:tr2bl w:val="nil"/>
                  </w:tcBorders>
                  <w:noWrap w:val="0"/>
                  <w:vAlign w:val="center"/>
                </w:tcPr>
                <w:p w14:paraId="159BE8AC">
                  <w:pPr>
                    <w:keepNext w:val="0"/>
                    <w:keepLines w:val="0"/>
                    <w:pageBreakBefore w:val="0"/>
                    <w:widowControl/>
                    <w:suppressLineNumbers w:val="0"/>
                    <w:kinsoku/>
                    <w:wordWrap/>
                    <w:overflowPunct/>
                    <w:topLinePunct w:val="0"/>
                    <w:bidi w:val="0"/>
                    <w:adjustRightInd/>
                    <w:snapToGrid/>
                    <w:spacing w:line="240" w:lineRule="auto"/>
                    <w:ind w:firstLine="0" w:firstLineChars="0"/>
                    <w:jc w:val="left"/>
                    <w:textAlignment w:val="auto"/>
                    <w:rPr>
                      <w:rFonts w:hint="eastAsia" w:ascii="宋体" w:hAnsi="宋体" w:eastAsia="宋体" w:cs="宋体"/>
                      <w:color w:val="auto"/>
                      <w:kern w:val="0"/>
                      <w:sz w:val="21"/>
                      <w:szCs w:val="21"/>
                    </w:rPr>
                  </w:pPr>
                  <w:r>
                    <w:rPr>
                      <w:color w:val="auto"/>
                      <w:sz w:val="21"/>
                      <w:szCs w:val="21"/>
                    </w:rPr>
                    <w:t>项目不属于高污染项目</w:t>
                  </w:r>
                </w:p>
              </w:tc>
              <w:tc>
                <w:tcPr>
                  <w:tcW w:w="492" w:type="pct"/>
                  <w:tcBorders>
                    <w:tl2br w:val="nil"/>
                    <w:tr2bl w:val="nil"/>
                  </w:tcBorders>
                  <w:noWrap w:val="0"/>
                  <w:vAlign w:val="center"/>
                </w:tcPr>
                <w:p w14:paraId="1240131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50BE984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47" w:type="pct"/>
                  <w:vMerge w:val="restart"/>
                  <w:tcBorders>
                    <w:tl2br w:val="nil"/>
                    <w:tr2bl w:val="nil"/>
                  </w:tcBorders>
                  <w:noWrap w:val="0"/>
                  <w:vAlign w:val="center"/>
                </w:tcPr>
                <w:p w14:paraId="4A50279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严格行业准入</w:t>
                  </w:r>
                </w:p>
              </w:tc>
              <w:tc>
                <w:tcPr>
                  <w:tcW w:w="2972" w:type="pct"/>
                  <w:tcBorders>
                    <w:tl2br w:val="nil"/>
                    <w:tr2bl w:val="nil"/>
                  </w:tcBorders>
                  <w:noWrap w:val="0"/>
                  <w:vAlign w:val="center"/>
                </w:tcPr>
                <w:p w14:paraId="101F7A45">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SA"/>
                    </w:rPr>
                    <w:t>禁止新建、扩建不符合国家石化、现代煤化工等产业布局规划的项目。</w:t>
                  </w:r>
                </w:p>
              </w:tc>
              <w:tc>
                <w:tcPr>
                  <w:tcW w:w="1287" w:type="pct"/>
                  <w:tcBorders>
                    <w:tl2br w:val="nil"/>
                    <w:tr2bl w:val="nil"/>
                  </w:tcBorders>
                  <w:noWrap w:val="0"/>
                  <w:vAlign w:val="center"/>
                </w:tcPr>
                <w:p w14:paraId="38F1F74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不属于此类项目</w:t>
                  </w:r>
                </w:p>
              </w:tc>
              <w:tc>
                <w:tcPr>
                  <w:tcW w:w="492" w:type="pct"/>
                  <w:tcBorders>
                    <w:tl2br w:val="nil"/>
                    <w:tr2bl w:val="nil"/>
                  </w:tcBorders>
                  <w:noWrap w:val="0"/>
                  <w:vAlign w:val="center"/>
                </w:tcPr>
                <w:p w14:paraId="1B5F107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7C84B89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247" w:type="pct"/>
                  <w:vMerge w:val="continue"/>
                  <w:tcBorders>
                    <w:tl2br w:val="nil"/>
                    <w:tr2bl w:val="nil"/>
                  </w:tcBorders>
                  <w:noWrap w:val="0"/>
                  <w:vAlign w:val="center"/>
                </w:tcPr>
                <w:p w14:paraId="12267EB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29E63448">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SA"/>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287" w:type="pct"/>
                  <w:tcBorders>
                    <w:tl2br w:val="nil"/>
                    <w:tr2bl w:val="nil"/>
                  </w:tcBorders>
                  <w:noWrap w:val="0"/>
                  <w:vAlign w:val="center"/>
                </w:tcPr>
                <w:p w14:paraId="4FCE148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ascii="Times New Roman" w:hAnsi="Times New Roman" w:cs="Times New Roman"/>
                      <w:color w:val="auto"/>
                      <w:sz w:val="21"/>
                      <w:szCs w:val="21"/>
                    </w:rPr>
                    <w:t>本项目为</w:t>
                  </w:r>
                  <w:r>
                    <w:rPr>
                      <w:rFonts w:ascii="Times New Roman" w:hAnsi="Times New Roman" w:cs="Times New Roman"/>
                      <w:color w:val="auto"/>
                      <w:spacing w:val="2"/>
                      <w:sz w:val="21"/>
                      <w:szCs w:val="21"/>
                    </w:rPr>
                    <w:t>《产业结构调整指导目录》</w:t>
                  </w:r>
                  <w:r>
                    <w:rPr>
                      <w:rFonts w:ascii="Times New Roman" w:hAnsi="Times New Roman" w:cs="Times New Roman"/>
                      <w:color w:val="auto"/>
                      <w:sz w:val="21"/>
                      <w:szCs w:val="21"/>
                    </w:rPr>
                    <w:t>中</w:t>
                  </w:r>
                  <w:r>
                    <w:rPr>
                      <w:rFonts w:hint="eastAsia" w:eastAsia="宋体" w:cs="Times New Roman"/>
                      <w:color w:val="auto"/>
                      <w:sz w:val="21"/>
                      <w:szCs w:val="21"/>
                      <w:lang w:val="en-US" w:eastAsia="zh-CN"/>
                    </w:rPr>
                    <w:t>鼓励</w:t>
                  </w:r>
                  <w:r>
                    <w:rPr>
                      <w:rFonts w:ascii="Times New Roman" w:hAnsi="Times New Roman" w:cs="Times New Roman"/>
                      <w:color w:val="auto"/>
                      <w:sz w:val="21"/>
                      <w:szCs w:val="21"/>
                    </w:rPr>
                    <w:t>类项目，不属于淘汰类和限制类产业</w:t>
                  </w:r>
                </w:p>
              </w:tc>
              <w:tc>
                <w:tcPr>
                  <w:tcW w:w="492" w:type="pct"/>
                  <w:tcBorders>
                    <w:tl2br w:val="nil"/>
                    <w:tr2bl w:val="nil"/>
                  </w:tcBorders>
                  <w:noWrap w:val="0"/>
                  <w:vAlign w:val="center"/>
                </w:tcPr>
                <w:p w14:paraId="2D234FC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6D60D24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47" w:type="pct"/>
                  <w:vMerge w:val="continue"/>
                  <w:tcBorders>
                    <w:tl2br w:val="nil"/>
                    <w:tr2bl w:val="nil"/>
                  </w:tcBorders>
                  <w:noWrap w:val="0"/>
                  <w:vAlign w:val="center"/>
                </w:tcPr>
                <w:p w14:paraId="743FDA7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7B0FFC6E">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SA"/>
                    </w:rPr>
                    <w:t>禁止新建、扩建不符合国家产能置换要求的钢铁、电解铝、水泥熟料、平板玻璃、船舶等严重过剩产能行业的项目。严格执行《国务院关于化解产能严重过剩矛盾的指导意见》，各地各部门不得以任何名义、任何方式新增产能片；对确有必要建设的，必须严格执行产能置换实施办法，实施减量或等量置换，依法依规办理有关手续。</w:t>
                  </w:r>
                </w:p>
              </w:tc>
              <w:tc>
                <w:tcPr>
                  <w:tcW w:w="1287" w:type="pct"/>
                  <w:tcBorders>
                    <w:tl2br w:val="nil"/>
                    <w:tr2bl w:val="nil"/>
                  </w:tcBorders>
                  <w:noWrap w:val="0"/>
                  <w:vAlign w:val="center"/>
                </w:tcPr>
                <w:p w14:paraId="166D383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eastAsia="zh-CN"/>
                    </w:rPr>
                  </w:pPr>
                  <w:r>
                    <w:rPr>
                      <w:rFonts w:hint="eastAsia" w:ascii="Times New Roman" w:hAnsi="Times New Roman" w:eastAsia="宋体" w:cs="Times New Roman"/>
                      <w:b w:val="0"/>
                      <w:bCs w:val="0"/>
                      <w:color w:val="auto"/>
                      <w:sz w:val="21"/>
                      <w:szCs w:val="21"/>
                      <w:highlight w:val="none"/>
                      <w:lang w:val="en-US" w:eastAsia="zh-CN"/>
                    </w:rPr>
                    <w:t>项目</w:t>
                  </w:r>
                  <w:r>
                    <w:rPr>
                      <w:rFonts w:hint="default" w:ascii="Times New Roman" w:hAnsi="Times New Roman" w:eastAsia="宋体" w:cs="Times New Roman"/>
                      <w:b w:val="0"/>
                      <w:bCs w:val="0"/>
                      <w:color w:val="auto"/>
                      <w:sz w:val="21"/>
                      <w:szCs w:val="21"/>
                      <w:highlight w:val="none"/>
                      <w:lang w:val="en-US" w:eastAsia="zh-CN"/>
                    </w:rPr>
                    <w:t>不属于钢铁、电解铝水泥熟料、平板玻璃等严重过剩产能项目</w:t>
                  </w:r>
                </w:p>
              </w:tc>
              <w:tc>
                <w:tcPr>
                  <w:tcW w:w="492" w:type="pct"/>
                  <w:tcBorders>
                    <w:tl2br w:val="nil"/>
                    <w:tr2bl w:val="nil"/>
                  </w:tcBorders>
                  <w:noWrap w:val="0"/>
                  <w:vAlign w:val="center"/>
                </w:tcPr>
                <w:p w14:paraId="7522B37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5AD93DC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47" w:type="pct"/>
                  <w:vMerge w:val="continue"/>
                  <w:tcBorders>
                    <w:tl2br w:val="nil"/>
                    <w:tr2bl w:val="nil"/>
                  </w:tcBorders>
                  <w:noWrap w:val="0"/>
                  <w:vAlign w:val="center"/>
                </w:tcPr>
                <w:p w14:paraId="268C309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p>
              </w:tc>
              <w:tc>
                <w:tcPr>
                  <w:tcW w:w="2972" w:type="pct"/>
                  <w:tcBorders>
                    <w:tl2br w:val="nil"/>
                    <w:tr2bl w:val="nil"/>
                  </w:tcBorders>
                  <w:noWrap w:val="0"/>
                  <w:vAlign w:val="center"/>
                </w:tcPr>
                <w:p w14:paraId="05ACF483">
                  <w:pPr>
                    <w:keepNext w:val="0"/>
                    <w:keepLines w:val="0"/>
                    <w:pageBreakBefore w:val="0"/>
                    <w:widowControl/>
                    <w:kinsoku/>
                    <w:wordWrap/>
                    <w:overflowPunct/>
                    <w:topLinePunct w:val="0"/>
                    <w:autoSpaceDE/>
                    <w:autoSpaceDN/>
                    <w:bidi w:val="0"/>
                    <w:adjustRightInd/>
                    <w:snapToGrid/>
                    <w:spacing w:before="0" w:after="0" w:line="240" w:lineRule="auto"/>
                    <w:ind w:right="0" w:rightChars="0"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SA"/>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287" w:type="pct"/>
                  <w:tcBorders>
                    <w:tl2br w:val="nil"/>
                    <w:tr2bl w:val="nil"/>
                  </w:tcBorders>
                  <w:noWrap w:val="0"/>
                  <w:vAlign w:val="center"/>
                </w:tcPr>
                <w:p w14:paraId="6C1D0C1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 xml:space="preserve">项目不属于“两高”项目 </w:t>
                  </w:r>
                </w:p>
              </w:tc>
              <w:tc>
                <w:tcPr>
                  <w:tcW w:w="492" w:type="pct"/>
                  <w:tcBorders>
                    <w:tl2br w:val="nil"/>
                    <w:tr2bl w:val="nil"/>
                  </w:tcBorders>
                  <w:noWrap w:val="0"/>
                  <w:vAlign w:val="center"/>
                </w:tcPr>
                <w:p w14:paraId="72286DD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bl>
          <w:p w14:paraId="1FD9CB4E">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rightChars="0" w:firstLine="480" w:firstLineChars="200"/>
              <w:jc w:val="left"/>
              <w:textAlignment w:val="auto"/>
              <w:rPr>
                <w:rFonts w:hint="eastAsia" w:ascii="Times New Roman" w:hAnsi="Times New Roman" w:eastAsia="宋体" w:cs="宋体"/>
                <w:b/>
                <w:bCs/>
                <w:color w:val="auto"/>
                <w:kern w:val="0"/>
                <w:sz w:val="24"/>
                <w:szCs w:val="24"/>
                <w:lang w:val="en-US" w:eastAsia="zh-CN"/>
              </w:rPr>
            </w:pPr>
            <w:r>
              <w:rPr>
                <w:rFonts w:hint="eastAsia" w:ascii="宋体" w:hAnsi="宋体" w:eastAsia="宋体" w:cs="宋体"/>
                <w:color w:val="auto"/>
                <w:sz w:val="24"/>
                <w:szCs w:val="24"/>
              </w:rPr>
              <w:t>综上，项目不属于江西省长江经济带发展负面清单实施细则负面清单内项目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项目不在环境准入负面清单内，符合园区规划</w:t>
            </w:r>
            <w:r>
              <w:rPr>
                <w:rFonts w:ascii="宋体" w:hAnsi="宋体" w:eastAsia="宋体" w:cs="宋体"/>
                <w:color w:val="auto"/>
                <w:sz w:val="24"/>
                <w:szCs w:val="24"/>
              </w:rPr>
              <w:t>。</w:t>
            </w:r>
          </w:p>
          <w:p w14:paraId="78D1F6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
                <w:bCs w:val="0"/>
                <w:color w:val="auto"/>
                <w:sz w:val="24"/>
                <w:szCs w:val="24"/>
                <w:lang w:val="en-US" w:eastAsia="zh-CN"/>
              </w:rPr>
              <w:t>4、</w:t>
            </w:r>
            <w:r>
              <w:rPr>
                <w:rFonts w:hint="eastAsia" w:asciiTheme="minorEastAsia" w:hAnsiTheme="minorEastAsia" w:eastAsiaTheme="minorEastAsia" w:cstheme="minorEastAsia"/>
                <w:b/>
                <w:bCs w:val="0"/>
                <w:color w:val="auto"/>
                <w:sz w:val="24"/>
                <w:szCs w:val="24"/>
              </w:rPr>
              <w:t>项目与九江市生态环境分区管控</w:t>
            </w:r>
            <w:r>
              <w:rPr>
                <w:rFonts w:hint="eastAsia" w:asciiTheme="minorEastAsia" w:hAnsiTheme="minorEastAsia" w:eastAsiaTheme="minorEastAsia" w:cstheme="minorEastAsia"/>
                <w:b/>
                <w:bCs w:val="0"/>
                <w:color w:val="auto"/>
                <w:sz w:val="24"/>
                <w:szCs w:val="24"/>
                <w:lang w:eastAsia="zh-CN"/>
              </w:rPr>
              <w:t>动态更新</w:t>
            </w:r>
            <w:r>
              <w:rPr>
                <w:rFonts w:hint="eastAsia" w:asciiTheme="minorEastAsia" w:hAnsiTheme="minorEastAsia" w:eastAsiaTheme="minorEastAsia" w:cstheme="minorEastAsia"/>
                <w:b/>
                <w:bCs w:val="0"/>
                <w:color w:val="auto"/>
                <w:sz w:val="24"/>
                <w:szCs w:val="24"/>
              </w:rPr>
              <w:t>成果</w:t>
            </w:r>
            <w:r>
              <w:rPr>
                <w:rFonts w:hint="eastAsia" w:asciiTheme="minorEastAsia" w:hAnsiTheme="minorEastAsia" w:eastAsiaTheme="minorEastAsia" w:cstheme="minorEastAsia"/>
                <w:b/>
                <w:bCs w:val="0"/>
                <w:color w:val="auto"/>
                <w:sz w:val="24"/>
                <w:szCs w:val="24"/>
                <w:lang w:val="en-US" w:eastAsia="zh-CN"/>
              </w:rPr>
              <w:t>（九府办字[2024]54 号）</w:t>
            </w:r>
            <w:r>
              <w:rPr>
                <w:rFonts w:hint="eastAsia" w:asciiTheme="minorEastAsia" w:hAnsiTheme="minorEastAsia" w:eastAsiaTheme="minorEastAsia" w:cstheme="minorEastAsia"/>
                <w:b/>
                <w:bCs w:val="0"/>
                <w:color w:val="auto"/>
                <w:sz w:val="24"/>
                <w:szCs w:val="24"/>
              </w:rPr>
              <w:t>相符性分析</w:t>
            </w:r>
          </w:p>
          <w:p w14:paraId="4AE02EAE">
            <w:pPr>
              <w:pStyle w:val="37"/>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 xml:space="preserve">根据《九江市人民政府办公室关于印发2023年九江市生态环境分区管控动态更新成果的通知》（九府办字[2024]54号），以县（市、区）为单位，动态更新后，九江市共划定环境管控单元141个，其中优先保护单元、重点管控单元、一般管控单元分别30个、83和和28个。 </w:t>
            </w:r>
          </w:p>
          <w:p w14:paraId="72E38AE4">
            <w:pPr>
              <w:pStyle w:val="37"/>
              <w:keepNext w:val="0"/>
              <w:keepLines w:val="0"/>
              <w:pageBreakBefore w:val="0"/>
              <w:widowControl/>
              <w:kinsoku/>
              <w:wordWrap/>
              <w:overflowPunct/>
              <w:topLinePunct w:val="0"/>
              <w:autoSpaceDE/>
              <w:autoSpaceDN/>
              <w:bidi w:val="0"/>
              <w:adjustRightInd/>
              <w:snapToGrid/>
              <w:spacing w:beforeAutospacing="0" w:afterAutospacing="0" w:line="360" w:lineRule="auto"/>
              <w:ind w:right="0" w:rightChars="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 xml:space="preserve">从面积分布看优先保护单元、重点管控单元、一般管控单元面积分别为 8091.07、4154.65 和 6831.41 平方公里，分别占全市国土面积的42.41%、21.78%、35.81%。 </w:t>
            </w:r>
          </w:p>
          <w:p w14:paraId="51D027CA">
            <w:pPr>
              <w:pStyle w:val="37"/>
              <w:keepNext w:val="0"/>
              <w:keepLines w:val="0"/>
              <w:pageBreakBefore w:val="0"/>
              <w:widowControl/>
              <w:kinsoku/>
              <w:wordWrap w:val="0"/>
              <w:overflowPunct/>
              <w:topLinePunct w:val="0"/>
              <w:autoSpaceDE/>
              <w:autoSpaceDN/>
              <w:bidi w:val="0"/>
              <w:adjustRightInd/>
              <w:snapToGrid/>
              <w:spacing w:beforeAutospacing="0" w:afterAutospacing="0" w:line="360" w:lineRule="auto"/>
              <w:ind w:left="0" w:leftChars="0" w:right="0" w:rightChars="0" w:firstLine="482"/>
              <w:textAlignment w:val="auto"/>
              <w:rPr>
                <w:rFonts w:hint="eastAsia" w:ascii="Times New Roman" w:hAnsi="Times New Roman" w:eastAsia="宋体" w:cs="Times New Roman"/>
                <w:color w:val="auto"/>
                <w:sz w:val="24"/>
                <w:szCs w:val="24"/>
              </w:rPr>
            </w:pPr>
            <w:r>
              <w:rPr>
                <w:rFonts w:hint="eastAsia" w:asciiTheme="minorEastAsia" w:hAnsiTheme="minorEastAsia" w:eastAsiaTheme="minorEastAsia" w:cstheme="minorEastAsia"/>
                <w:bCs/>
                <w:color w:val="auto"/>
                <w:sz w:val="24"/>
                <w:szCs w:val="24"/>
                <w:lang w:val="en-US" w:eastAsia="zh-CN"/>
              </w:rPr>
              <w:t>本项目位于江西永修云山经济开发区</w:t>
            </w:r>
            <w:r>
              <w:rPr>
                <w:rFonts w:hint="default" w:ascii="Times New Roman" w:hAnsi="Times New Roman" w:eastAsia="宋体" w:cs="Times New Roman"/>
                <w:i w:val="0"/>
                <w:iCs w:val="0"/>
                <w:color w:val="auto"/>
                <w:kern w:val="0"/>
                <w:sz w:val="24"/>
                <w:szCs w:val="24"/>
                <w:u w:val="none"/>
                <w:lang w:val="en-US" w:eastAsia="zh-CN" w:bidi="ar"/>
              </w:rPr>
              <w:t>星火园</w:t>
            </w:r>
            <w:r>
              <w:rPr>
                <w:rFonts w:hint="eastAsia" w:asciiTheme="minorEastAsia" w:hAnsiTheme="minorEastAsia" w:eastAsiaTheme="minorEastAsia" w:cstheme="minorEastAsia"/>
                <w:bCs/>
                <w:color w:val="auto"/>
                <w:sz w:val="24"/>
                <w:szCs w:val="24"/>
                <w:lang w:val="en-US" w:eastAsia="zh-CN"/>
              </w:rPr>
              <w:t>区，本项目选址位于江西省九江市永修县重点管控单元8（环境管控单元编码为ZH36042520008），该单元为江西永修云山经济开发区</w:t>
            </w:r>
            <w:r>
              <w:rPr>
                <w:rFonts w:hint="default" w:ascii="Times New Roman" w:hAnsi="Times New Roman" w:eastAsia="宋体" w:cs="Times New Roman"/>
                <w:i w:val="0"/>
                <w:iCs w:val="0"/>
                <w:color w:val="auto"/>
                <w:kern w:val="0"/>
                <w:sz w:val="24"/>
                <w:szCs w:val="24"/>
                <w:u w:val="none"/>
                <w:lang w:val="en-US" w:eastAsia="zh-CN" w:bidi="ar"/>
              </w:rPr>
              <w:t>星火园</w:t>
            </w:r>
            <w:r>
              <w:rPr>
                <w:rFonts w:hint="eastAsia" w:asciiTheme="minorEastAsia" w:hAnsiTheme="minorEastAsia" w:eastAsiaTheme="minorEastAsia" w:cstheme="minorEastAsia"/>
                <w:bCs/>
                <w:color w:val="auto"/>
                <w:sz w:val="24"/>
                <w:szCs w:val="24"/>
                <w:lang w:val="en-US" w:eastAsia="zh-CN"/>
              </w:rPr>
              <w:t>区。重点管控单元应优化空间和产业布局，结合生态环境质量达标情况以及经济社会发展水平等，按照差别化的生态环境准入要求，加强污染物排放控制和环境风险防控，不断提升资源利用效率，稳步改善生态环境质量。重点管控单元应遵循长江经济带高质量发展战略，进一步优化空间和产业布局，结合生态环境质量达标情况以及经济社会发展水平等，按照差别化的生态环境准入要求，加强污染物排放控制和环境风险防控，不断提升资源利用效率，稳步改善生态环境质量</w:t>
            </w:r>
            <w:r>
              <w:rPr>
                <w:rFonts w:hint="eastAsia" w:ascii="Times New Roman" w:hAnsi="Times New Roman" w:eastAsia="宋体" w:cs="Times New Roman"/>
                <w:color w:val="auto"/>
                <w:sz w:val="24"/>
                <w:szCs w:val="24"/>
              </w:rPr>
              <w:t>。</w:t>
            </w:r>
          </w:p>
          <w:p w14:paraId="11484378">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本项目与“九江生态环境分区管控方案成果（2023 版）”分析内容见表1-5；本项目与“九江市单元生态环境准入清单表（2023 版）”相符性分析详见表 1-6。</w:t>
            </w:r>
          </w:p>
          <w:p w14:paraId="6578EC7F">
            <w:pPr>
              <w:pStyle w:val="2"/>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Times New Roman" w:hAnsi="Times New Roman" w:eastAsia="宋体" w:cs="宋体"/>
                <w:b/>
                <w:bCs/>
                <w:color w:val="auto"/>
                <w:kern w:val="0"/>
                <w:sz w:val="21"/>
                <w:szCs w:val="21"/>
                <w:lang w:val="en-US" w:eastAsia="zh-CN"/>
              </w:rPr>
              <w:t>表1-</w:t>
            </w:r>
            <w:r>
              <w:rPr>
                <w:rFonts w:hint="eastAsia" w:cs="宋体"/>
                <w:b/>
                <w:bCs/>
                <w:color w:val="auto"/>
                <w:kern w:val="0"/>
                <w:sz w:val="21"/>
                <w:szCs w:val="21"/>
                <w:lang w:val="en-US" w:eastAsia="zh-CN"/>
              </w:rPr>
              <w:t>5</w:t>
            </w:r>
            <w:r>
              <w:rPr>
                <w:rFonts w:hint="eastAsia" w:ascii="Times New Roman" w:cs="宋体"/>
                <w:b/>
                <w:bCs/>
                <w:color w:val="auto"/>
                <w:kern w:val="0"/>
                <w:sz w:val="21"/>
                <w:szCs w:val="21"/>
                <w:lang w:val="en-US" w:eastAsia="zh-CN"/>
              </w:rPr>
              <w:t xml:space="preserve">  </w:t>
            </w:r>
            <w:r>
              <w:rPr>
                <w:rFonts w:hint="eastAsia" w:ascii="宋体" w:hAnsi="宋体" w:eastAsia="宋体" w:cs="宋体"/>
                <w:b/>
                <w:bCs/>
                <w:color w:val="auto"/>
                <w:kern w:val="2"/>
                <w:sz w:val="21"/>
                <w:szCs w:val="21"/>
                <w:highlight w:val="none"/>
                <w:lang w:val="en-US" w:eastAsia="zh-CN" w:bidi="ar-SA"/>
              </w:rPr>
              <w:t>项目与九江生态环境分区管控方案成果（2023 版）相符性分析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582"/>
              <w:gridCol w:w="3453"/>
              <w:gridCol w:w="1813"/>
              <w:gridCol w:w="743"/>
            </w:tblGrid>
            <w:tr w14:paraId="2A6A5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58" w:type="dxa"/>
                  <w:tcBorders>
                    <w:tl2br w:val="nil"/>
                    <w:tr2bl w:val="nil"/>
                  </w:tcBorders>
                  <w:vAlign w:val="center"/>
                </w:tcPr>
                <w:p w14:paraId="3248683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eastAsia="zh-CN"/>
                    </w:rPr>
                    <w:t>单元类别</w:t>
                  </w:r>
                </w:p>
              </w:tc>
              <w:tc>
                <w:tcPr>
                  <w:tcW w:w="564" w:type="dxa"/>
                  <w:tcBorders>
                    <w:tl2br w:val="nil"/>
                    <w:tr2bl w:val="nil"/>
                  </w:tcBorders>
                  <w:vAlign w:val="center"/>
                </w:tcPr>
                <w:p w14:paraId="708DFF46">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rPr>
                    <w:t>维度</w:t>
                  </w:r>
                </w:p>
              </w:tc>
              <w:tc>
                <w:tcPr>
                  <w:tcW w:w="3479" w:type="dxa"/>
                  <w:tcBorders>
                    <w:tl2br w:val="nil"/>
                    <w:tr2bl w:val="nil"/>
                  </w:tcBorders>
                  <w:vAlign w:val="center"/>
                </w:tcPr>
                <w:p w14:paraId="7D63C70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rPr>
                    <w:t>生态环境准入要求</w:t>
                  </w:r>
                </w:p>
              </w:tc>
              <w:tc>
                <w:tcPr>
                  <w:tcW w:w="1814" w:type="dxa"/>
                  <w:tcBorders>
                    <w:tl2br w:val="nil"/>
                    <w:tr2bl w:val="nil"/>
                  </w:tcBorders>
                  <w:vAlign w:val="center"/>
                </w:tcPr>
                <w:p w14:paraId="021485B7">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rPr>
                    <w:t>符合性分析</w:t>
                  </w:r>
                </w:p>
              </w:tc>
              <w:tc>
                <w:tcPr>
                  <w:tcW w:w="728" w:type="dxa"/>
                  <w:tcBorders>
                    <w:tl2br w:val="nil"/>
                    <w:tr2bl w:val="nil"/>
                  </w:tcBorders>
                  <w:vAlign w:val="center"/>
                </w:tcPr>
                <w:p w14:paraId="48A9A128">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eastAsia="zh-CN"/>
                    </w:rPr>
                    <w:t>符合性</w:t>
                  </w:r>
                </w:p>
              </w:tc>
            </w:tr>
            <w:tr w14:paraId="5B523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58" w:type="dxa"/>
                  <w:vMerge w:val="restart"/>
                  <w:tcBorders>
                    <w:tl2br w:val="nil"/>
                    <w:tr2bl w:val="nil"/>
                  </w:tcBorders>
                  <w:vAlign w:val="center"/>
                </w:tcPr>
                <w:p w14:paraId="242FC168">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重点管控单元</w:t>
                  </w:r>
                </w:p>
              </w:tc>
              <w:tc>
                <w:tcPr>
                  <w:tcW w:w="564" w:type="dxa"/>
                  <w:vMerge w:val="restart"/>
                  <w:tcBorders>
                    <w:tl2br w:val="nil"/>
                    <w:tr2bl w:val="nil"/>
                  </w:tcBorders>
                  <w:vAlign w:val="center"/>
                </w:tcPr>
                <w:p w14:paraId="49FA4FCA">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空间布局约束</w:t>
                  </w:r>
                </w:p>
              </w:tc>
              <w:tc>
                <w:tcPr>
                  <w:tcW w:w="3479" w:type="dxa"/>
                  <w:tcBorders>
                    <w:tl2br w:val="nil"/>
                    <w:tr2bl w:val="nil"/>
                  </w:tcBorders>
                  <w:vAlign w:val="center"/>
                </w:tcPr>
                <w:p w14:paraId="664AB97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pacing w:val="-2"/>
                      <w:sz w:val="21"/>
                      <w:szCs w:val="21"/>
                    </w:rPr>
                    <w:t>1.</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pacing w:val="-2"/>
                      <w:sz w:val="21"/>
                      <w:szCs w:val="21"/>
                    </w:rPr>
                    <w:t>强化燃煤锅炉废气精细管控，不再审批35蒸吨/小时以下燃煤锅炉，不再新增燃煤导热油炉，鼓励现有燃煤锅炉、导热油炉改为清洁能源。</w:t>
                  </w:r>
                </w:p>
              </w:tc>
              <w:tc>
                <w:tcPr>
                  <w:tcW w:w="1814" w:type="dxa"/>
                  <w:tcBorders>
                    <w:tl2br w:val="nil"/>
                    <w:tr2bl w:val="nil"/>
                  </w:tcBorders>
                  <w:vAlign w:val="center"/>
                </w:tcPr>
                <w:p w14:paraId="752B2302">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项目不使用燃煤锅炉</w:t>
                  </w:r>
                </w:p>
              </w:tc>
              <w:tc>
                <w:tcPr>
                  <w:tcW w:w="728" w:type="dxa"/>
                  <w:tcBorders>
                    <w:tl2br w:val="nil"/>
                    <w:tr2bl w:val="nil"/>
                  </w:tcBorders>
                  <w:vAlign w:val="center"/>
                </w:tcPr>
                <w:p w14:paraId="79EE2FFD">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53E2D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58" w:type="dxa"/>
                  <w:vMerge w:val="continue"/>
                  <w:tcBorders>
                    <w:tl2br w:val="nil"/>
                    <w:tr2bl w:val="nil"/>
                  </w:tcBorders>
                  <w:vAlign w:val="center"/>
                </w:tcPr>
                <w:p w14:paraId="2C412154">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75712680">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7BDA2EFC">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pacing w:val="-2"/>
                      <w:sz w:val="21"/>
                      <w:szCs w:val="21"/>
                    </w:rPr>
                    <w:t>2.禁止新、扩建不符合国家产业布局规划的石化、现代煤化工项目和不符合国家产能置换要求的产能过剩行业项目。禁止新建、扩建不符合要求的高耗能高排放项目。</w:t>
                  </w:r>
                </w:p>
              </w:tc>
              <w:tc>
                <w:tcPr>
                  <w:tcW w:w="1814" w:type="dxa"/>
                  <w:tcBorders>
                    <w:tl2br w:val="nil"/>
                    <w:tr2bl w:val="nil"/>
                  </w:tcBorders>
                  <w:vAlign w:val="center"/>
                </w:tcPr>
                <w:p w14:paraId="0F5F943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本项目不属于石化、现代煤化工项目，不属于落后和严重过剩产能行业项目。本项目不属于“两高”项目</w:t>
                  </w:r>
                </w:p>
              </w:tc>
              <w:tc>
                <w:tcPr>
                  <w:tcW w:w="728" w:type="dxa"/>
                  <w:tcBorders>
                    <w:tl2br w:val="nil"/>
                    <w:tr2bl w:val="nil"/>
                  </w:tcBorders>
                  <w:vAlign w:val="center"/>
                </w:tcPr>
                <w:p w14:paraId="1F4410AE">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3CA09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58" w:type="dxa"/>
                  <w:vMerge w:val="continue"/>
                  <w:tcBorders>
                    <w:tl2br w:val="nil"/>
                    <w:tr2bl w:val="nil"/>
                  </w:tcBorders>
                  <w:vAlign w:val="center"/>
                </w:tcPr>
                <w:p w14:paraId="61C369E0">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06A957C9">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1F0FD892">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pacing w:val="-2"/>
                      <w:sz w:val="21"/>
                      <w:szCs w:val="21"/>
                    </w:rPr>
                    <w:t>3.长江干流九江段、修河干流及鄱阳湖岸线1公里范围内禁止新建化工、造纸、印染、制革、冶炼等重污染项目。</w:t>
                  </w:r>
                </w:p>
              </w:tc>
              <w:tc>
                <w:tcPr>
                  <w:tcW w:w="1814" w:type="dxa"/>
                  <w:tcBorders>
                    <w:tl2br w:val="nil"/>
                    <w:tr2bl w:val="nil"/>
                  </w:tcBorders>
                  <w:vAlign w:val="center"/>
                </w:tcPr>
                <w:p w14:paraId="5E273056">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本项目</w:t>
                  </w:r>
                  <w:r>
                    <w:rPr>
                      <w:rFonts w:hint="eastAsia" w:ascii="宋体" w:hAnsi="宋体" w:eastAsia="宋体" w:cs="宋体"/>
                      <w:color w:val="auto"/>
                      <w:sz w:val="21"/>
                      <w:szCs w:val="21"/>
                      <w:lang w:eastAsia="zh-CN"/>
                    </w:rPr>
                    <w:t>不属于</w:t>
                  </w:r>
                  <w:r>
                    <w:rPr>
                      <w:rFonts w:hint="eastAsia" w:ascii="宋体" w:hAnsi="宋体" w:eastAsia="宋体" w:cs="宋体"/>
                      <w:color w:val="auto"/>
                      <w:sz w:val="21"/>
                      <w:szCs w:val="21"/>
                    </w:rPr>
                    <w:t>化工、造纸、印染、制革、冶炼等重污染项目</w:t>
                  </w:r>
                </w:p>
              </w:tc>
              <w:tc>
                <w:tcPr>
                  <w:tcW w:w="728" w:type="dxa"/>
                  <w:tcBorders>
                    <w:tl2br w:val="nil"/>
                    <w:tr2bl w:val="nil"/>
                  </w:tcBorders>
                  <w:vAlign w:val="center"/>
                </w:tcPr>
                <w:p w14:paraId="5016F0EC">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6255C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8" w:type="dxa"/>
                  <w:vMerge w:val="continue"/>
                  <w:tcBorders>
                    <w:tl2br w:val="nil"/>
                    <w:tr2bl w:val="nil"/>
                  </w:tcBorders>
                  <w:vAlign w:val="center"/>
                </w:tcPr>
                <w:p w14:paraId="2BE23772">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2105174E">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272974AF">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pacing w:val="-2"/>
                      <w:sz w:val="21"/>
                      <w:szCs w:val="21"/>
                    </w:rPr>
                    <w:t>4.禁止在长江干支流、重要湖泊岸线一公里范围内新建、扩建化工园区和化工项目。</w:t>
                  </w:r>
                </w:p>
              </w:tc>
              <w:tc>
                <w:tcPr>
                  <w:tcW w:w="1814" w:type="dxa"/>
                  <w:tcBorders>
                    <w:tl2br w:val="nil"/>
                    <w:tr2bl w:val="nil"/>
                  </w:tcBorders>
                  <w:vAlign w:val="center"/>
                </w:tcPr>
                <w:p w14:paraId="50289B8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本项目不属于化工项目</w:t>
                  </w:r>
                </w:p>
              </w:tc>
              <w:tc>
                <w:tcPr>
                  <w:tcW w:w="728" w:type="dxa"/>
                  <w:tcBorders>
                    <w:tl2br w:val="nil"/>
                    <w:tr2bl w:val="nil"/>
                  </w:tcBorders>
                  <w:vAlign w:val="center"/>
                </w:tcPr>
                <w:p w14:paraId="1E3C75B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7067E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58" w:type="dxa"/>
                  <w:vMerge w:val="continue"/>
                  <w:tcBorders>
                    <w:tl2br w:val="nil"/>
                    <w:tr2bl w:val="nil"/>
                  </w:tcBorders>
                  <w:vAlign w:val="center"/>
                </w:tcPr>
                <w:p w14:paraId="4AA7E15E">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616131CF">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783ACA8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pacing w:val="-2"/>
                      <w:sz w:val="21"/>
                      <w:szCs w:val="21"/>
                    </w:rPr>
                    <w:t>5.禁止在城市湖泊水域范围内建设除防洪、改善水生态环境、跨湖桥梁、湖底隧道之外的建筑物、构筑物。</w:t>
                  </w:r>
                </w:p>
              </w:tc>
              <w:tc>
                <w:tcPr>
                  <w:tcW w:w="1814" w:type="dxa"/>
                  <w:tcBorders>
                    <w:tl2br w:val="nil"/>
                    <w:tr2bl w:val="nil"/>
                  </w:tcBorders>
                  <w:vAlign w:val="center"/>
                </w:tcPr>
                <w:p w14:paraId="556DE116">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本项目不属于此类项目</w:t>
                  </w:r>
                </w:p>
              </w:tc>
              <w:tc>
                <w:tcPr>
                  <w:tcW w:w="728" w:type="dxa"/>
                  <w:tcBorders>
                    <w:tl2br w:val="nil"/>
                    <w:tr2bl w:val="nil"/>
                  </w:tcBorders>
                  <w:vAlign w:val="center"/>
                </w:tcPr>
                <w:p w14:paraId="3A88920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115F6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58" w:type="dxa"/>
                  <w:vMerge w:val="continue"/>
                  <w:tcBorders>
                    <w:tl2br w:val="nil"/>
                    <w:tr2bl w:val="nil"/>
                  </w:tcBorders>
                  <w:vAlign w:val="center"/>
                </w:tcPr>
                <w:p w14:paraId="52E518F7">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1F197274">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6DCD7A41">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pacing w:val="-2"/>
                      <w:sz w:val="21"/>
                      <w:szCs w:val="21"/>
                    </w:rPr>
                    <w:t>6.禁止在合规园区外新建、扩建钢铁、石化、化工、焦化、建材、有色、制浆造纸等高污染项目。</w:t>
                  </w:r>
                </w:p>
              </w:tc>
              <w:tc>
                <w:tcPr>
                  <w:tcW w:w="1814" w:type="dxa"/>
                  <w:tcBorders>
                    <w:tl2br w:val="nil"/>
                    <w:tr2bl w:val="nil"/>
                  </w:tcBorders>
                  <w:vAlign w:val="center"/>
                </w:tcPr>
                <w:p w14:paraId="6BD8D20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本项目不属于</w:t>
                  </w:r>
                  <w:r>
                    <w:rPr>
                      <w:rFonts w:hint="eastAsia" w:asciiTheme="minorEastAsia" w:hAnsiTheme="minorEastAsia" w:eastAsiaTheme="minorEastAsia" w:cstheme="minorEastAsia"/>
                      <w:color w:val="auto"/>
                      <w:spacing w:val="-2"/>
                      <w:sz w:val="21"/>
                      <w:szCs w:val="21"/>
                    </w:rPr>
                    <w:t>钢铁、石化、化工、焦化、建材、有色、制浆造纸等高污染项目</w:t>
                  </w:r>
                </w:p>
              </w:tc>
              <w:tc>
                <w:tcPr>
                  <w:tcW w:w="728" w:type="dxa"/>
                  <w:tcBorders>
                    <w:tl2br w:val="nil"/>
                    <w:tr2bl w:val="nil"/>
                  </w:tcBorders>
                  <w:vAlign w:val="center"/>
                </w:tcPr>
                <w:p w14:paraId="55CDBC0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5354E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8" w:type="dxa"/>
                  <w:vMerge w:val="continue"/>
                  <w:tcBorders>
                    <w:tl2br w:val="nil"/>
                    <w:tr2bl w:val="nil"/>
                  </w:tcBorders>
                  <w:vAlign w:val="center"/>
                </w:tcPr>
                <w:p w14:paraId="2CD91907">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1560DBE3">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1C06805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pacing w:val="-2"/>
                      <w:sz w:val="21"/>
                      <w:szCs w:val="21"/>
                    </w:rPr>
                    <w:t>7.</w:t>
                  </w:r>
                  <w:r>
                    <w:rPr>
                      <w:rFonts w:hint="eastAsia" w:asciiTheme="minorEastAsia" w:hAnsiTheme="minorEastAsia" w:eastAsiaTheme="minorEastAsia" w:cstheme="minorEastAsia"/>
                      <w:color w:val="auto"/>
                      <w:spacing w:val="-2"/>
                      <w:kern w:val="0"/>
                      <w:sz w:val="21"/>
                      <w:szCs w:val="21"/>
                    </w:rPr>
                    <w:t>对不符合产业政策要求、以及环境风险、安全隐患突出而又无法搬迁或转型企业，依法实施关停。</w:t>
                  </w:r>
                </w:p>
              </w:tc>
              <w:tc>
                <w:tcPr>
                  <w:tcW w:w="1814" w:type="dxa"/>
                  <w:tcBorders>
                    <w:tl2br w:val="nil"/>
                    <w:tr2bl w:val="nil"/>
                  </w:tcBorders>
                  <w:vAlign w:val="center"/>
                </w:tcPr>
                <w:p w14:paraId="0BC846F1">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Theme="minorEastAsia" w:hAnsiTheme="minorEastAsia" w:eastAsiaTheme="minorEastAsia" w:cstheme="minorEastAsia"/>
                      <w:color w:val="auto"/>
                      <w:spacing w:val="-2"/>
                      <w:kern w:val="0"/>
                      <w:sz w:val="21"/>
                      <w:szCs w:val="21"/>
                      <w:lang w:eastAsia="zh-CN"/>
                    </w:rPr>
                    <w:t>项目</w:t>
                  </w:r>
                  <w:r>
                    <w:rPr>
                      <w:rFonts w:hint="eastAsia" w:asciiTheme="minorEastAsia" w:hAnsiTheme="minorEastAsia" w:eastAsiaTheme="minorEastAsia" w:cstheme="minorEastAsia"/>
                      <w:color w:val="auto"/>
                      <w:spacing w:val="-2"/>
                      <w:kern w:val="0"/>
                      <w:sz w:val="21"/>
                      <w:szCs w:val="21"/>
                    </w:rPr>
                    <w:t>符合产业政策要求</w:t>
                  </w:r>
                </w:p>
              </w:tc>
              <w:tc>
                <w:tcPr>
                  <w:tcW w:w="728" w:type="dxa"/>
                  <w:tcBorders>
                    <w:tl2br w:val="nil"/>
                    <w:tr2bl w:val="nil"/>
                  </w:tcBorders>
                  <w:vAlign w:val="center"/>
                </w:tcPr>
                <w:p w14:paraId="47C22A5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6E05D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8" w:type="dxa"/>
                  <w:vMerge w:val="continue"/>
                  <w:tcBorders>
                    <w:tl2br w:val="nil"/>
                    <w:tr2bl w:val="nil"/>
                  </w:tcBorders>
                  <w:vAlign w:val="center"/>
                </w:tcPr>
                <w:p w14:paraId="4C955735">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2FCF75A7">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6A0BD27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Theme="minorEastAsia" w:hAnsiTheme="minorEastAsia" w:eastAsiaTheme="minorEastAsia" w:cstheme="minorEastAsia"/>
                      <w:color w:val="auto"/>
                      <w:spacing w:val="-2"/>
                      <w:sz w:val="21"/>
                      <w:szCs w:val="21"/>
                    </w:rPr>
                  </w:pPr>
                  <w:r>
                    <w:rPr>
                      <w:rFonts w:hint="eastAsia" w:asciiTheme="minorEastAsia" w:hAnsiTheme="minorEastAsia" w:eastAsiaTheme="minorEastAsia" w:cstheme="minorEastAsia"/>
                      <w:color w:val="auto"/>
                      <w:spacing w:val="-2"/>
                      <w:sz w:val="21"/>
                      <w:szCs w:val="21"/>
                    </w:rPr>
                    <w:t>8.</w:t>
                  </w:r>
                  <w:r>
                    <w:rPr>
                      <w:rFonts w:hint="eastAsia" w:asciiTheme="minorEastAsia" w:hAnsiTheme="minorEastAsia" w:eastAsiaTheme="minorEastAsia" w:cstheme="minorEastAsia"/>
                      <w:color w:val="auto"/>
                      <w:spacing w:val="-2"/>
                      <w:kern w:val="0"/>
                      <w:sz w:val="21"/>
                      <w:szCs w:val="21"/>
                    </w:rPr>
                    <w:t>城市建成区内的现有污染较重或严重影响环境的企业应有序搬迁改造或依法关闭。</w:t>
                  </w:r>
                </w:p>
              </w:tc>
              <w:tc>
                <w:tcPr>
                  <w:tcW w:w="1814" w:type="dxa"/>
                  <w:tcBorders>
                    <w:tl2br w:val="nil"/>
                    <w:tr2bl w:val="nil"/>
                  </w:tcBorders>
                  <w:vAlign w:val="center"/>
                </w:tcPr>
                <w:p w14:paraId="5F104A25">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项目不属于</w:t>
                  </w:r>
                  <w:r>
                    <w:rPr>
                      <w:rFonts w:hint="eastAsia" w:asciiTheme="minorEastAsia" w:hAnsiTheme="minorEastAsia" w:eastAsiaTheme="minorEastAsia" w:cstheme="minorEastAsia"/>
                      <w:color w:val="auto"/>
                      <w:spacing w:val="-2"/>
                      <w:kern w:val="0"/>
                      <w:sz w:val="21"/>
                      <w:szCs w:val="21"/>
                    </w:rPr>
                    <w:t>污染较重</w:t>
                  </w:r>
                  <w:r>
                    <w:rPr>
                      <w:rFonts w:hint="eastAsia" w:asciiTheme="minorEastAsia" w:hAnsiTheme="minorEastAsia" w:eastAsiaTheme="minorEastAsia" w:cstheme="minorEastAsia"/>
                      <w:color w:val="auto"/>
                      <w:spacing w:val="-2"/>
                      <w:kern w:val="0"/>
                      <w:sz w:val="21"/>
                      <w:szCs w:val="21"/>
                      <w:lang w:eastAsia="zh-CN"/>
                    </w:rPr>
                    <w:t>、</w:t>
                  </w:r>
                  <w:r>
                    <w:rPr>
                      <w:rFonts w:hint="eastAsia" w:asciiTheme="minorEastAsia" w:hAnsiTheme="minorEastAsia" w:eastAsiaTheme="minorEastAsia" w:cstheme="minorEastAsia"/>
                      <w:color w:val="auto"/>
                      <w:spacing w:val="-2"/>
                      <w:kern w:val="0"/>
                      <w:sz w:val="21"/>
                      <w:szCs w:val="21"/>
                    </w:rPr>
                    <w:t>严重影响环境的企业</w:t>
                  </w:r>
                </w:p>
              </w:tc>
              <w:tc>
                <w:tcPr>
                  <w:tcW w:w="728" w:type="dxa"/>
                  <w:tcBorders>
                    <w:tl2br w:val="nil"/>
                    <w:tr2bl w:val="nil"/>
                  </w:tcBorders>
                  <w:vAlign w:val="center"/>
                </w:tcPr>
                <w:p w14:paraId="4EEC503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0F21B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39641BBC">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restart"/>
                  <w:tcBorders>
                    <w:tl2br w:val="nil"/>
                    <w:tr2bl w:val="nil"/>
                  </w:tcBorders>
                  <w:vAlign w:val="center"/>
                </w:tcPr>
                <w:p w14:paraId="1553AD11">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1"/>
                      <w:szCs w:val="21"/>
                      <w:lang w:eastAsia="zh-CN"/>
                    </w:rPr>
                    <w:t>污染物排放管控</w:t>
                  </w:r>
                </w:p>
              </w:tc>
              <w:tc>
                <w:tcPr>
                  <w:tcW w:w="3479" w:type="dxa"/>
                  <w:tcBorders>
                    <w:tl2br w:val="nil"/>
                    <w:tr2bl w:val="nil"/>
                  </w:tcBorders>
                  <w:vAlign w:val="center"/>
                </w:tcPr>
                <w:p w14:paraId="3762258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9.</w:t>
                  </w:r>
                  <w:r>
                    <w:rPr>
                      <w:rFonts w:ascii="宋体" w:hAnsi="宋体"/>
                      <w:color w:val="auto"/>
                      <w:spacing w:val="-2"/>
                      <w:sz w:val="21"/>
                      <w:szCs w:val="21"/>
                    </w:rPr>
                    <w:t>“十四五”期间，</w:t>
                  </w:r>
                  <w:r>
                    <w:rPr>
                      <w:rFonts w:hint="eastAsia" w:ascii="宋体" w:hAnsi="宋体" w:cs="宋体"/>
                      <w:color w:val="auto"/>
                      <w:spacing w:val="-2"/>
                      <w:sz w:val="21"/>
                      <w:szCs w:val="21"/>
                    </w:rPr>
                    <w:t>全市氮氧化物、挥发性有机物、化学需氧量和氨氮等主要污染物减排量分别为4</w:t>
                  </w:r>
                  <w:r>
                    <w:rPr>
                      <w:rFonts w:ascii="宋体" w:hAnsi="宋体" w:cs="宋体"/>
                      <w:color w:val="auto"/>
                      <w:spacing w:val="-2"/>
                      <w:sz w:val="21"/>
                      <w:szCs w:val="21"/>
                    </w:rPr>
                    <w:t>098吨、2035吨、10031吨和</w:t>
                  </w:r>
                  <w:r>
                    <w:rPr>
                      <w:rFonts w:hint="eastAsia" w:ascii="宋体" w:hAnsi="宋体" w:cs="宋体"/>
                      <w:color w:val="auto"/>
                      <w:spacing w:val="-2"/>
                      <w:sz w:val="21"/>
                      <w:szCs w:val="21"/>
                    </w:rPr>
                    <w:t>6</w:t>
                  </w:r>
                  <w:r>
                    <w:rPr>
                      <w:rFonts w:ascii="宋体" w:hAnsi="宋体" w:cs="宋体"/>
                      <w:color w:val="auto"/>
                      <w:spacing w:val="-2"/>
                      <w:sz w:val="21"/>
                      <w:szCs w:val="21"/>
                    </w:rPr>
                    <w:t>58吨。</w:t>
                  </w:r>
                </w:p>
              </w:tc>
              <w:tc>
                <w:tcPr>
                  <w:tcW w:w="1814" w:type="dxa"/>
                  <w:tcBorders>
                    <w:tl2br w:val="nil"/>
                    <w:tr2bl w:val="nil"/>
                  </w:tcBorders>
                  <w:vAlign w:val="center"/>
                </w:tcPr>
                <w:p w14:paraId="69C2CEDF">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项目污染物排放量满足排放量控制指标要求</w:t>
                  </w:r>
                </w:p>
              </w:tc>
              <w:tc>
                <w:tcPr>
                  <w:tcW w:w="728" w:type="dxa"/>
                  <w:tcBorders>
                    <w:tl2br w:val="nil"/>
                    <w:tr2bl w:val="nil"/>
                  </w:tcBorders>
                  <w:vAlign w:val="center"/>
                </w:tcPr>
                <w:p w14:paraId="40CEB65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符合</w:t>
                  </w:r>
                </w:p>
              </w:tc>
            </w:tr>
            <w:tr w14:paraId="5CE4E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72300772">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72CBE68C">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762BF98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10</w:t>
                  </w:r>
                  <w:r>
                    <w:rPr>
                      <w:rFonts w:hint="eastAsia" w:ascii="宋体" w:hAnsi="宋体" w:cs="宋体"/>
                      <w:color w:val="auto"/>
                      <w:spacing w:val="-2"/>
                      <w:sz w:val="21"/>
                      <w:szCs w:val="21"/>
                    </w:rPr>
                    <w:t>.造纸、焦化、氮肥、有色金属、印染、农副食品加工、原料药制造、制革、农药、电镀等重点行业建设项目新建、改建、扩建实施主要水污染排放总量等量或减量置换。</w:t>
                  </w:r>
                </w:p>
              </w:tc>
              <w:tc>
                <w:tcPr>
                  <w:tcW w:w="1814" w:type="dxa"/>
                  <w:tcBorders>
                    <w:tl2br w:val="nil"/>
                    <w:tr2bl w:val="nil"/>
                  </w:tcBorders>
                  <w:vAlign w:val="center"/>
                </w:tcPr>
                <w:p w14:paraId="14BA7CD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项目不属于重点行业建设项目，本次技改新增生产废水外排至</w:t>
                  </w:r>
                  <w:r>
                    <w:rPr>
                      <w:rFonts w:hint="eastAsia" w:hAnsi="宋体" w:eastAsia="宋体" w:cs="宋体"/>
                      <w:b w:val="0"/>
                      <w:bCs w:val="0"/>
                      <w:color w:val="auto"/>
                      <w:sz w:val="21"/>
                      <w:szCs w:val="21"/>
                      <w:highlight w:val="none"/>
                      <w:lang w:val="en-US" w:eastAsia="zh-CN"/>
                    </w:rPr>
                    <w:t>星火工业园</w:t>
                  </w:r>
                  <w:r>
                    <w:rPr>
                      <w:rFonts w:hint="eastAsia" w:hAnsi="宋体" w:eastAsia="宋体" w:cs="宋体"/>
                      <w:b w:val="0"/>
                      <w:bCs w:val="0"/>
                      <w:color w:val="auto"/>
                      <w:sz w:val="21"/>
                      <w:szCs w:val="21"/>
                      <w:highlight w:val="none"/>
                      <w:lang w:eastAsia="zh-CN"/>
                    </w:rPr>
                    <w:t>园污水处理厂，</w:t>
                  </w:r>
                  <w:r>
                    <w:rPr>
                      <w:rFonts w:hint="eastAsia" w:hAnsi="宋体" w:eastAsia="宋体" w:cs="宋体"/>
                      <w:b w:val="0"/>
                      <w:bCs w:val="0"/>
                      <w:color w:val="auto"/>
                      <w:sz w:val="21"/>
                      <w:szCs w:val="21"/>
                      <w:highlight w:val="none"/>
                      <w:lang w:val="en-US" w:eastAsia="zh-CN"/>
                    </w:rPr>
                    <w:t>并按要求申请总量</w:t>
                  </w:r>
                </w:p>
              </w:tc>
              <w:tc>
                <w:tcPr>
                  <w:tcW w:w="728" w:type="dxa"/>
                  <w:tcBorders>
                    <w:tl2br w:val="nil"/>
                    <w:tr2bl w:val="nil"/>
                  </w:tcBorders>
                  <w:vAlign w:val="center"/>
                </w:tcPr>
                <w:p w14:paraId="60A1F30D">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20838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08FB43E0">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54469071">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4610AED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spacing w:val="-2"/>
                      <w:sz w:val="21"/>
                      <w:szCs w:val="21"/>
                    </w:rPr>
                    <w:t>1</w:t>
                  </w:r>
                  <w:r>
                    <w:rPr>
                      <w:rFonts w:ascii="宋体" w:hAnsi="宋体" w:cs="宋体"/>
                      <w:color w:val="auto"/>
                      <w:spacing w:val="-2"/>
                      <w:sz w:val="21"/>
                      <w:szCs w:val="21"/>
                    </w:rPr>
                    <w:t>1</w:t>
                  </w:r>
                  <w:r>
                    <w:rPr>
                      <w:rFonts w:hint="eastAsia" w:ascii="宋体" w:hAnsi="宋体" w:cs="宋体"/>
                      <w:color w:val="auto"/>
                      <w:spacing w:val="-2"/>
                      <w:sz w:val="21"/>
                      <w:szCs w:val="21"/>
                    </w:rPr>
                    <w:t>.到2</w:t>
                  </w:r>
                  <w:r>
                    <w:rPr>
                      <w:rFonts w:ascii="宋体" w:hAnsi="宋体" w:cs="宋体"/>
                      <w:color w:val="auto"/>
                      <w:spacing w:val="-2"/>
                      <w:sz w:val="21"/>
                      <w:szCs w:val="21"/>
                    </w:rPr>
                    <w:t>025年，</w:t>
                  </w:r>
                  <w:r>
                    <w:rPr>
                      <w:rFonts w:hint="eastAsia" w:ascii="宋体" w:hAnsi="宋体" w:cs="宋体"/>
                      <w:color w:val="auto"/>
                      <w:spacing w:val="-2"/>
                      <w:sz w:val="21"/>
                      <w:szCs w:val="21"/>
                    </w:rPr>
                    <w:t>单位生产总值二氧化碳排放确保完成省下达的指标。</w:t>
                  </w:r>
                </w:p>
              </w:tc>
              <w:tc>
                <w:tcPr>
                  <w:tcW w:w="1814" w:type="dxa"/>
                  <w:tcBorders>
                    <w:tl2br w:val="nil"/>
                    <w:tr2bl w:val="nil"/>
                  </w:tcBorders>
                  <w:vAlign w:val="center"/>
                </w:tcPr>
                <w:p w14:paraId="644F153D">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728" w:type="dxa"/>
                  <w:tcBorders>
                    <w:tl2br w:val="nil"/>
                    <w:tr2bl w:val="nil"/>
                  </w:tcBorders>
                  <w:vAlign w:val="center"/>
                </w:tcPr>
                <w:p w14:paraId="38A112F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r>
            <w:tr w14:paraId="26E8E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7F9EE6EC">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7656F3B4">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18A902F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12</w:t>
                  </w:r>
                  <w:r>
                    <w:rPr>
                      <w:rFonts w:hint="eastAsia" w:ascii="宋体" w:hAnsi="宋体" w:cs="宋体"/>
                      <w:color w:val="auto"/>
                      <w:spacing w:val="-2"/>
                      <w:sz w:val="21"/>
                      <w:szCs w:val="21"/>
                    </w:rPr>
                    <w:t>.推进重点重金属减排，加强重金属污染综合治理，推进重点行业企业废水总铊治理。</w:t>
                  </w:r>
                </w:p>
              </w:tc>
              <w:tc>
                <w:tcPr>
                  <w:tcW w:w="1814" w:type="dxa"/>
                  <w:tcBorders>
                    <w:tl2br w:val="nil"/>
                    <w:tr2bl w:val="nil"/>
                  </w:tcBorders>
                  <w:vAlign w:val="center"/>
                </w:tcPr>
                <w:p w14:paraId="06FD5591">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本项目不排放重金属</w:t>
                  </w:r>
                </w:p>
              </w:tc>
              <w:tc>
                <w:tcPr>
                  <w:tcW w:w="728" w:type="dxa"/>
                  <w:tcBorders>
                    <w:tl2br w:val="nil"/>
                    <w:tr2bl w:val="nil"/>
                  </w:tcBorders>
                  <w:vAlign w:val="center"/>
                </w:tcPr>
                <w:p w14:paraId="4F8C2951">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2A452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65135893">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2DE83DC0">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24C7DD1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13</w:t>
                  </w:r>
                  <w:r>
                    <w:rPr>
                      <w:rFonts w:hint="eastAsia" w:ascii="宋体" w:hAnsi="宋体" w:cs="宋体"/>
                      <w:color w:val="auto"/>
                      <w:spacing w:val="-2"/>
                      <w:sz w:val="21"/>
                      <w:szCs w:val="21"/>
                    </w:rPr>
                    <w:t>.持续提升工业园区污水收集处理水平，推进园区污水处理设施一级A提标改造。推进污泥减量化资源化无害化处置。</w:t>
                  </w:r>
                </w:p>
              </w:tc>
              <w:tc>
                <w:tcPr>
                  <w:tcW w:w="1814" w:type="dxa"/>
                  <w:tcBorders>
                    <w:tl2br w:val="nil"/>
                    <w:tr2bl w:val="nil"/>
                  </w:tcBorders>
                  <w:shd w:val="clear" w:color="auto" w:fill="auto"/>
                  <w:vAlign w:val="center"/>
                </w:tcPr>
                <w:p w14:paraId="7D246C48">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728" w:type="dxa"/>
                  <w:tcBorders>
                    <w:tl2br w:val="nil"/>
                    <w:tr2bl w:val="nil"/>
                  </w:tcBorders>
                  <w:shd w:val="clear" w:color="auto" w:fill="auto"/>
                  <w:vAlign w:val="center"/>
                </w:tcPr>
                <w:p w14:paraId="4BE090F7">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r>
            <w:tr w14:paraId="72160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7EC36C41">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6B4E15D6">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6E50924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spacing w:val="-2"/>
                      <w:sz w:val="21"/>
                      <w:szCs w:val="21"/>
                    </w:rPr>
                    <w:t>1</w:t>
                  </w:r>
                  <w:r>
                    <w:rPr>
                      <w:rFonts w:ascii="宋体" w:hAnsi="宋体" w:cs="宋体"/>
                      <w:color w:val="auto"/>
                      <w:spacing w:val="-2"/>
                      <w:sz w:val="21"/>
                      <w:szCs w:val="21"/>
                    </w:rPr>
                    <w:t>4.</w:t>
                  </w:r>
                  <w:r>
                    <w:rPr>
                      <w:rFonts w:hint="eastAsia" w:ascii="宋体" w:hAnsi="宋体" w:cs="宋体"/>
                      <w:color w:val="auto"/>
                      <w:spacing w:val="-2"/>
                      <w:sz w:val="21"/>
                      <w:szCs w:val="21"/>
                    </w:rPr>
                    <w:t>对长江干流及鄱阳湖区从严审批产生有毒有害污染物的新建和改扩建项目，新建、改建、扩建重点行业项目实行主要水污染物排放等量或减量置换，严控新增污染物排放量。</w:t>
                  </w:r>
                </w:p>
              </w:tc>
              <w:tc>
                <w:tcPr>
                  <w:tcW w:w="1814" w:type="dxa"/>
                  <w:tcBorders>
                    <w:tl2br w:val="nil"/>
                    <w:tr2bl w:val="nil"/>
                  </w:tcBorders>
                  <w:vAlign w:val="center"/>
                </w:tcPr>
                <w:p w14:paraId="30E49075">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default" w:ascii="宋体" w:hAnsi="宋体" w:eastAsia="宋体" w:cs="宋体"/>
                      <w:color w:val="auto"/>
                      <w:kern w:val="0"/>
                      <w:sz w:val="21"/>
                      <w:szCs w:val="21"/>
                      <w:lang w:val="en-US" w:eastAsia="zh-CN" w:bidi="ar-SA"/>
                    </w:rPr>
                  </w:pPr>
                  <w:r>
                    <w:rPr>
                      <w:rFonts w:hint="eastAsia" w:ascii="Times New Roman" w:hAnsi="Times New Roman" w:eastAsia="宋体"/>
                      <w:color w:val="auto"/>
                      <w:sz w:val="21"/>
                      <w:szCs w:val="21"/>
                      <w:highlight w:val="none"/>
                      <w:lang w:val="en-US" w:eastAsia="zh-CN"/>
                    </w:rPr>
                    <w:t>不位于</w:t>
                  </w:r>
                  <w:r>
                    <w:rPr>
                      <w:rFonts w:hint="eastAsia" w:ascii="宋体" w:hAnsi="宋体" w:cs="宋体"/>
                      <w:color w:val="auto"/>
                      <w:spacing w:val="-2"/>
                      <w:sz w:val="21"/>
                      <w:szCs w:val="21"/>
                    </w:rPr>
                    <w:t>长江干流及鄱阳湖区</w:t>
                  </w:r>
                  <w:r>
                    <w:rPr>
                      <w:rFonts w:hint="eastAsia" w:ascii="Times New Roman" w:hAnsi="Times New Roman" w:eastAsia="宋体"/>
                      <w:color w:val="auto"/>
                      <w:sz w:val="21"/>
                      <w:szCs w:val="21"/>
                      <w:highlight w:val="none"/>
                      <w:lang w:eastAsia="zh-CN"/>
                    </w:rPr>
                    <w:t>，本项目不涉及有毒有害污染物</w:t>
                  </w:r>
                  <w:r>
                    <w:rPr>
                      <w:rFonts w:hint="eastAsia" w:ascii="Times New Roman" w:hAnsi="Times New Roman" w:eastAsia="宋体"/>
                      <w:color w:val="auto"/>
                      <w:sz w:val="21"/>
                      <w:szCs w:val="21"/>
                      <w:highlight w:val="none"/>
                      <w:lang w:val="en-US" w:eastAsia="zh-CN"/>
                    </w:rPr>
                    <w:t>排放</w:t>
                  </w:r>
                </w:p>
              </w:tc>
              <w:tc>
                <w:tcPr>
                  <w:tcW w:w="728" w:type="dxa"/>
                  <w:tcBorders>
                    <w:tl2br w:val="nil"/>
                    <w:tr2bl w:val="nil"/>
                  </w:tcBorders>
                  <w:vAlign w:val="center"/>
                </w:tcPr>
                <w:p w14:paraId="5633D806">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51998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0D970296">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198EA6B7">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7B8A05B5">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spacing w:val="-2"/>
                      <w:sz w:val="21"/>
                      <w:szCs w:val="21"/>
                    </w:rPr>
                    <w:t>1</w:t>
                  </w:r>
                  <w:r>
                    <w:rPr>
                      <w:rFonts w:ascii="宋体" w:hAnsi="宋体" w:cs="宋体"/>
                      <w:color w:val="auto"/>
                      <w:spacing w:val="-2"/>
                      <w:sz w:val="21"/>
                      <w:szCs w:val="21"/>
                    </w:rPr>
                    <w:t>5.</w:t>
                  </w:r>
                  <w:r>
                    <w:rPr>
                      <w:rFonts w:hint="eastAsia" w:ascii="宋体" w:hAnsi="宋体" w:cs="宋体"/>
                      <w:color w:val="auto"/>
                      <w:spacing w:val="-2"/>
                      <w:sz w:val="21"/>
                      <w:szCs w:val="21"/>
                    </w:rPr>
                    <w:t>大力推进挥发性有机物和氮氧化物源头协同减排，加强消耗臭氧层物质和氢氟碳化物环境管理，推进企业升级改造和区域环境综合整治。实施溶剂型工业涂料等清洁原料替代。</w:t>
                  </w:r>
                </w:p>
              </w:tc>
              <w:tc>
                <w:tcPr>
                  <w:tcW w:w="1814" w:type="dxa"/>
                  <w:tcBorders>
                    <w:tl2br w:val="nil"/>
                    <w:tr2bl w:val="nil"/>
                  </w:tcBorders>
                  <w:vAlign w:val="center"/>
                </w:tcPr>
                <w:p w14:paraId="521B58A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本项目</w:t>
                  </w:r>
                  <w:r>
                    <w:rPr>
                      <w:rFonts w:hint="eastAsia"/>
                      <w:color w:val="auto"/>
                      <w:szCs w:val="21"/>
                    </w:rPr>
                    <w:t>原料</w:t>
                  </w:r>
                  <w:r>
                    <w:rPr>
                      <w:rFonts w:hint="eastAsia" w:eastAsia="宋体"/>
                      <w:color w:val="auto"/>
                      <w:szCs w:val="21"/>
                      <w:lang w:val="en-US" w:eastAsia="zh-CN"/>
                    </w:rPr>
                    <w:t>为</w:t>
                  </w:r>
                  <w:r>
                    <w:rPr>
                      <w:rFonts w:hint="eastAsia"/>
                      <w:color w:val="auto"/>
                      <w:szCs w:val="21"/>
                    </w:rPr>
                    <w:t>废</w:t>
                  </w:r>
                  <w:r>
                    <w:rPr>
                      <w:color w:val="auto"/>
                      <w:szCs w:val="21"/>
                    </w:rPr>
                    <w:t>PP</w:t>
                  </w:r>
                  <w:r>
                    <w:rPr>
                      <w:rFonts w:hint="eastAsia"/>
                      <w:color w:val="auto"/>
                      <w:szCs w:val="21"/>
                    </w:rPr>
                    <w:t>、</w:t>
                  </w:r>
                  <w:r>
                    <w:rPr>
                      <w:color w:val="auto"/>
                      <w:szCs w:val="21"/>
                    </w:rPr>
                    <w:t>PE</w:t>
                  </w:r>
                  <w:r>
                    <w:rPr>
                      <w:rFonts w:hint="eastAsia" w:eastAsia="宋体"/>
                      <w:color w:val="auto"/>
                      <w:szCs w:val="21"/>
                      <w:lang w:eastAsia="zh-CN"/>
                    </w:rPr>
                    <w:t>、</w:t>
                  </w:r>
                  <w:r>
                    <w:rPr>
                      <w:rFonts w:hint="eastAsia" w:eastAsia="宋体"/>
                      <w:color w:val="auto"/>
                      <w:szCs w:val="21"/>
                      <w:lang w:val="en-US" w:eastAsia="zh-CN"/>
                    </w:rPr>
                    <w:t>ABS</w:t>
                  </w:r>
                  <w:r>
                    <w:rPr>
                      <w:rFonts w:hint="eastAsia"/>
                      <w:color w:val="auto"/>
                      <w:szCs w:val="21"/>
                    </w:rPr>
                    <w:t>塑料，不</w:t>
                  </w:r>
                  <w:r>
                    <w:rPr>
                      <w:rFonts w:hint="eastAsia" w:eastAsia="宋体"/>
                      <w:color w:val="auto"/>
                      <w:szCs w:val="21"/>
                      <w:lang w:val="en-US" w:eastAsia="zh-CN"/>
                    </w:rPr>
                    <w:t>使用</w:t>
                  </w:r>
                  <w:r>
                    <w:rPr>
                      <w:rFonts w:hint="eastAsia" w:ascii="宋体" w:hAnsi="宋体" w:cs="宋体"/>
                      <w:color w:val="auto"/>
                      <w:spacing w:val="-2"/>
                      <w:sz w:val="21"/>
                      <w:szCs w:val="21"/>
                    </w:rPr>
                    <w:t>溶剂型工业涂料</w:t>
                  </w:r>
                  <w:r>
                    <w:rPr>
                      <w:rFonts w:hint="eastAsia" w:eastAsia="宋体"/>
                      <w:color w:val="auto"/>
                      <w:szCs w:val="21"/>
                      <w:lang w:eastAsia="zh-CN"/>
                    </w:rPr>
                    <w:t>，</w:t>
                  </w:r>
                  <w:r>
                    <w:rPr>
                      <w:rFonts w:hint="eastAsia" w:eastAsia="宋体"/>
                      <w:color w:val="auto"/>
                      <w:szCs w:val="21"/>
                      <w:lang w:val="en-US" w:eastAsia="zh-CN"/>
                    </w:rPr>
                    <w:t>项目</w:t>
                  </w:r>
                  <w:r>
                    <w:rPr>
                      <w:rFonts w:hint="eastAsia" w:ascii="宋体" w:hAnsi="宋体" w:eastAsia="宋体" w:cs="宋体"/>
                      <w:color w:val="auto"/>
                      <w:kern w:val="0"/>
                      <w:sz w:val="21"/>
                      <w:szCs w:val="21"/>
                      <w:lang w:val="en-US" w:eastAsia="zh-CN" w:bidi="ar-SA"/>
                    </w:rPr>
                    <w:t>废气经处理设施处理后均能达标排放，并按要求申请总量</w:t>
                  </w:r>
                </w:p>
              </w:tc>
              <w:tc>
                <w:tcPr>
                  <w:tcW w:w="728" w:type="dxa"/>
                  <w:tcBorders>
                    <w:tl2br w:val="nil"/>
                    <w:tr2bl w:val="nil"/>
                  </w:tcBorders>
                  <w:vAlign w:val="center"/>
                </w:tcPr>
                <w:p w14:paraId="1D55FE6F">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0FD9A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152167BB">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restart"/>
                  <w:tcBorders>
                    <w:tl2br w:val="nil"/>
                    <w:tr2bl w:val="nil"/>
                  </w:tcBorders>
                  <w:vAlign w:val="center"/>
                </w:tcPr>
                <w:p w14:paraId="375D4E18">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0"/>
                      <w:sz w:val="21"/>
                      <w:szCs w:val="21"/>
                      <w:lang w:eastAsia="zh-CN"/>
                    </w:rPr>
                    <w:t>环境风险防控</w:t>
                  </w:r>
                </w:p>
              </w:tc>
              <w:tc>
                <w:tcPr>
                  <w:tcW w:w="3479" w:type="dxa"/>
                  <w:tcBorders>
                    <w:tl2br w:val="nil"/>
                    <w:tr2bl w:val="nil"/>
                  </w:tcBorders>
                  <w:vAlign w:val="center"/>
                </w:tcPr>
                <w:p w14:paraId="4FFF1CC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16.继续加强九江与南昌、九江与黄冈区域大气污染联防联控机制。</w:t>
                  </w:r>
                </w:p>
              </w:tc>
              <w:tc>
                <w:tcPr>
                  <w:tcW w:w="1814" w:type="dxa"/>
                  <w:tcBorders>
                    <w:tl2br w:val="nil"/>
                    <w:tr2bl w:val="nil"/>
                  </w:tcBorders>
                  <w:shd w:val="clear" w:color="auto" w:fill="auto"/>
                  <w:vAlign w:val="center"/>
                </w:tcPr>
                <w:p w14:paraId="5C44557E">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728" w:type="dxa"/>
                  <w:tcBorders>
                    <w:tl2br w:val="nil"/>
                    <w:tr2bl w:val="nil"/>
                  </w:tcBorders>
                  <w:shd w:val="clear" w:color="auto" w:fill="auto"/>
                  <w:vAlign w:val="center"/>
                </w:tcPr>
                <w:p w14:paraId="254F78F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w:t>
                  </w:r>
                </w:p>
              </w:tc>
            </w:tr>
            <w:tr w14:paraId="0755D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21606E43">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663960AF">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15031D2B">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17.</w:t>
                  </w:r>
                  <w:r>
                    <w:rPr>
                      <w:rFonts w:hint="eastAsia" w:ascii="宋体" w:hAnsi="宋体" w:cs="宋体"/>
                      <w:color w:val="auto"/>
                      <w:spacing w:val="-2"/>
                      <w:sz w:val="21"/>
                      <w:szCs w:val="21"/>
                    </w:rPr>
                    <w:t>加强区域污染天气监测预警体系建设，完善细颗粒物和臭氧污染天气预警应急启动、响应和解除机制。</w:t>
                  </w:r>
                </w:p>
              </w:tc>
              <w:tc>
                <w:tcPr>
                  <w:tcW w:w="1814" w:type="dxa"/>
                  <w:tcBorders>
                    <w:tl2br w:val="nil"/>
                    <w:tr2bl w:val="nil"/>
                  </w:tcBorders>
                  <w:shd w:val="clear" w:color="auto" w:fill="auto"/>
                  <w:vAlign w:val="center"/>
                </w:tcPr>
                <w:p w14:paraId="6ABB9BA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728" w:type="dxa"/>
                  <w:tcBorders>
                    <w:tl2br w:val="nil"/>
                    <w:tr2bl w:val="nil"/>
                  </w:tcBorders>
                  <w:shd w:val="clear" w:color="auto" w:fill="auto"/>
                  <w:vAlign w:val="center"/>
                </w:tcPr>
                <w:p w14:paraId="6896F9F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w:t>
                  </w:r>
                </w:p>
              </w:tc>
            </w:tr>
            <w:tr w14:paraId="453C0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78AAD33D">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43758669">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0299D75E">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spacing w:val="-2"/>
                      <w:sz w:val="21"/>
                      <w:szCs w:val="21"/>
                    </w:rPr>
                    <w:t>1</w:t>
                  </w:r>
                  <w:r>
                    <w:rPr>
                      <w:rFonts w:ascii="宋体" w:hAnsi="宋体" w:cs="宋体"/>
                      <w:color w:val="auto"/>
                      <w:spacing w:val="-2"/>
                      <w:sz w:val="21"/>
                      <w:szCs w:val="21"/>
                    </w:rPr>
                    <w:t>8.在居民集中区、医院和学校附近、重要水源涵养生态功能区等环境风险防控重点区域，禁止新建或扩建易引发环境风险的项目。</w:t>
                  </w:r>
                </w:p>
              </w:tc>
              <w:tc>
                <w:tcPr>
                  <w:tcW w:w="1814" w:type="dxa"/>
                  <w:tcBorders>
                    <w:tl2br w:val="nil"/>
                    <w:tr2bl w:val="nil"/>
                  </w:tcBorders>
                  <w:vAlign w:val="center"/>
                </w:tcPr>
                <w:p w14:paraId="2F0C68D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本项目防护距离范围内无居民集中区、医院、学校及重要水源涵养生态功能区</w:t>
                  </w:r>
                </w:p>
              </w:tc>
              <w:tc>
                <w:tcPr>
                  <w:tcW w:w="728" w:type="dxa"/>
                  <w:tcBorders>
                    <w:tl2br w:val="nil"/>
                    <w:tr2bl w:val="nil"/>
                  </w:tcBorders>
                  <w:vAlign w:val="center"/>
                </w:tcPr>
                <w:p w14:paraId="54E35A3E">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符合</w:t>
                  </w:r>
                </w:p>
              </w:tc>
            </w:tr>
            <w:tr w14:paraId="41ECE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45734B10">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14BD7ED8">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7327490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spacing w:val="-2"/>
                      <w:sz w:val="21"/>
                      <w:szCs w:val="21"/>
                    </w:rPr>
                    <w:t>1</w:t>
                  </w:r>
                  <w:r>
                    <w:rPr>
                      <w:rFonts w:ascii="宋体" w:hAnsi="宋体" w:cs="宋体"/>
                      <w:color w:val="auto"/>
                      <w:spacing w:val="-2"/>
                      <w:sz w:val="21"/>
                      <w:szCs w:val="21"/>
                    </w:rPr>
                    <w:t>9.</w:t>
                  </w:r>
                  <w:r>
                    <w:rPr>
                      <w:rFonts w:hint="eastAsia" w:ascii="宋体" w:hAnsi="宋体" w:cs="宋体"/>
                      <w:color w:val="auto"/>
                      <w:spacing w:val="-2"/>
                      <w:sz w:val="21"/>
                      <w:szCs w:val="21"/>
                    </w:rPr>
                    <w:t>定期开展涉磷行业生态环境安全隐患排查，强化湖区环境安全风险防控，提升鄱阳湖滨湖地区联防联控突发水污染事件能力。</w:t>
                  </w:r>
                </w:p>
              </w:tc>
              <w:tc>
                <w:tcPr>
                  <w:tcW w:w="1814" w:type="dxa"/>
                  <w:tcBorders>
                    <w:tl2br w:val="nil"/>
                    <w:tr2bl w:val="nil"/>
                  </w:tcBorders>
                  <w:shd w:val="clear" w:color="auto" w:fill="auto"/>
                  <w:vAlign w:val="center"/>
                </w:tcPr>
                <w:p w14:paraId="167AC3A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728" w:type="dxa"/>
                  <w:tcBorders>
                    <w:tl2br w:val="nil"/>
                    <w:tr2bl w:val="nil"/>
                  </w:tcBorders>
                  <w:shd w:val="clear" w:color="auto" w:fill="auto"/>
                  <w:vAlign w:val="center"/>
                </w:tcPr>
                <w:p w14:paraId="0F118C0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w:t>
                  </w:r>
                </w:p>
              </w:tc>
            </w:tr>
            <w:tr w14:paraId="0CBAA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53059231">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360FA6A2">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2B8100D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20.</w:t>
                  </w:r>
                  <w:r>
                    <w:rPr>
                      <w:rFonts w:hint="eastAsia" w:ascii="宋体" w:hAnsi="宋体" w:cs="宋体"/>
                      <w:color w:val="auto"/>
                      <w:spacing w:val="-2"/>
                      <w:sz w:val="21"/>
                      <w:szCs w:val="21"/>
                    </w:rPr>
                    <w:t>禁止在长江干流岸线三公里范围内和重要支流岸线一公里范围内新建、改建、扩建尾矿库、冶炼渣库和磷石膏库，以提升安全、生态环境保护水平为目的的改建除外。</w:t>
                  </w:r>
                </w:p>
              </w:tc>
              <w:tc>
                <w:tcPr>
                  <w:tcW w:w="1814" w:type="dxa"/>
                  <w:tcBorders>
                    <w:tl2br w:val="nil"/>
                    <w:tr2bl w:val="nil"/>
                  </w:tcBorders>
                  <w:vAlign w:val="center"/>
                </w:tcPr>
                <w:p w14:paraId="2A9A94A9">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本项目不属于尾矿库、冶炼渣库和磷石膏库等项目</w:t>
                  </w:r>
                </w:p>
              </w:tc>
              <w:tc>
                <w:tcPr>
                  <w:tcW w:w="728" w:type="dxa"/>
                  <w:tcBorders>
                    <w:tl2br w:val="nil"/>
                    <w:tr2bl w:val="nil"/>
                  </w:tcBorders>
                  <w:vAlign w:val="center"/>
                </w:tcPr>
                <w:p w14:paraId="14227D0D">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1E851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680AD89A">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restart"/>
                  <w:tcBorders>
                    <w:tl2br w:val="nil"/>
                    <w:tr2bl w:val="nil"/>
                  </w:tcBorders>
                  <w:vAlign w:val="center"/>
                </w:tcPr>
                <w:p w14:paraId="0B4AA745">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0"/>
                      <w:sz w:val="21"/>
                      <w:szCs w:val="21"/>
                      <w:lang w:eastAsia="zh-CN"/>
                    </w:rPr>
                    <w:t>资源利用效率要求</w:t>
                  </w:r>
                </w:p>
              </w:tc>
              <w:tc>
                <w:tcPr>
                  <w:tcW w:w="3479" w:type="dxa"/>
                  <w:tcBorders>
                    <w:tl2br w:val="nil"/>
                    <w:tr2bl w:val="nil"/>
                  </w:tcBorders>
                  <w:vAlign w:val="center"/>
                </w:tcPr>
                <w:p w14:paraId="594F761C">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21.</w:t>
                  </w:r>
                  <w:r>
                    <w:rPr>
                      <w:rFonts w:hint="eastAsia"/>
                      <w:color w:val="auto"/>
                      <w:sz w:val="21"/>
                      <w:szCs w:val="21"/>
                    </w:rPr>
                    <w:t xml:space="preserve"> </w:t>
                  </w:r>
                  <w:r>
                    <w:rPr>
                      <w:rFonts w:hint="eastAsia" w:ascii="宋体" w:hAnsi="宋体" w:cs="宋体"/>
                      <w:color w:val="auto"/>
                      <w:spacing w:val="-2"/>
                      <w:sz w:val="21"/>
                      <w:szCs w:val="21"/>
                    </w:rPr>
                    <w:t>2025年九江市用水总量指标为23.41亿立方米，万元国内生产总值用水量比2020年下降17%，万元工业增加值用水量比2020年下降16%；“十四五”时期，规模以上万元工业单位增加值用水量下降18%。</w:t>
                  </w:r>
                </w:p>
              </w:tc>
              <w:tc>
                <w:tcPr>
                  <w:tcW w:w="1814" w:type="dxa"/>
                  <w:tcBorders>
                    <w:tl2br w:val="nil"/>
                    <w:tr2bl w:val="nil"/>
                  </w:tcBorders>
                  <w:vAlign w:val="center"/>
                </w:tcPr>
                <w:p w14:paraId="5AAAC0A0">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728" w:type="dxa"/>
                  <w:tcBorders>
                    <w:tl2br w:val="nil"/>
                    <w:tr2bl w:val="nil"/>
                  </w:tcBorders>
                  <w:vAlign w:val="center"/>
                </w:tcPr>
                <w:p w14:paraId="2D6BC7E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w:t>
                  </w:r>
                </w:p>
              </w:tc>
            </w:tr>
            <w:tr w14:paraId="6BBE8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7EA84989">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037C59BD">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217B85A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22.</w:t>
                  </w:r>
                  <w:r>
                    <w:rPr>
                      <w:rFonts w:hint="eastAsia" w:ascii="宋体" w:hAnsi="宋体" w:cs="宋体"/>
                      <w:color w:val="auto"/>
                      <w:spacing w:val="-2"/>
                      <w:sz w:val="21"/>
                      <w:szCs w:val="21"/>
                    </w:rPr>
                    <w:t>在城市公共供水管网供水规模能满足用水需要的地区，不得新增开采地下水，原有的自备水井应当限期封闭，经依法批准开采的矿泉水、地热水除外。</w:t>
                  </w:r>
                </w:p>
              </w:tc>
              <w:tc>
                <w:tcPr>
                  <w:tcW w:w="1814" w:type="dxa"/>
                  <w:tcBorders>
                    <w:tl2br w:val="nil"/>
                    <w:tr2bl w:val="nil"/>
                  </w:tcBorders>
                  <w:vAlign w:val="center"/>
                </w:tcPr>
                <w:p w14:paraId="23E09D34">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项目不开采地下水</w:t>
                  </w:r>
                </w:p>
              </w:tc>
              <w:tc>
                <w:tcPr>
                  <w:tcW w:w="728" w:type="dxa"/>
                  <w:tcBorders>
                    <w:tl2br w:val="nil"/>
                    <w:tr2bl w:val="nil"/>
                  </w:tcBorders>
                  <w:vAlign w:val="center"/>
                </w:tcPr>
                <w:p w14:paraId="044B6022">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r w14:paraId="23B02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4921EF79">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597B6D2B">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18A21215">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olor w:val="auto"/>
                      <w:spacing w:val="-2"/>
                      <w:sz w:val="21"/>
                      <w:szCs w:val="21"/>
                    </w:rPr>
                    <w:t>23.到</w:t>
                  </w:r>
                  <w:r>
                    <w:rPr>
                      <w:rFonts w:hint="eastAsia" w:ascii="宋体" w:hAnsi="宋体"/>
                      <w:color w:val="auto"/>
                      <w:spacing w:val="-2"/>
                      <w:sz w:val="21"/>
                      <w:szCs w:val="21"/>
                    </w:rPr>
                    <w:t>2</w:t>
                  </w:r>
                  <w:r>
                    <w:rPr>
                      <w:rFonts w:ascii="宋体" w:hAnsi="宋体"/>
                      <w:color w:val="auto"/>
                      <w:spacing w:val="-2"/>
                      <w:sz w:val="21"/>
                      <w:szCs w:val="21"/>
                    </w:rPr>
                    <w:t>025年，全市单位生产总值能耗消耗比</w:t>
                  </w:r>
                  <w:r>
                    <w:rPr>
                      <w:rFonts w:hint="eastAsia" w:ascii="宋体" w:hAnsi="宋体"/>
                      <w:color w:val="auto"/>
                      <w:spacing w:val="-2"/>
                      <w:sz w:val="21"/>
                      <w:szCs w:val="21"/>
                    </w:rPr>
                    <w:t>2</w:t>
                  </w:r>
                  <w:r>
                    <w:rPr>
                      <w:rFonts w:ascii="宋体" w:hAnsi="宋体"/>
                      <w:color w:val="auto"/>
                      <w:spacing w:val="-2"/>
                      <w:sz w:val="21"/>
                      <w:szCs w:val="21"/>
                    </w:rPr>
                    <w:t>020年下降</w:t>
                  </w:r>
                  <w:r>
                    <w:rPr>
                      <w:rFonts w:hint="eastAsia" w:ascii="宋体" w:hAnsi="宋体"/>
                      <w:color w:val="auto"/>
                      <w:spacing w:val="-2"/>
                      <w:sz w:val="21"/>
                      <w:szCs w:val="21"/>
                    </w:rPr>
                    <w:t>1</w:t>
                  </w:r>
                  <w:r>
                    <w:rPr>
                      <w:rFonts w:ascii="宋体" w:hAnsi="宋体"/>
                      <w:color w:val="auto"/>
                      <w:spacing w:val="-2"/>
                      <w:sz w:val="21"/>
                      <w:szCs w:val="21"/>
                    </w:rPr>
                    <w:t>5%。</w:t>
                  </w:r>
                </w:p>
              </w:tc>
              <w:tc>
                <w:tcPr>
                  <w:tcW w:w="1814" w:type="dxa"/>
                  <w:tcBorders>
                    <w:tl2br w:val="nil"/>
                    <w:tr2bl w:val="nil"/>
                  </w:tcBorders>
                  <w:vAlign w:val="center"/>
                </w:tcPr>
                <w:p w14:paraId="0DB85D03">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p>
              </w:tc>
              <w:tc>
                <w:tcPr>
                  <w:tcW w:w="728" w:type="dxa"/>
                  <w:tcBorders>
                    <w:tl2br w:val="nil"/>
                    <w:tr2bl w:val="nil"/>
                  </w:tcBorders>
                  <w:vAlign w:val="center"/>
                </w:tcPr>
                <w:p w14:paraId="3ABB4EC8">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w:t>
                  </w:r>
                </w:p>
              </w:tc>
            </w:tr>
            <w:tr w14:paraId="4CD6E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Merge w:val="continue"/>
                  <w:tcBorders>
                    <w:tl2br w:val="nil"/>
                    <w:tr2bl w:val="nil"/>
                  </w:tcBorders>
                  <w:vAlign w:val="center"/>
                </w:tcPr>
                <w:p w14:paraId="06423A90">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564" w:type="dxa"/>
                  <w:vMerge w:val="continue"/>
                  <w:tcBorders>
                    <w:tl2br w:val="nil"/>
                    <w:tr2bl w:val="nil"/>
                  </w:tcBorders>
                  <w:vAlign w:val="center"/>
                </w:tcPr>
                <w:p w14:paraId="2A0D8B8D">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eastAsia" w:ascii="宋体" w:hAnsi="宋体" w:eastAsia="宋体" w:cs="宋体"/>
                      <w:color w:val="auto"/>
                      <w:sz w:val="21"/>
                      <w:szCs w:val="21"/>
                      <w:vertAlign w:val="baseline"/>
                      <w:lang w:val="en-US" w:eastAsia="zh-CN"/>
                    </w:rPr>
                  </w:pPr>
                </w:p>
              </w:tc>
              <w:tc>
                <w:tcPr>
                  <w:tcW w:w="3479" w:type="dxa"/>
                  <w:tcBorders>
                    <w:tl2br w:val="nil"/>
                    <w:tr2bl w:val="nil"/>
                  </w:tcBorders>
                  <w:vAlign w:val="center"/>
                </w:tcPr>
                <w:p w14:paraId="3895851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ascii="宋体" w:hAnsi="宋体" w:cs="宋体"/>
                      <w:color w:val="auto"/>
                      <w:spacing w:val="-2"/>
                      <w:sz w:val="21"/>
                      <w:szCs w:val="21"/>
                    </w:rPr>
                    <w:t>24.</w:t>
                  </w:r>
                  <w:r>
                    <w:rPr>
                      <w:rFonts w:hint="eastAsia" w:ascii="宋体" w:hAnsi="宋体" w:cs="宋体"/>
                      <w:color w:val="auto"/>
                      <w:spacing w:val="-2"/>
                      <w:sz w:val="21"/>
                      <w:szCs w:val="21"/>
                    </w:rPr>
                    <w:t>禁止在禁燃区内新建、扩建、改建使用高污染燃料的项目，禁燃区的所有锅炉要按照使用规定全部淘汰或改造到位。</w:t>
                  </w:r>
                </w:p>
              </w:tc>
              <w:tc>
                <w:tcPr>
                  <w:tcW w:w="1814" w:type="dxa"/>
                  <w:tcBorders>
                    <w:tl2br w:val="nil"/>
                    <w:tr2bl w:val="nil"/>
                  </w:tcBorders>
                  <w:vAlign w:val="center"/>
                </w:tcPr>
                <w:p w14:paraId="30995F2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项目</w:t>
                  </w:r>
                  <w:r>
                    <w:rPr>
                      <w:rFonts w:hint="eastAsia" w:ascii="Times New Roman" w:hAnsi="Times New Roman" w:eastAsia="宋体"/>
                      <w:color w:val="auto"/>
                      <w:sz w:val="21"/>
                      <w:szCs w:val="21"/>
                      <w:highlight w:val="none"/>
                      <w:lang w:eastAsia="zh-CN"/>
                    </w:rPr>
                    <w:t>不涉及</w:t>
                  </w:r>
                  <w:r>
                    <w:rPr>
                      <w:rFonts w:hint="eastAsia" w:ascii="Times New Roman" w:hAnsi="Times New Roman" w:eastAsia="宋体"/>
                      <w:color w:val="auto"/>
                      <w:sz w:val="21"/>
                      <w:szCs w:val="21"/>
                      <w:highlight w:val="none"/>
                    </w:rPr>
                    <w:t>高污染燃料</w:t>
                  </w:r>
                  <w:r>
                    <w:rPr>
                      <w:rFonts w:hint="eastAsia" w:ascii="Times New Roman" w:hAnsi="Times New Roman" w:eastAsia="宋体"/>
                      <w:color w:val="auto"/>
                      <w:sz w:val="21"/>
                      <w:szCs w:val="21"/>
                      <w:highlight w:val="none"/>
                      <w:lang w:eastAsia="zh-CN"/>
                    </w:rPr>
                    <w:t>使用</w:t>
                  </w:r>
                </w:p>
              </w:tc>
              <w:tc>
                <w:tcPr>
                  <w:tcW w:w="728" w:type="dxa"/>
                  <w:tcBorders>
                    <w:tl2br w:val="nil"/>
                    <w:tr2bl w:val="nil"/>
                  </w:tcBorders>
                  <w:vAlign w:val="center"/>
                </w:tcPr>
                <w:p w14:paraId="4B4CEBDA">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eastAsia="zh-CN"/>
                    </w:rPr>
                    <w:t>符合</w:t>
                  </w:r>
                </w:p>
              </w:tc>
            </w:tr>
          </w:tbl>
          <w:p w14:paraId="0395701B">
            <w:pPr>
              <w:pStyle w:val="38"/>
              <w:keepNext w:val="0"/>
              <w:keepLines w:val="0"/>
              <w:pageBreakBefore w:val="0"/>
              <w:widowControl w:val="0"/>
              <w:kinsoku/>
              <w:wordWrap/>
              <w:overflowPunct/>
              <w:topLinePunct w:val="0"/>
              <w:autoSpaceDE/>
              <w:autoSpaceDN/>
              <w:bidi w:val="0"/>
              <w:adjustRightInd w:val="0"/>
              <w:snapToGrid w:val="0"/>
              <w:spacing w:beforeLines="0" w:line="240" w:lineRule="auto"/>
              <w:textAlignment w:val="auto"/>
              <w:rPr>
                <w:color w:val="auto"/>
                <w:sz w:val="21"/>
                <w:szCs w:val="21"/>
              </w:rPr>
            </w:pPr>
            <w:r>
              <w:rPr>
                <w:color w:val="auto"/>
                <w:sz w:val="21"/>
                <w:szCs w:val="21"/>
              </w:rPr>
              <w:t>表</w:t>
            </w:r>
            <w:r>
              <w:rPr>
                <w:rFonts w:hint="eastAsia"/>
                <w:color w:val="auto"/>
                <w:sz w:val="21"/>
                <w:szCs w:val="21"/>
              </w:rPr>
              <w:t>1-</w:t>
            </w:r>
            <w:r>
              <w:rPr>
                <w:rFonts w:hint="eastAsia"/>
                <w:color w:val="auto"/>
                <w:sz w:val="21"/>
                <w:szCs w:val="21"/>
                <w:lang w:val="en-US" w:eastAsia="zh-CN"/>
              </w:rPr>
              <w:t>6</w:t>
            </w:r>
            <w:r>
              <w:rPr>
                <w:color w:val="auto"/>
                <w:sz w:val="21"/>
                <w:szCs w:val="21"/>
              </w:rPr>
              <w:t xml:space="preserve"> </w:t>
            </w:r>
            <w:r>
              <w:rPr>
                <w:rFonts w:hint="eastAsia"/>
                <w:color w:val="auto"/>
                <w:sz w:val="21"/>
                <w:szCs w:val="21"/>
              </w:rPr>
              <w:t xml:space="preserve"> </w:t>
            </w:r>
            <w:r>
              <w:rPr>
                <w:rFonts w:hint="eastAsia"/>
                <w:color w:val="auto"/>
                <w:sz w:val="21"/>
                <w:szCs w:val="21"/>
                <w:lang w:eastAsia="zh-CN"/>
              </w:rPr>
              <w:t>与九江市环境管控单元生态环境准入清单符合性分析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9"/>
              <w:gridCol w:w="1795"/>
              <w:gridCol w:w="2480"/>
              <w:gridCol w:w="1936"/>
              <w:gridCol w:w="468"/>
            </w:tblGrid>
            <w:tr w14:paraId="34A0F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4" w:type="dxa"/>
                  <w:gridSpan w:val="2"/>
                  <w:tcBorders>
                    <w:tl2br w:val="nil"/>
                    <w:tr2bl w:val="nil"/>
                  </w:tcBorders>
                  <w:noWrap w:val="0"/>
                  <w:vAlign w:val="center"/>
                </w:tcPr>
                <w:p w14:paraId="0B428BE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4436" w:type="dxa"/>
                  <w:gridSpan w:val="3"/>
                  <w:tcBorders>
                    <w:tl2br w:val="nil"/>
                    <w:tr2bl w:val="nil"/>
                  </w:tcBorders>
                  <w:noWrap w:val="0"/>
                  <w:vAlign w:val="center"/>
                </w:tcPr>
                <w:p w14:paraId="5A504B3B">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内容</w:t>
                  </w:r>
                </w:p>
              </w:tc>
            </w:tr>
            <w:tr w14:paraId="77CCD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gridSpan w:val="2"/>
                  <w:tcBorders>
                    <w:tl2br w:val="nil"/>
                    <w:tr2bl w:val="nil"/>
                  </w:tcBorders>
                  <w:noWrap w:val="0"/>
                  <w:vAlign w:val="center"/>
                </w:tcPr>
                <w:p w14:paraId="2098150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环境管控单元编码</w:t>
                  </w:r>
                </w:p>
              </w:tc>
              <w:tc>
                <w:tcPr>
                  <w:tcW w:w="4436" w:type="dxa"/>
                  <w:gridSpan w:val="3"/>
                  <w:tcBorders>
                    <w:tl2br w:val="nil"/>
                    <w:tr2bl w:val="nil"/>
                  </w:tcBorders>
                  <w:noWrap w:val="0"/>
                  <w:vAlign w:val="center"/>
                </w:tcPr>
                <w:p w14:paraId="15BDC2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b w:val="0"/>
                      <w:bCs/>
                      <w:color w:val="auto"/>
                      <w:kern w:val="0"/>
                      <w:sz w:val="21"/>
                      <w:szCs w:val="21"/>
                      <w:lang w:val="en-US" w:eastAsia="zh-CN" w:bidi="ar"/>
                    </w:rPr>
                    <w:t>ZH36042520008</w:t>
                  </w:r>
                </w:p>
              </w:tc>
            </w:tr>
            <w:tr w14:paraId="3DFF4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gridSpan w:val="2"/>
                  <w:tcBorders>
                    <w:tl2br w:val="nil"/>
                    <w:tr2bl w:val="nil"/>
                  </w:tcBorders>
                  <w:noWrap w:val="0"/>
                  <w:vAlign w:val="center"/>
                </w:tcPr>
                <w:p w14:paraId="0975F93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环境管控单元名称</w:t>
                  </w:r>
                </w:p>
              </w:tc>
              <w:tc>
                <w:tcPr>
                  <w:tcW w:w="4436" w:type="dxa"/>
                  <w:gridSpan w:val="3"/>
                  <w:tcBorders>
                    <w:tl2br w:val="nil"/>
                    <w:tr2bl w:val="nil"/>
                  </w:tcBorders>
                  <w:noWrap w:val="0"/>
                  <w:vAlign w:val="center"/>
                </w:tcPr>
                <w:p w14:paraId="73F56E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b w:val="0"/>
                      <w:bCs/>
                      <w:color w:val="auto"/>
                      <w:kern w:val="0"/>
                      <w:sz w:val="21"/>
                      <w:szCs w:val="21"/>
                      <w:lang w:val="en-US" w:eastAsia="zh-CN" w:bidi="ar"/>
                    </w:rPr>
                    <w:t>江西省九江市永修县重点管控单元8</w:t>
                  </w:r>
                </w:p>
              </w:tc>
            </w:tr>
            <w:tr w14:paraId="61288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gridSpan w:val="2"/>
                  <w:tcBorders>
                    <w:tl2br w:val="nil"/>
                    <w:tr2bl w:val="nil"/>
                  </w:tcBorders>
                  <w:noWrap w:val="0"/>
                  <w:vAlign w:val="center"/>
                </w:tcPr>
                <w:p w14:paraId="10F4F703">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单元特征</w:t>
                  </w:r>
                </w:p>
              </w:tc>
              <w:tc>
                <w:tcPr>
                  <w:tcW w:w="4436" w:type="dxa"/>
                  <w:gridSpan w:val="3"/>
                  <w:tcBorders>
                    <w:tl2br w:val="nil"/>
                    <w:tr2bl w:val="nil"/>
                  </w:tcBorders>
                  <w:noWrap w:val="0"/>
                  <w:vAlign w:val="center"/>
                </w:tcPr>
                <w:p w14:paraId="4293EF4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color w:val="auto"/>
                      <w:sz w:val="21"/>
                      <w:szCs w:val="21"/>
                    </w:rPr>
                    <w:t>该单元涉及江西永修云山经济开发区星火园区，涉及化工集中区。</w:t>
                  </w:r>
                </w:p>
              </w:tc>
            </w:tr>
            <w:tr w14:paraId="6F577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gridSpan w:val="2"/>
                  <w:tcBorders>
                    <w:tl2br w:val="nil"/>
                    <w:tr2bl w:val="nil"/>
                  </w:tcBorders>
                  <w:noWrap w:val="0"/>
                  <w:vAlign w:val="center"/>
                </w:tcPr>
                <w:p w14:paraId="7F7BB99F">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范围</w:t>
                  </w:r>
                </w:p>
              </w:tc>
              <w:tc>
                <w:tcPr>
                  <w:tcW w:w="4436" w:type="dxa"/>
                  <w:gridSpan w:val="3"/>
                  <w:tcBorders>
                    <w:tl2br w:val="nil"/>
                    <w:tr2bl w:val="nil"/>
                  </w:tcBorders>
                  <w:noWrap w:val="0"/>
                  <w:vAlign w:val="center"/>
                </w:tcPr>
                <w:p w14:paraId="7E1E393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江西永修云山经济开发区星火园区</w:t>
                  </w:r>
                </w:p>
              </w:tc>
            </w:tr>
            <w:tr w14:paraId="68E6F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gridSpan w:val="2"/>
                  <w:tcBorders>
                    <w:tl2br w:val="nil"/>
                    <w:tr2bl w:val="nil"/>
                  </w:tcBorders>
                  <w:noWrap w:val="0"/>
                  <w:vAlign w:val="center"/>
                </w:tcPr>
                <w:p w14:paraId="470543C6">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分类</w:t>
                  </w:r>
                </w:p>
              </w:tc>
              <w:tc>
                <w:tcPr>
                  <w:tcW w:w="2252" w:type="dxa"/>
                  <w:tcBorders>
                    <w:tl2br w:val="nil"/>
                    <w:tr2bl w:val="nil"/>
                  </w:tcBorders>
                  <w:noWrap w:val="0"/>
                  <w:vAlign w:val="center"/>
                </w:tcPr>
                <w:p w14:paraId="380DF02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规划要求</w:t>
                  </w:r>
                </w:p>
              </w:tc>
              <w:tc>
                <w:tcPr>
                  <w:tcW w:w="1759" w:type="dxa"/>
                  <w:tcBorders>
                    <w:tl2br w:val="nil"/>
                    <w:tr2bl w:val="nil"/>
                  </w:tcBorders>
                  <w:noWrap w:val="0"/>
                  <w:vAlign w:val="center"/>
                </w:tcPr>
                <w:p w14:paraId="2FE34226">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符合性分析</w:t>
                  </w:r>
                </w:p>
              </w:tc>
              <w:tc>
                <w:tcPr>
                  <w:tcW w:w="425" w:type="dxa"/>
                  <w:tcBorders>
                    <w:tl2br w:val="nil"/>
                    <w:tr2bl w:val="nil"/>
                  </w:tcBorders>
                  <w:noWrap w:val="0"/>
                  <w:vAlign w:val="center"/>
                </w:tcPr>
                <w:p w14:paraId="4AC5433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符合性</w:t>
                  </w:r>
                </w:p>
              </w:tc>
            </w:tr>
            <w:tr w14:paraId="3DE15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Merge w:val="restart"/>
                  <w:tcBorders>
                    <w:tl2br w:val="nil"/>
                    <w:tr2bl w:val="nil"/>
                  </w:tcBorders>
                  <w:noWrap w:val="0"/>
                  <w:vAlign w:val="center"/>
                </w:tcPr>
                <w:p w14:paraId="651E4D1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空间布局约束</w:t>
                  </w:r>
                </w:p>
              </w:tc>
              <w:tc>
                <w:tcPr>
                  <w:tcW w:w="1631" w:type="dxa"/>
                  <w:tcBorders>
                    <w:tl2br w:val="nil"/>
                    <w:tr2bl w:val="nil"/>
                  </w:tcBorders>
                  <w:noWrap w:val="0"/>
                  <w:vAlign w:val="center"/>
                </w:tcPr>
                <w:p w14:paraId="515B3B6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禁止开发建设活动的要求</w:t>
                  </w:r>
                </w:p>
              </w:tc>
              <w:tc>
                <w:tcPr>
                  <w:tcW w:w="2252" w:type="dxa"/>
                  <w:tcBorders>
                    <w:tl2br w:val="nil"/>
                    <w:tr2bl w:val="nil"/>
                  </w:tcBorders>
                  <w:shd w:val="clear" w:color="auto" w:fill="auto"/>
                  <w:noWrap w:val="0"/>
                  <w:vAlign w:val="center"/>
                </w:tcPr>
                <w:p w14:paraId="0614BF68">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无</w:t>
                  </w:r>
                </w:p>
              </w:tc>
              <w:tc>
                <w:tcPr>
                  <w:tcW w:w="1759" w:type="dxa"/>
                  <w:tcBorders>
                    <w:tl2br w:val="nil"/>
                    <w:tr2bl w:val="nil"/>
                  </w:tcBorders>
                  <w:shd w:val="clear" w:color="auto" w:fill="auto"/>
                  <w:noWrap w:val="0"/>
                  <w:vAlign w:val="center"/>
                </w:tcPr>
                <w:p w14:paraId="53FBA46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w:t>
                  </w:r>
                </w:p>
              </w:tc>
              <w:tc>
                <w:tcPr>
                  <w:tcW w:w="425" w:type="dxa"/>
                  <w:tcBorders>
                    <w:tl2br w:val="nil"/>
                    <w:tr2bl w:val="nil"/>
                  </w:tcBorders>
                  <w:shd w:val="clear" w:color="auto" w:fill="auto"/>
                  <w:noWrap w:val="0"/>
                  <w:vAlign w:val="center"/>
                </w:tcPr>
                <w:p w14:paraId="5D4AC41B">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w:t>
                  </w:r>
                </w:p>
              </w:tc>
            </w:tr>
            <w:tr w14:paraId="1E075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5F8806C6">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5E4CBF4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限制开发建设活动的要求</w:t>
                  </w:r>
                </w:p>
              </w:tc>
              <w:tc>
                <w:tcPr>
                  <w:tcW w:w="2252" w:type="dxa"/>
                  <w:tcBorders>
                    <w:tl2br w:val="nil"/>
                    <w:tr2bl w:val="nil"/>
                  </w:tcBorders>
                  <w:noWrap w:val="0"/>
                  <w:vAlign w:val="center"/>
                </w:tcPr>
                <w:p w14:paraId="2992F1E4">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限制引入含磷废水排放量大的项目。</w:t>
                  </w:r>
                </w:p>
              </w:tc>
              <w:tc>
                <w:tcPr>
                  <w:tcW w:w="1759" w:type="dxa"/>
                  <w:tcBorders>
                    <w:tl2br w:val="nil"/>
                    <w:tr2bl w:val="nil"/>
                  </w:tcBorders>
                  <w:noWrap w:val="0"/>
                  <w:vAlign w:val="center"/>
                </w:tcPr>
                <w:p w14:paraId="74DA9E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0"/>
                      <w:sz w:val="21"/>
                      <w:szCs w:val="21"/>
                      <w:lang w:val="en-US" w:eastAsia="zh-CN" w:bidi="ar-SA"/>
                    </w:rPr>
                  </w:pPr>
                  <w:r>
                    <w:rPr>
                      <w:rFonts w:hint="eastAsia" w:cs="Times New Roman"/>
                      <w:color w:val="auto"/>
                      <w:sz w:val="21"/>
                      <w:szCs w:val="21"/>
                      <w:highlight w:val="none"/>
                      <w:lang w:val="en-US" w:eastAsia="zh-CN"/>
                    </w:rPr>
                    <w:t>项目</w:t>
                  </w:r>
                  <w:r>
                    <w:rPr>
                      <w:rFonts w:hint="eastAsia" w:ascii="Times New Roman" w:hAnsi="Times New Roman" w:eastAsia="宋体" w:cs="Times New Roman"/>
                      <w:color w:val="auto"/>
                      <w:kern w:val="0"/>
                      <w:sz w:val="21"/>
                      <w:szCs w:val="21"/>
                      <w:lang w:val="en-US" w:eastAsia="zh-CN"/>
                    </w:rPr>
                    <w:t>工艺废水经处理达标后外排</w:t>
                  </w:r>
                  <w:r>
                    <w:rPr>
                      <w:rFonts w:hint="eastAsia" w:eastAsia="宋体" w:cs="Times New Roman"/>
                      <w:color w:val="auto"/>
                      <w:kern w:val="0"/>
                      <w:sz w:val="21"/>
                      <w:szCs w:val="21"/>
                      <w:lang w:val="en-US" w:eastAsia="zh-CN"/>
                    </w:rPr>
                    <w:t>至污水处理厂，且</w:t>
                  </w:r>
                  <w:r>
                    <w:rPr>
                      <w:rFonts w:hint="eastAsia" w:cs="Times New Roman"/>
                      <w:color w:val="auto"/>
                      <w:sz w:val="21"/>
                      <w:szCs w:val="21"/>
                      <w:highlight w:val="none"/>
                      <w:lang w:eastAsia="zh-CN"/>
                    </w:rPr>
                    <w:t>不属于含磷废水排放量大的项目</w:t>
                  </w:r>
                </w:p>
              </w:tc>
              <w:tc>
                <w:tcPr>
                  <w:tcW w:w="425" w:type="dxa"/>
                  <w:tcBorders>
                    <w:tl2br w:val="nil"/>
                    <w:tr2bl w:val="nil"/>
                  </w:tcBorders>
                  <w:noWrap w:val="0"/>
                  <w:vAlign w:val="center"/>
                </w:tcPr>
                <w:p w14:paraId="70A9B3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0"/>
                      <w:sz w:val="21"/>
                      <w:szCs w:val="21"/>
                      <w:lang w:val="en-US" w:eastAsia="zh-CN" w:bidi="ar-SA"/>
                    </w:rPr>
                  </w:pPr>
                  <w:r>
                    <w:rPr>
                      <w:rFonts w:hint="eastAsia" w:ascii="Times New Roman" w:hAnsi="Times New Roman" w:eastAsia="宋体" w:cs="Times New Roman"/>
                      <w:color w:val="auto"/>
                      <w:sz w:val="21"/>
                      <w:szCs w:val="21"/>
                      <w:highlight w:val="none"/>
                      <w:lang w:eastAsia="zh-CN"/>
                    </w:rPr>
                    <w:t>符合</w:t>
                  </w:r>
                </w:p>
              </w:tc>
            </w:tr>
            <w:tr w14:paraId="1943D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212CDF0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3C56B7C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允许开发建设活动的要求</w:t>
                  </w:r>
                </w:p>
              </w:tc>
              <w:tc>
                <w:tcPr>
                  <w:tcW w:w="2252" w:type="dxa"/>
                  <w:tcBorders>
                    <w:tl2br w:val="nil"/>
                    <w:tr2bl w:val="nil"/>
                  </w:tcBorders>
                  <w:shd w:val="clear" w:color="auto" w:fill="auto"/>
                  <w:noWrap w:val="0"/>
                  <w:vAlign w:val="center"/>
                </w:tcPr>
                <w:p w14:paraId="24B2B1C3">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无</w:t>
                  </w:r>
                </w:p>
              </w:tc>
              <w:tc>
                <w:tcPr>
                  <w:tcW w:w="1759" w:type="dxa"/>
                  <w:tcBorders>
                    <w:tl2br w:val="nil"/>
                    <w:tr2bl w:val="nil"/>
                  </w:tcBorders>
                  <w:shd w:val="clear" w:color="auto" w:fill="auto"/>
                  <w:noWrap w:val="0"/>
                  <w:vAlign w:val="center"/>
                </w:tcPr>
                <w:p w14:paraId="2497E993">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w:t>
                  </w:r>
                </w:p>
              </w:tc>
              <w:tc>
                <w:tcPr>
                  <w:tcW w:w="425" w:type="dxa"/>
                  <w:tcBorders>
                    <w:tl2br w:val="nil"/>
                    <w:tr2bl w:val="nil"/>
                  </w:tcBorders>
                  <w:shd w:val="clear" w:color="auto" w:fill="auto"/>
                  <w:noWrap w:val="0"/>
                  <w:vAlign w:val="center"/>
                </w:tcPr>
                <w:p w14:paraId="58113ACA">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w:t>
                  </w:r>
                </w:p>
              </w:tc>
            </w:tr>
            <w:tr w14:paraId="0E088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Merge w:val="continue"/>
                  <w:tcBorders>
                    <w:tl2br w:val="nil"/>
                    <w:tr2bl w:val="nil"/>
                  </w:tcBorders>
                  <w:noWrap w:val="0"/>
                  <w:vAlign w:val="center"/>
                </w:tcPr>
                <w:p w14:paraId="76D737EC">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5CC54B07">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不符合空间布局要求活动的退出要求</w:t>
                  </w:r>
                </w:p>
              </w:tc>
              <w:tc>
                <w:tcPr>
                  <w:tcW w:w="2252" w:type="dxa"/>
                  <w:tcBorders>
                    <w:tl2br w:val="nil"/>
                    <w:tr2bl w:val="nil"/>
                  </w:tcBorders>
                  <w:noWrap w:val="0"/>
                  <w:vAlign w:val="center"/>
                </w:tcPr>
                <w:p w14:paraId="5B3C0B8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现有超标严重治理无望的企业限期退出。</w:t>
                  </w:r>
                </w:p>
              </w:tc>
              <w:tc>
                <w:tcPr>
                  <w:tcW w:w="1759" w:type="dxa"/>
                  <w:tcBorders>
                    <w:tl2br w:val="nil"/>
                    <w:tr2bl w:val="nil"/>
                  </w:tcBorders>
                  <w:noWrap w:val="0"/>
                  <w:vAlign w:val="center"/>
                </w:tcPr>
                <w:p w14:paraId="774822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本项目不属于此类企业</w:t>
                  </w:r>
                </w:p>
              </w:tc>
              <w:tc>
                <w:tcPr>
                  <w:tcW w:w="425" w:type="dxa"/>
                  <w:tcBorders>
                    <w:tl2br w:val="nil"/>
                    <w:tr2bl w:val="nil"/>
                  </w:tcBorders>
                  <w:noWrap w:val="0"/>
                  <w:vAlign w:val="center"/>
                </w:tcPr>
                <w:p w14:paraId="548B8C1A">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62FD6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dxa"/>
                  <w:vMerge w:val="continue"/>
                  <w:tcBorders>
                    <w:tl2br w:val="nil"/>
                    <w:tr2bl w:val="nil"/>
                  </w:tcBorders>
                  <w:noWrap w:val="0"/>
                  <w:vAlign w:val="center"/>
                </w:tcPr>
                <w:p w14:paraId="6C204C9A">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472FA54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其他空间布局约束要求</w:t>
                  </w:r>
                </w:p>
              </w:tc>
              <w:tc>
                <w:tcPr>
                  <w:tcW w:w="2252" w:type="dxa"/>
                  <w:tcBorders>
                    <w:tl2br w:val="nil"/>
                    <w:tr2bl w:val="nil"/>
                  </w:tcBorders>
                  <w:noWrap w:val="0"/>
                  <w:vAlign w:val="center"/>
                </w:tcPr>
                <w:p w14:paraId="24EE0CD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无</w:t>
                  </w:r>
                </w:p>
              </w:tc>
              <w:tc>
                <w:tcPr>
                  <w:tcW w:w="1759" w:type="dxa"/>
                  <w:tcBorders>
                    <w:tl2br w:val="nil"/>
                    <w:tr2bl w:val="nil"/>
                  </w:tcBorders>
                  <w:noWrap w:val="0"/>
                  <w:vAlign w:val="center"/>
                </w:tcPr>
                <w:p w14:paraId="0A2B8261">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25" w:type="dxa"/>
                  <w:tcBorders>
                    <w:tl2br w:val="nil"/>
                    <w:tr2bl w:val="nil"/>
                  </w:tcBorders>
                  <w:noWrap w:val="0"/>
                  <w:vAlign w:val="center"/>
                </w:tcPr>
                <w:p w14:paraId="2765793F">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2E048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restart"/>
                  <w:tcBorders>
                    <w:tl2br w:val="nil"/>
                    <w:tr2bl w:val="nil"/>
                  </w:tcBorders>
                  <w:noWrap w:val="0"/>
                  <w:vAlign w:val="center"/>
                </w:tcPr>
                <w:p w14:paraId="177B2817">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污染物排放管控</w:t>
                  </w:r>
                </w:p>
              </w:tc>
              <w:tc>
                <w:tcPr>
                  <w:tcW w:w="1631" w:type="dxa"/>
                  <w:tcBorders>
                    <w:tl2br w:val="nil"/>
                    <w:tr2bl w:val="nil"/>
                  </w:tcBorders>
                  <w:noWrap w:val="0"/>
                  <w:vAlign w:val="center"/>
                </w:tcPr>
                <w:p w14:paraId="1BD95D94">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现有源提标升级改造</w:t>
                  </w:r>
                </w:p>
              </w:tc>
              <w:tc>
                <w:tcPr>
                  <w:tcW w:w="2252" w:type="dxa"/>
                  <w:tcBorders>
                    <w:tl2br w:val="nil"/>
                    <w:tr2bl w:val="nil"/>
                  </w:tcBorders>
                  <w:noWrap w:val="0"/>
                  <w:vAlign w:val="center"/>
                </w:tcPr>
                <w:p w14:paraId="7ABB685A">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工业园区现有企业需预处理达到污水集中处理设施接管标准。</w:t>
                  </w:r>
                </w:p>
              </w:tc>
              <w:tc>
                <w:tcPr>
                  <w:tcW w:w="1759" w:type="dxa"/>
                  <w:tcBorders>
                    <w:tl2br w:val="nil"/>
                    <w:tr2bl w:val="nil"/>
                  </w:tcBorders>
                  <w:noWrap w:val="0"/>
                  <w:vAlign w:val="center"/>
                </w:tcPr>
                <w:p w14:paraId="6EE7C5E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项目</w:t>
                  </w:r>
                  <w:r>
                    <w:rPr>
                      <w:rFonts w:hint="eastAsia" w:cs="宋体"/>
                      <w:color w:val="auto"/>
                      <w:sz w:val="21"/>
                      <w:szCs w:val="21"/>
                      <w:lang w:val="en-US" w:eastAsia="zh-CN"/>
                    </w:rPr>
                    <w:t>生产废水经</w:t>
                  </w:r>
                  <w:r>
                    <w:rPr>
                      <w:rFonts w:hint="eastAsia" w:ascii="宋体" w:hAnsi="宋体" w:eastAsia="宋体" w:cs="宋体"/>
                      <w:color w:val="auto"/>
                      <w:sz w:val="21"/>
                      <w:szCs w:val="21"/>
                      <w:lang w:eastAsia="zh-CN"/>
                    </w:rPr>
                    <w:t>预处理达到污水集中处理设施接管标准</w:t>
                  </w:r>
                </w:p>
              </w:tc>
              <w:tc>
                <w:tcPr>
                  <w:tcW w:w="425" w:type="dxa"/>
                  <w:tcBorders>
                    <w:tl2br w:val="nil"/>
                    <w:tr2bl w:val="nil"/>
                  </w:tcBorders>
                  <w:noWrap w:val="0"/>
                  <w:vAlign w:val="center"/>
                </w:tcPr>
                <w:p w14:paraId="14F0965D">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798F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603BB7AF">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75038EFD">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新增源等量或倍量替代</w:t>
                  </w:r>
                </w:p>
              </w:tc>
              <w:tc>
                <w:tcPr>
                  <w:tcW w:w="2252" w:type="dxa"/>
                  <w:tcBorders>
                    <w:tl2br w:val="nil"/>
                    <w:tr2bl w:val="nil"/>
                  </w:tcBorders>
                  <w:noWrap w:val="0"/>
                  <w:vAlign w:val="center"/>
                </w:tcPr>
                <w:p w14:paraId="7BDF6C87">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新建项目污染物排放量应实施区域平衡，区域污染物排放总量不增加</w:t>
                  </w:r>
                  <w:r>
                    <w:rPr>
                      <w:rFonts w:hint="eastAsia" w:ascii="宋体" w:hAnsi="宋体" w:eastAsia="宋体" w:cs="宋体"/>
                      <w:color w:val="auto"/>
                      <w:sz w:val="21"/>
                      <w:szCs w:val="21"/>
                      <w:lang w:eastAsia="zh-CN"/>
                    </w:rPr>
                    <w:t>。</w:t>
                  </w:r>
                </w:p>
              </w:tc>
              <w:tc>
                <w:tcPr>
                  <w:tcW w:w="1759" w:type="dxa"/>
                  <w:tcBorders>
                    <w:tl2br w:val="nil"/>
                    <w:tr2bl w:val="nil"/>
                  </w:tcBorders>
                  <w:noWrap w:val="0"/>
                  <w:vAlign w:val="center"/>
                </w:tcPr>
                <w:p w14:paraId="3050A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0"/>
                      <w:sz w:val="21"/>
                      <w:szCs w:val="21"/>
                      <w:lang w:val="en-US" w:eastAsia="zh-CN" w:bidi="ar-SA"/>
                    </w:rPr>
                  </w:pPr>
                  <w:r>
                    <w:rPr>
                      <w:rFonts w:hint="eastAsia" w:cs="Times New Roman"/>
                      <w:color w:val="auto"/>
                      <w:spacing w:val="0"/>
                      <w:w w:val="100"/>
                      <w:kern w:val="2"/>
                      <w:sz w:val="21"/>
                      <w:szCs w:val="21"/>
                      <w:highlight w:val="none"/>
                      <w:lang w:val="en-US" w:eastAsia="zh-CN" w:bidi="ar-SA"/>
                    </w:rPr>
                    <w:t>项目</w:t>
                  </w:r>
                  <w:r>
                    <w:rPr>
                      <w:rFonts w:hint="default" w:ascii="Times New Roman" w:hAnsi="Times New Roman" w:eastAsia="宋体" w:cs="Times New Roman"/>
                      <w:color w:val="auto"/>
                      <w:spacing w:val="0"/>
                      <w:w w:val="100"/>
                      <w:kern w:val="2"/>
                      <w:sz w:val="21"/>
                      <w:szCs w:val="21"/>
                      <w:highlight w:val="none"/>
                      <w:lang w:val="en-US" w:eastAsia="zh-CN" w:bidi="ar-SA"/>
                    </w:rPr>
                    <w:t>污染物排放量按照有关要求申请总量控制指标</w:t>
                  </w:r>
                </w:p>
              </w:tc>
              <w:tc>
                <w:tcPr>
                  <w:tcW w:w="425" w:type="dxa"/>
                  <w:tcBorders>
                    <w:tl2br w:val="nil"/>
                    <w:tr2bl w:val="nil"/>
                  </w:tcBorders>
                  <w:shd w:val="clear" w:color="auto" w:fill="auto"/>
                  <w:noWrap w:val="0"/>
                  <w:vAlign w:val="center"/>
                </w:tcPr>
                <w:p w14:paraId="3EC42386">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2A65C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2F6CB9E1">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0CB3AB3F">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新增源排放标准限值</w:t>
                  </w:r>
                </w:p>
              </w:tc>
              <w:tc>
                <w:tcPr>
                  <w:tcW w:w="2252" w:type="dxa"/>
                  <w:tcBorders>
                    <w:tl2br w:val="nil"/>
                    <w:tr2bl w:val="nil"/>
                  </w:tcBorders>
                  <w:noWrap w:val="0"/>
                  <w:vAlign w:val="center"/>
                </w:tcPr>
                <w:p w14:paraId="47C9BE1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新建项目污染物排放应达到行业排放标准或综合排放标准</w:t>
                  </w:r>
                  <w:r>
                    <w:rPr>
                      <w:rFonts w:hint="eastAsia" w:ascii="宋体" w:hAnsi="宋体" w:eastAsia="宋体" w:cs="宋体"/>
                      <w:color w:val="auto"/>
                      <w:sz w:val="21"/>
                      <w:szCs w:val="21"/>
                      <w:lang w:eastAsia="zh-CN"/>
                    </w:rPr>
                    <w:t>。</w:t>
                  </w:r>
                </w:p>
              </w:tc>
              <w:tc>
                <w:tcPr>
                  <w:tcW w:w="1759" w:type="dxa"/>
                  <w:tcBorders>
                    <w:tl2br w:val="nil"/>
                    <w:tr2bl w:val="nil"/>
                  </w:tcBorders>
                  <w:noWrap w:val="0"/>
                  <w:vAlign w:val="center"/>
                </w:tcPr>
                <w:p w14:paraId="00E547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本项目污染物经妥善处理后，均满足相关标准</w:t>
                  </w:r>
                </w:p>
              </w:tc>
              <w:tc>
                <w:tcPr>
                  <w:tcW w:w="425" w:type="dxa"/>
                  <w:tcBorders>
                    <w:tl2br w:val="nil"/>
                    <w:tr2bl w:val="nil"/>
                  </w:tcBorders>
                  <w:shd w:val="clear" w:color="auto" w:fill="auto"/>
                  <w:noWrap w:val="0"/>
                  <w:vAlign w:val="center"/>
                </w:tcPr>
                <w:p w14:paraId="33B2C59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3A1FF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3BEFA211">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6E3FF526">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污染物排放绩效水平准入要求</w:t>
                  </w:r>
                </w:p>
              </w:tc>
              <w:tc>
                <w:tcPr>
                  <w:tcW w:w="2252" w:type="dxa"/>
                  <w:tcBorders>
                    <w:tl2br w:val="nil"/>
                    <w:tr2bl w:val="nil"/>
                  </w:tcBorders>
                  <w:noWrap w:val="0"/>
                  <w:vAlign w:val="center"/>
                </w:tcPr>
                <w:p w14:paraId="2AFCBD7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污染物排放绩效水平达到相应行业准入要求和清洁生产相应水平。</w:t>
                  </w:r>
                </w:p>
              </w:tc>
              <w:tc>
                <w:tcPr>
                  <w:tcW w:w="1759" w:type="dxa"/>
                  <w:tcBorders>
                    <w:tl2br w:val="nil"/>
                    <w:tr2bl w:val="nil"/>
                  </w:tcBorders>
                  <w:noWrap w:val="0"/>
                  <w:vAlign w:val="center"/>
                </w:tcPr>
                <w:p w14:paraId="2B02D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本项目污染物</w:t>
                  </w:r>
                  <w:r>
                    <w:rPr>
                      <w:rFonts w:hint="default" w:ascii="Times New Roman" w:hAnsi="Times New Roman" w:eastAsia="宋体" w:cs="Times New Roman"/>
                      <w:color w:val="auto"/>
                      <w:kern w:val="0"/>
                      <w:sz w:val="21"/>
                      <w:szCs w:val="21"/>
                      <w:lang w:val="en-US" w:eastAsia="zh-CN"/>
                    </w:rPr>
                    <w:t>排放绩效水平达到相应行业准入要求和清洁生产相应水平</w:t>
                  </w:r>
                </w:p>
              </w:tc>
              <w:tc>
                <w:tcPr>
                  <w:tcW w:w="425" w:type="dxa"/>
                  <w:tcBorders>
                    <w:tl2br w:val="nil"/>
                    <w:tr2bl w:val="nil"/>
                  </w:tcBorders>
                  <w:shd w:val="clear" w:color="auto" w:fill="auto"/>
                  <w:noWrap w:val="0"/>
                  <w:vAlign w:val="center"/>
                </w:tcPr>
                <w:p w14:paraId="3731D321">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60ABC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6FC1CF07">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48BB962B">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其他污染物排放管控要求</w:t>
                  </w:r>
                </w:p>
              </w:tc>
              <w:tc>
                <w:tcPr>
                  <w:tcW w:w="2252" w:type="dxa"/>
                  <w:tcBorders>
                    <w:tl2br w:val="nil"/>
                    <w:tr2bl w:val="nil"/>
                  </w:tcBorders>
                  <w:noWrap w:val="0"/>
                  <w:vAlign w:val="center"/>
                </w:tcPr>
                <w:p w14:paraId="6DF44D3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无</w:t>
                  </w:r>
                </w:p>
              </w:tc>
              <w:tc>
                <w:tcPr>
                  <w:tcW w:w="1759" w:type="dxa"/>
                  <w:tcBorders>
                    <w:tl2br w:val="nil"/>
                    <w:tr2bl w:val="nil"/>
                  </w:tcBorders>
                  <w:noWrap w:val="0"/>
                  <w:vAlign w:val="center"/>
                </w:tcPr>
                <w:p w14:paraId="6DFA6EB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25" w:type="dxa"/>
                  <w:tcBorders>
                    <w:tl2br w:val="nil"/>
                    <w:tr2bl w:val="nil"/>
                  </w:tcBorders>
                  <w:noWrap w:val="0"/>
                  <w:vAlign w:val="center"/>
                </w:tcPr>
                <w:p w14:paraId="02C80F6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14:paraId="0EFAB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restart"/>
                  <w:tcBorders>
                    <w:tl2br w:val="nil"/>
                    <w:tr2bl w:val="nil"/>
                  </w:tcBorders>
                  <w:noWrap w:val="0"/>
                  <w:vAlign w:val="center"/>
                </w:tcPr>
                <w:p w14:paraId="2FB80F38">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环境风险防范</w:t>
                  </w:r>
                </w:p>
              </w:tc>
              <w:tc>
                <w:tcPr>
                  <w:tcW w:w="1631" w:type="dxa"/>
                  <w:tcBorders>
                    <w:tl2br w:val="nil"/>
                    <w:tr2bl w:val="nil"/>
                  </w:tcBorders>
                  <w:noWrap w:val="0"/>
                  <w:vAlign w:val="center"/>
                </w:tcPr>
                <w:p w14:paraId="68331C4C">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严格管控类农用地环境风险防控要求</w:t>
                  </w:r>
                </w:p>
              </w:tc>
              <w:tc>
                <w:tcPr>
                  <w:tcW w:w="2252" w:type="dxa"/>
                  <w:tcBorders>
                    <w:tl2br w:val="nil"/>
                    <w:tr2bl w:val="nil"/>
                  </w:tcBorders>
                  <w:shd w:val="clear" w:color="auto" w:fill="auto"/>
                  <w:noWrap w:val="0"/>
                  <w:vAlign w:val="center"/>
                </w:tcPr>
                <w:p w14:paraId="19627667">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无</w:t>
                  </w:r>
                </w:p>
              </w:tc>
              <w:tc>
                <w:tcPr>
                  <w:tcW w:w="1759" w:type="dxa"/>
                  <w:tcBorders>
                    <w:tl2br w:val="nil"/>
                    <w:tr2bl w:val="nil"/>
                  </w:tcBorders>
                  <w:shd w:val="clear" w:color="auto" w:fill="auto"/>
                  <w:noWrap w:val="0"/>
                  <w:vAlign w:val="center"/>
                </w:tcPr>
                <w:p w14:paraId="041D1C1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w:t>
                  </w:r>
                </w:p>
              </w:tc>
              <w:tc>
                <w:tcPr>
                  <w:tcW w:w="425" w:type="dxa"/>
                  <w:tcBorders>
                    <w:tl2br w:val="nil"/>
                    <w:tr2bl w:val="nil"/>
                  </w:tcBorders>
                  <w:shd w:val="clear" w:color="auto" w:fill="auto"/>
                  <w:noWrap w:val="0"/>
                  <w:vAlign w:val="center"/>
                </w:tcPr>
                <w:p w14:paraId="3423AF2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w:t>
                  </w:r>
                </w:p>
              </w:tc>
            </w:tr>
            <w:tr w14:paraId="1A254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782B588A">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0F1B4978">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安全利用类农用地环境风险防控要求</w:t>
                  </w:r>
                </w:p>
              </w:tc>
              <w:tc>
                <w:tcPr>
                  <w:tcW w:w="2252" w:type="dxa"/>
                  <w:tcBorders>
                    <w:tl2br w:val="nil"/>
                    <w:tr2bl w:val="nil"/>
                  </w:tcBorders>
                  <w:shd w:val="clear" w:color="auto" w:fill="auto"/>
                  <w:noWrap w:val="0"/>
                  <w:vAlign w:val="center"/>
                </w:tcPr>
                <w:p w14:paraId="16D3C6C5">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无</w:t>
                  </w:r>
                </w:p>
              </w:tc>
              <w:tc>
                <w:tcPr>
                  <w:tcW w:w="1759" w:type="dxa"/>
                  <w:tcBorders>
                    <w:tl2br w:val="nil"/>
                    <w:tr2bl w:val="nil"/>
                  </w:tcBorders>
                  <w:shd w:val="clear" w:color="auto" w:fill="auto"/>
                  <w:noWrap w:val="0"/>
                  <w:vAlign w:val="center"/>
                </w:tcPr>
                <w:p w14:paraId="51D3B9E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w:t>
                  </w:r>
                </w:p>
              </w:tc>
              <w:tc>
                <w:tcPr>
                  <w:tcW w:w="425" w:type="dxa"/>
                  <w:tcBorders>
                    <w:tl2br w:val="nil"/>
                    <w:tr2bl w:val="nil"/>
                  </w:tcBorders>
                  <w:shd w:val="clear" w:color="auto" w:fill="auto"/>
                  <w:noWrap w:val="0"/>
                  <w:vAlign w:val="center"/>
                </w:tcPr>
                <w:p w14:paraId="2A92DF1F">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w:t>
                  </w:r>
                </w:p>
              </w:tc>
            </w:tr>
            <w:tr w14:paraId="15218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4A1BF8B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2EAF684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污染地块</w:t>
                  </w:r>
                  <w:r>
                    <w:rPr>
                      <w:rFonts w:hint="eastAsia" w:ascii="宋体" w:hAnsi="宋体" w:eastAsia="宋体" w:cs="宋体"/>
                      <w:color w:val="auto"/>
                      <w:sz w:val="21"/>
                      <w:szCs w:val="21"/>
                      <w:lang w:eastAsia="zh-CN"/>
                    </w:rPr>
                    <w:t>管控</w:t>
                  </w:r>
                  <w:r>
                    <w:rPr>
                      <w:rFonts w:hint="eastAsia" w:ascii="宋体" w:hAnsi="宋体" w:eastAsia="宋体" w:cs="宋体"/>
                      <w:color w:val="auto"/>
                      <w:sz w:val="21"/>
                      <w:szCs w:val="21"/>
                    </w:rPr>
                    <w:t>要求</w:t>
                  </w:r>
                </w:p>
              </w:tc>
              <w:tc>
                <w:tcPr>
                  <w:tcW w:w="2252" w:type="dxa"/>
                  <w:tcBorders>
                    <w:tl2br w:val="nil"/>
                    <w:tr2bl w:val="nil"/>
                  </w:tcBorders>
                  <w:noWrap w:val="0"/>
                  <w:vAlign w:val="center"/>
                </w:tcPr>
                <w:p w14:paraId="57DE717F">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已污染地块，应当依法开展土壤污染状况调查、治理与修复，符合规划用地性质土壤环境质量要求后，方可进入用地程序。</w:t>
                  </w:r>
                </w:p>
              </w:tc>
              <w:tc>
                <w:tcPr>
                  <w:tcW w:w="1759" w:type="dxa"/>
                  <w:tcBorders>
                    <w:tl2br w:val="nil"/>
                    <w:tr2bl w:val="nil"/>
                  </w:tcBorders>
                  <w:noWrap w:val="0"/>
                  <w:vAlign w:val="center"/>
                </w:tcPr>
                <w:p w14:paraId="19763A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lang w:eastAsia="zh-CN"/>
                    </w:rPr>
                  </w:pPr>
                  <w:r>
                    <w:rPr>
                      <w:rFonts w:hint="default" w:ascii="Times New Roman" w:hAnsi="Times New Roman" w:eastAsia="宋体" w:cs="Times New Roman"/>
                      <w:color w:val="auto"/>
                      <w:sz w:val="21"/>
                      <w:szCs w:val="21"/>
                      <w:highlight w:val="none"/>
                    </w:rPr>
                    <w:t>本项目区域土壤不属于污染地块</w:t>
                  </w:r>
                </w:p>
              </w:tc>
              <w:tc>
                <w:tcPr>
                  <w:tcW w:w="425" w:type="dxa"/>
                  <w:tcBorders>
                    <w:tl2br w:val="nil"/>
                    <w:tr2bl w:val="nil"/>
                  </w:tcBorders>
                  <w:noWrap w:val="0"/>
                  <w:vAlign w:val="center"/>
                </w:tcPr>
                <w:p w14:paraId="66309D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rPr>
                  </w:pPr>
                  <w:r>
                    <w:rPr>
                      <w:rFonts w:hint="default" w:ascii="Times New Roman" w:hAnsi="Times New Roman" w:eastAsia="宋体" w:cs="Times New Roman"/>
                      <w:color w:val="auto"/>
                      <w:sz w:val="21"/>
                      <w:szCs w:val="21"/>
                      <w:highlight w:val="none"/>
                    </w:rPr>
                    <w:t>符合</w:t>
                  </w:r>
                </w:p>
              </w:tc>
            </w:tr>
            <w:tr w14:paraId="031DB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6877B1D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4E415F08">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园区敏感点风险准入类防控要求</w:t>
                  </w:r>
                </w:p>
              </w:tc>
              <w:tc>
                <w:tcPr>
                  <w:tcW w:w="2252" w:type="dxa"/>
                  <w:tcBorders>
                    <w:tl2br w:val="nil"/>
                    <w:tr2bl w:val="nil"/>
                  </w:tcBorders>
                  <w:noWrap w:val="0"/>
                  <w:vAlign w:val="center"/>
                </w:tcPr>
                <w:p w14:paraId="678EA487">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紧邻居住、科教、医院等环境敏感点的工业用地，禁止新建环境风险等级高的建设项目。化工集中区按相关建设标准</w:t>
                  </w:r>
                  <w:r>
                    <w:rPr>
                      <w:rFonts w:hint="eastAsia" w:cs="宋体"/>
                      <w:color w:val="auto"/>
                      <w:kern w:val="0"/>
                      <w:sz w:val="21"/>
                      <w:szCs w:val="21"/>
                      <w:lang w:val="en-US" w:eastAsia="zh-CN" w:bidi="ar-SA"/>
                    </w:rPr>
                    <w:t>，</w:t>
                  </w:r>
                  <w:r>
                    <w:rPr>
                      <w:rFonts w:hint="eastAsia" w:ascii="宋体" w:hAnsi="宋体" w:eastAsia="宋体" w:cs="宋体"/>
                      <w:color w:val="auto"/>
                      <w:kern w:val="0"/>
                      <w:sz w:val="21"/>
                      <w:szCs w:val="21"/>
                      <w:lang w:val="en-US" w:eastAsia="zh-CN" w:bidi="ar-SA"/>
                    </w:rPr>
                    <w:t>园区应建立三级环境风险防控体系。</w:t>
                  </w:r>
                </w:p>
              </w:tc>
              <w:tc>
                <w:tcPr>
                  <w:tcW w:w="1759" w:type="dxa"/>
                  <w:tcBorders>
                    <w:tl2br w:val="nil"/>
                    <w:tr2bl w:val="nil"/>
                  </w:tcBorders>
                  <w:noWrap w:val="0"/>
                  <w:vAlign w:val="center"/>
                </w:tcPr>
                <w:p w14:paraId="7ED9B1E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本项目环境风险等级较低，最近敏感点与项目有一定的距离</w:t>
                  </w:r>
                </w:p>
              </w:tc>
              <w:tc>
                <w:tcPr>
                  <w:tcW w:w="425" w:type="dxa"/>
                  <w:tcBorders>
                    <w:tl2br w:val="nil"/>
                    <w:tr2bl w:val="nil"/>
                  </w:tcBorders>
                  <w:shd w:val="clear" w:color="auto" w:fill="auto"/>
                  <w:noWrap w:val="0"/>
                  <w:vAlign w:val="center"/>
                </w:tcPr>
                <w:p w14:paraId="73C5388D">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15180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1096110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432844D4">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企业环境风险防控要求</w:t>
                  </w:r>
                </w:p>
              </w:tc>
              <w:tc>
                <w:tcPr>
                  <w:tcW w:w="2252" w:type="dxa"/>
                  <w:tcBorders>
                    <w:tl2br w:val="nil"/>
                    <w:tr2bl w:val="nil"/>
                  </w:tcBorders>
                  <w:noWrap w:val="0"/>
                  <w:vAlign w:val="center"/>
                </w:tcPr>
                <w:p w14:paraId="4E5C6056">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生产、存储危险化学品及产生大量废水的工业企业，应配套有效措施，防止因渗漏污染地下水、土壤，以及因事故废水直排污染地表水体。</w:t>
                  </w:r>
                </w:p>
              </w:tc>
              <w:tc>
                <w:tcPr>
                  <w:tcW w:w="1759" w:type="dxa"/>
                  <w:tcBorders>
                    <w:tl2br w:val="nil"/>
                    <w:tr2bl w:val="nil"/>
                  </w:tcBorders>
                  <w:noWrap w:val="0"/>
                  <w:vAlign w:val="center"/>
                </w:tcPr>
                <w:p w14:paraId="1B1B58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本项目配套了相应有效措施，可有效防止因渗漏污染地下水、土壤，以及因事故废水直排污染地表水水体，详见污染防治措施单元</w:t>
                  </w:r>
                </w:p>
              </w:tc>
              <w:tc>
                <w:tcPr>
                  <w:tcW w:w="425" w:type="dxa"/>
                  <w:tcBorders>
                    <w:tl2br w:val="nil"/>
                    <w:tr2bl w:val="nil"/>
                  </w:tcBorders>
                  <w:shd w:val="clear" w:color="auto" w:fill="auto"/>
                  <w:noWrap w:val="0"/>
                  <w:vAlign w:val="center"/>
                </w:tcPr>
                <w:p w14:paraId="593FD84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7FB86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029A00D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13534588">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其他环境风险防控要求</w:t>
                  </w:r>
                </w:p>
              </w:tc>
              <w:tc>
                <w:tcPr>
                  <w:tcW w:w="2252" w:type="dxa"/>
                  <w:tcBorders>
                    <w:tl2br w:val="nil"/>
                    <w:tr2bl w:val="nil"/>
                  </w:tcBorders>
                  <w:noWrap w:val="0"/>
                  <w:vAlign w:val="center"/>
                </w:tcPr>
                <w:p w14:paraId="62E9CA2A">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产生、利用或处置固体废物（含危险废物）的工业企业，在贮存、转移、利用、处置固体废物（含危险废物）过程中，应配套防扬散、防流失、防渗漏及其他防止污染环境的措施。</w:t>
                  </w:r>
                </w:p>
              </w:tc>
              <w:tc>
                <w:tcPr>
                  <w:tcW w:w="1759" w:type="dxa"/>
                  <w:tcBorders>
                    <w:tl2br w:val="nil"/>
                    <w:tr2bl w:val="nil"/>
                  </w:tcBorders>
                  <w:noWrap w:val="0"/>
                  <w:vAlign w:val="center"/>
                </w:tcPr>
                <w:p w14:paraId="414D6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本项目配套了相应防扬散、防流失、防渗漏及其他防止污染环境的措施</w:t>
                  </w:r>
                </w:p>
              </w:tc>
              <w:tc>
                <w:tcPr>
                  <w:tcW w:w="425" w:type="dxa"/>
                  <w:tcBorders>
                    <w:tl2br w:val="nil"/>
                    <w:tr2bl w:val="nil"/>
                  </w:tcBorders>
                  <w:shd w:val="clear" w:color="auto" w:fill="auto"/>
                  <w:noWrap w:val="0"/>
                  <w:vAlign w:val="center"/>
                </w:tcPr>
                <w:p w14:paraId="7F653BED">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3BA52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restart"/>
                  <w:tcBorders>
                    <w:tl2br w:val="nil"/>
                    <w:tr2bl w:val="nil"/>
                  </w:tcBorders>
                  <w:noWrap w:val="0"/>
                  <w:vAlign w:val="center"/>
                </w:tcPr>
                <w:p w14:paraId="492873B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资源利用效率要求</w:t>
                  </w:r>
                </w:p>
              </w:tc>
              <w:tc>
                <w:tcPr>
                  <w:tcW w:w="1631" w:type="dxa"/>
                  <w:tcBorders>
                    <w:tl2br w:val="nil"/>
                    <w:tr2bl w:val="nil"/>
                  </w:tcBorders>
                  <w:noWrap w:val="0"/>
                  <w:vAlign w:val="center"/>
                </w:tcPr>
                <w:p w14:paraId="565D46DC">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水资源利用效率要求</w:t>
                  </w:r>
                </w:p>
              </w:tc>
              <w:tc>
                <w:tcPr>
                  <w:tcW w:w="2252" w:type="dxa"/>
                  <w:tcBorders>
                    <w:tl2br w:val="nil"/>
                    <w:tr2bl w:val="nil"/>
                  </w:tcBorders>
                  <w:noWrap w:val="0"/>
                  <w:vAlign w:val="center"/>
                </w:tcPr>
                <w:p w14:paraId="7BECA76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按行业标准或生态工业园区标准执行。</w:t>
                  </w:r>
                </w:p>
              </w:tc>
              <w:tc>
                <w:tcPr>
                  <w:tcW w:w="1759" w:type="dxa"/>
                  <w:tcBorders>
                    <w:tl2br w:val="nil"/>
                    <w:tr2bl w:val="nil"/>
                  </w:tcBorders>
                  <w:noWrap w:val="0"/>
                  <w:vAlign w:val="center"/>
                </w:tcPr>
                <w:p w14:paraId="29763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无行业标准或生态工业园区标准</w:t>
                  </w:r>
                </w:p>
              </w:tc>
              <w:tc>
                <w:tcPr>
                  <w:tcW w:w="425" w:type="dxa"/>
                  <w:tcBorders>
                    <w:tl2br w:val="nil"/>
                    <w:tr2bl w:val="nil"/>
                  </w:tcBorders>
                  <w:shd w:val="clear" w:color="auto" w:fill="auto"/>
                  <w:noWrap w:val="0"/>
                  <w:vAlign w:val="center"/>
                </w:tcPr>
                <w:p w14:paraId="30C4341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49B51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458D0A00">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68DA94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地下水开采要求</w:t>
                  </w:r>
                </w:p>
              </w:tc>
              <w:tc>
                <w:tcPr>
                  <w:tcW w:w="2252" w:type="dxa"/>
                  <w:tcBorders>
                    <w:tl2br w:val="nil"/>
                    <w:tr2bl w:val="nil"/>
                  </w:tcBorders>
                  <w:noWrap w:val="0"/>
                  <w:vAlign w:val="center"/>
                </w:tcPr>
                <w:p w14:paraId="2EEA8C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按江西省水资源条例执行</w:t>
                  </w:r>
                  <w:r>
                    <w:rPr>
                      <w:rFonts w:hint="eastAsia" w:ascii="宋体" w:hAnsi="宋体" w:eastAsia="宋体" w:cs="宋体"/>
                      <w:color w:val="auto"/>
                      <w:sz w:val="21"/>
                      <w:szCs w:val="21"/>
                      <w:lang w:eastAsia="zh-CN"/>
                    </w:rPr>
                    <w:t>。</w:t>
                  </w:r>
                </w:p>
              </w:tc>
              <w:tc>
                <w:tcPr>
                  <w:tcW w:w="1759" w:type="dxa"/>
                  <w:tcBorders>
                    <w:tl2br w:val="nil"/>
                    <w:tr2bl w:val="nil"/>
                  </w:tcBorders>
                  <w:noWrap w:val="0"/>
                  <w:vAlign w:val="center"/>
                </w:tcPr>
                <w:p w14:paraId="4F9763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本项目不涉及地下水的开采</w:t>
                  </w:r>
                </w:p>
              </w:tc>
              <w:tc>
                <w:tcPr>
                  <w:tcW w:w="425" w:type="dxa"/>
                  <w:tcBorders>
                    <w:tl2br w:val="nil"/>
                    <w:tr2bl w:val="nil"/>
                  </w:tcBorders>
                  <w:noWrap w:val="0"/>
                  <w:vAlign w:val="center"/>
                </w:tcPr>
                <w:p w14:paraId="3A5B3A7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0F8A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1ADC469F">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4D8009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能源利用效率要求</w:t>
                  </w:r>
                </w:p>
              </w:tc>
              <w:tc>
                <w:tcPr>
                  <w:tcW w:w="2252" w:type="dxa"/>
                  <w:tcBorders>
                    <w:tl2br w:val="nil"/>
                    <w:tr2bl w:val="nil"/>
                  </w:tcBorders>
                  <w:noWrap w:val="0"/>
                  <w:vAlign w:val="center"/>
                </w:tcPr>
                <w:p w14:paraId="47AF33AB">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按行业标准或生态工业园区标准执行。</w:t>
                  </w:r>
                </w:p>
              </w:tc>
              <w:tc>
                <w:tcPr>
                  <w:tcW w:w="1759" w:type="dxa"/>
                  <w:tcBorders>
                    <w:tl2br w:val="nil"/>
                    <w:tr2bl w:val="nil"/>
                  </w:tcBorders>
                  <w:noWrap w:val="0"/>
                  <w:vAlign w:val="center"/>
                </w:tcPr>
                <w:p w14:paraId="4D879B0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无行业标准或生态工业园区标准</w:t>
                  </w:r>
                </w:p>
              </w:tc>
              <w:tc>
                <w:tcPr>
                  <w:tcW w:w="425" w:type="dxa"/>
                  <w:tcBorders>
                    <w:tl2br w:val="nil"/>
                    <w:tr2bl w:val="nil"/>
                  </w:tcBorders>
                  <w:shd w:val="clear" w:color="auto" w:fill="auto"/>
                  <w:noWrap w:val="0"/>
                  <w:vAlign w:val="center"/>
                </w:tcPr>
                <w:p w14:paraId="3851AB6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rPr>
                    <w:t>符合</w:t>
                  </w:r>
                </w:p>
              </w:tc>
            </w:tr>
            <w:tr w14:paraId="5DAC4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 w:type="dxa"/>
                  <w:vMerge w:val="continue"/>
                  <w:tcBorders>
                    <w:tl2br w:val="nil"/>
                    <w:tr2bl w:val="nil"/>
                  </w:tcBorders>
                  <w:noWrap w:val="0"/>
                  <w:vAlign w:val="center"/>
                </w:tcPr>
                <w:p w14:paraId="29ADE49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p>
              </w:tc>
              <w:tc>
                <w:tcPr>
                  <w:tcW w:w="1631" w:type="dxa"/>
                  <w:tcBorders>
                    <w:tl2br w:val="nil"/>
                    <w:tr2bl w:val="nil"/>
                  </w:tcBorders>
                  <w:noWrap w:val="0"/>
                  <w:vAlign w:val="center"/>
                </w:tcPr>
                <w:p w14:paraId="6A639E29">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其他资源利用效率要求</w:t>
                  </w:r>
                </w:p>
              </w:tc>
              <w:tc>
                <w:tcPr>
                  <w:tcW w:w="2252" w:type="dxa"/>
                  <w:tcBorders>
                    <w:tl2br w:val="nil"/>
                    <w:tr2bl w:val="nil"/>
                  </w:tcBorders>
                  <w:noWrap w:val="0"/>
                  <w:vAlign w:val="center"/>
                </w:tcPr>
                <w:p w14:paraId="113CC70E">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无</w:t>
                  </w:r>
                </w:p>
              </w:tc>
              <w:tc>
                <w:tcPr>
                  <w:tcW w:w="1759" w:type="dxa"/>
                  <w:tcBorders>
                    <w:tl2br w:val="nil"/>
                    <w:tr2bl w:val="nil"/>
                  </w:tcBorders>
                  <w:noWrap w:val="0"/>
                  <w:vAlign w:val="center"/>
                </w:tcPr>
                <w:p w14:paraId="469215F1">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w:t>
                  </w:r>
                </w:p>
              </w:tc>
              <w:tc>
                <w:tcPr>
                  <w:tcW w:w="425" w:type="dxa"/>
                  <w:tcBorders>
                    <w:tl2br w:val="nil"/>
                    <w:tr2bl w:val="nil"/>
                  </w:tcBorders>
                  <w:noWrap w:val="0"/>
                  <w:vAlign w:val="center"/>
                </w:tcPr>
                <w:p w14:paraId="3799C402">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14:paraId="61211A0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2" w:firstLineChars="200"/>
              <w:jc w:val="both"/>
              <w:textAlignment w:val="auto"/>
              <w:rPr>
                <w:rFonts w:hint="eastAsia" w:ascii="宋体" w:hAnsi="宋体" w:eastAsia="宋体" w:cs="宋体"/>
                <w:b/>
                <w:bCs/>
                <w:color w:val="auto"/>
                <w:highlight w:val="none"/>
                <w:u w:val="none"/>
                <w:lang w:val="en-US" w:eastAsia="zh-CN"/>
              </w:rPr>
            </w:pPr>
            <w:r>
              <w:rPr>
                <w:rFonts w:hint="eastAsia" w:eastAsia="宋体" w:cs="宋体"/>
                <w:b/>
                <w:bCs/>
                <w:color w:val="auto"/>
                <w:highlight w:val="none"/>
                <w:u w:val="none"/>
                <w:lang w:val="en-US" w:eastAsia="zh-CN"/>
              </w:rPr>
              <w:t>5</w:t>
            </w:r>
            <w:r>
              <w:rPr>
                <w:rFonts w:hint="eastAsia" w:ascii="宋体" w:hAnsi="宋体" w:eastAsia="宋体" w:cs="宋体"/>
                <w:b/>
                <w:bCs/>
                <w:color w:val="auto"/>
                <w:highlight w:val="none"/>
                <w:u w:val="none"/>
                <w:lang w:val="en-US" w:eastAsia="zh-CN"/>
              </w:rPr>
              <w:t>、与《九江市关于深入打好污染防治攻坚战的实施方案》（九发〔2022〕6号）相符性分析</w:t>
            </w:r>
          </w:p>
          <w:p w14:paraId="5051EF7F">
            <w:pPr>
              <w:pStyle w:val="3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表1-</w:t>
            </w:r>
            <w:r>
              <w:rPr>
                <w:rFonts w:hint="eastAsia" w:eastAsia="宋体" w:cs="宋体"/>
                <w:b/>
                <w:bCs/>
                <w:color w:val="auto"/>
                <w:sz w:val="21"/>
                <w:szCs w:val="21"/>
                <w:highlight w:val="none"/>
                <w:u w:val="none"/>
                <w:lang w:val="en-US" w:eastAsia="zh-CN"/>
              </w:rPr>
              <w:t>7</w:t>
            </w:r>
            <w:r>
              <w:rPr>
                <w:rFonts w:hint="eastAsia" w:ascii="宋体" w:hAnsi="宋体" w:eastAsia="宋体" w:cs="宋体"/>
                <w:b/>
                <w:bCs/>
                <w:color w:val="auto"/>
                <w:sz w:val="21"/>
                <w:szCs w:val="21"/>
                <w:highlight w:val="none"/>
                <w:u w:val="none"/>
                <w:lang w:val="en-US" w:eastAsia="zh-CN"/>
              </w:rPr>
              <w:t xml:space="preserve">  本项目与九发〔2022〕6号相符性分析</w:t>
            </w:r>
          </w:p>
          <w:tbl>
            <w:tblPr>
              <w:tblStyle w:val="22"/>
              <w:tblpPr w:leftFromText="180" w:rightFromText="180" w:vertAnchor="text" w:horzAnchor="page" w:tblpXSpec="center" w:tblpY="190"/>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1"/>
              <w:gridCol w:w="2254"/>
              <w:gridCol w:w="643"/>
            </w:tblGrid>
            <w:tr w14:paraId="1A0AB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3B3D115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内容</w:t>
                  </w:r>
                </w:p>
              </w:tc>
              <w:tc>
                <w:tcPr>
                  <w:tcW w:w="2250" w:type="dxa"/>
                  <w:tcBorders>
                    <w:tl2br w:val="nil"/>
                    <w:tr2bl w:val="nil"/>
                  </w:tcBorders>
                  <w:vAlign w:val="center"/>
                </w:tcPr>
                <w:p w14:paraId="5E3AA71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符合性分析</w:t>
                  </w:r>
                </w:p>
              </w:tc>
              <w:tc>
                <w:tcPr>
                  <w:tcW w:w="643" w:type="dxa"/>
                  <w:tcBorders>
                    <w:tl2br w:val="nil"/>
                    <w:tr2bl w:val="nil"/>
                  </w:tcBorders>
                  <w:vAlign w:val="center"/>
                </w:tcPr>
                <w:p w14:paraId="532DEEB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符合性</w:t>
                  </w:r>
                </w:p>
              </w:tc>
            </w:tr>
            <w:tr w14:paraId="0E6CF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609F2CF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有力有序推进碳达峰碳中和。将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双碳</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'目标要求全面纳入生态文明建设整体布局。制定实施全市2030年前碳达峰实施方案。加强甲烷等非二氧化碳温室气体排放管控，健全排放源统计调查、核算核查和监管制度，积极做好应对气候变化工作。</w:t>
                  </w:r>
                </w:p>
              </w:tc>
              <w:tc>
                <w:tcPr>
                  <w:tcW w:w="2250" w:type="dxa"/>
                  <w:tcBorders>
                    <w:tl2br w:val="nil"/>
                    <w:tr2bl w:val="nil"/>
                  </w:tcBorders>
                  <w:vAlign w:val="center"/>
                </w:tcPr>
                <w:p w14:paraId="52C8CABA">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lang w:eastAsia="zh-CN"/>
                    </w:rPr>
                    <w:t>本次项目生产设备使用电能，不涉及</w:t>
                  </w:r>
                  <w:r>
                    <w:rPr>
                      <w:rFonts w:hint="eastAsia" w:ascii="Times New Roman" w:hAnsi="Times New Roman" w:eastAsia="宋体"/>
                      <w:color w:val="auto"/>
                      <w:sz w:val="21"/>
                      <w:szCs w:val="21"/>
                      <w:lang w:val="en-US" w:eastAsia="zh-CN"/>
                    </w:rPr>
                    <w:t>甲烷等的排放</w:t>
                  </w:r>
                </w:p>
              </w:tc>
              <w:tc>
                <w:tcPr>
                  <w:tcW w:w="643" w:type="dxa"/>
                  <w:tcBorders>
                    <w:tl2br w:val="nil"/>
                    <w:tr2bl w:val="nil"/>
                  </w:tcBorders>
                  <w:vAlign w:val="center"/>
                </w:tcPr>
                <w:p w14:paraId="47285E06">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5DFBF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214EBDAF">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加快推动产业结构转型升级。实施淘汰落后产能三年行动计划，综合运用法治化、市场化手段，加快淘汰低端、低效和 无效产能。大力实施传统产业转型升级工程，持续推进技改升级，引导重点行业实施清洁生产改造，推进工业园区循环化改造。实施战略性新兴产业倍增工程和未来产业培育发展工程，全力打造新型工业重镇。强化</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三线一单</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分区管控，加强能评、环评等审 批事前事中事后监管，坚决遏制</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两高</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项目盲目发展。到2025 年，全市单位地区生产总值能耗累计降低16%</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全市高新技术产业增加值占规上工业增加值比重不低于38%。</w:t>
                  </w:r>
                </w:p>
              </w:tc>
              <w:tc>
                <w:tcPr>
                  <w:tcW w:w="2250" w:type="dxa"/>
                  <w:tcBorders>
                    <w:tl2br w:val="nil"/>
                    <w:tr2bl w:val="nil"/>
                  </w:tcBorders>
                  <w:vAlign w:val="center"/>
                </w:tcPr>
                <w:p w14:paraId="7CAA81A3">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项目为非金属废料和碎屑加工处理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属于《产业结构调整指导目录（2024年本）》中的</w:t>
                  </w:r>
                  <w:r>
                    <w:rPr>
                      <w:rFonts w:hint="eastAsia" w:ascii="Times New Roman" w:hAnsi="Times New Roman" w:cs="Times New Roman"/>
                      <w:color w:val="auto"/>
                      <w:sz w:val="21"/>
                      <w:szCs w:val="21"/>
                      <w:lang w:val="en-US" w:eastAsia="zh-CN"/>
                    </w:rPr>
                    <w:t>鼓励</w:t>
                  </w:r>
                  <w:r>
                    <w:rPr>
                      <w:rFonts w:hint="eastAsia" w:ascii="Times New Roman" w:hAnsi="Times New Roman" w:eastAsia="宋体" w:cs="Times New Roman"/>
                      <w:color w:val="auto"/>
                      <w:sz w:val="21"/>
                      <w:szCs w:val="21"/>
                      <w:lang w:eastAsia="zh-CN"/>
                    </w:rPr>
                    <w:t>类项目</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pacing w:val="2"/>
                      <w:kern w:val="2"/>
                      <w:sz w:val="21"/>
                      <w:szCs w:val="21"/>
                      <w:lang w:val="en-US" w:eastAsia="zh-CN" w:bidi="ar-SA"/>
                    </w:rPr>
                    <w:t>能耗低于5000吨标煤，</w:t>
                  </w:r>
                  <w:r>
                    <w:rPr>
                      <w:rFonts w:hint="eastAsia" w:ascii="Times New Roman" w:hAnsi="Times New Roman" w:eastAsia="宋体" w:cs="Times New Roman"/>
                      <w:color w:val="auto"/>
                      <w:sz w:val="21"/>
                      <w:szCs w:val="21"/>
                      <w:lang w:eastAsia="zh-CN"/>
                    </w:rPr>
                    <w:t>不属于高耗能高排放项目，</w:t>
                  </w:r>
                  <w:r>
                    <w:rPr>
                      <w:rFonts w:hint="eastAsia" w:ascii="Times New Roman" w:hAnsi="Times New Roman" w:eastAsia="宋体" w:cs="Times New Roman"/>
                      <w:color w:val="auto"/>
                      <w:sz w:val="21"/>
                      <w:szCs w:val="21"/>
                      <w:lang w:val="en-US" w:eastAsia="zh-CN"/>
                    </w:rPr>
                    <w:t>符合“三线一单”分区管控要求</w:t>
                  </w:r>
                </w:p>
              </w:tc>
              <w:tc>
                <w:tcPr>
                  <w:tcW w:w="643" w:type="dxa"/>
                  <w:tcBorders>
                    <w:tl2br w:val="nil"/>
                    <w:tr2bl w:val="nil"/>
                  </w:tcBorders>
                  <w:vAlign w:val="center"/>
                </w:tcPr>
                <w:p w14:paraId="155F486B">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67A8C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12816233">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加快推动能源结构转型升级。在保障能源安全的前提下，鼓励清洁低碳能源替代，提高电能占终端能源消费比重，大力发展可再生能源。到2025年，力争全市非化石能源占一次能源消费比重提高到17.7%。</w:t>
                  </w:r>
                </w:p>
              </w:tc>
              <w:tc>
                <w:tcPr>
                  <w:tcW w:w="2250" w:type="dxa"/>
                  <w:tcBorders>
                    <w:tl2br w:val="nil"/>
                    <w:tr2bl w:val="nil"/>
                  </w:tcBorders>
                  <w:vAlign w:val="center"/>
                </w:tcPr>
                <w:p w14:paraId="0218C0F0">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lang w:eastAsia="zh-CN"/>
                    </w:rPr>
                    <w:t>项目使用清洁能源</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电能）</w:t>
                  </w:r>
                </w:p>
              </w:tc>
              <w:tc>
                <w:tcPr>
                  <w:tcW w:w="643" w:type="dxa"/>
                  <w:tcBorders>
                    <w:tl2br w:val="nil"/>
                    <w:tr2bl w:val="nil"/>
                  </w:tcBorders>
                  <w:vAlign w:val="center"/>
                </w:tcPr>
                <w:p w14:paraId="617ECFC5">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37715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4E35CB23">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着力推进臭氧污染防治。大力推进挥发性有机物和氮氧化物源头协同减排，加强消耗臭氧层物质和氢氟碳化物环境管理，推进企业升级改造和区域环境综合整治。实施溶剂型工业涂料等清洁原料替代。</w:t>
                  </w:r>
                </w:p>
              </w:tc>
              <w:tc>
                <w:tcPr>
                  <w:tcW w:w="2250" w:type="dxa"/>
                  <w:tcBorders>
                    <w:tl2br w:val="nil"/>
                    <w:tr2bl w:val="nil"/>
                  </w:tcBorders>
                  <w:vAlign w:val="center"/>
                </w:tcPr>
                <w:p w14:paraId="089F750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lang w:val="en-US" w:eastAsia="zh-CN" w:bidi="ar-SA"/>
                    </w:rPr>
                    <w:t>本项目</w:t>
                  </w:r>
                  <w:r>
                    <w:rPr>
                      <w:rFonts w:hint="eastAsia"/>
                      <w:color w:val="auto"/>
                      <w:sz w:val="21"/>
                      <w:szCs w:val="21"/>
                    </w:rPr>
                    <w:t>原料</w:t>
                  </w:r>
                  <w:r>
                    <w:rPr>
                      <w:rFonts w:hint="eastAsia" w:eastAsia="宋体"/>
                      <w:color w:val="auto"/>
                      <w:sz w:val="21"/>
                      <w:szCs w:val="21"/>
                      <w:lang w:val="en-US" w:eastAsia="zh-CN"/>
                    </w:rPr>
                    <w:t>为</w:t>
                  </w:r>
                  <w:r>
                    <w:rPr>
                      <w:rFonts w:hint="eastAsia"/>
                      <w:color w:val="auto"/>
                      <w:sz w:val="21"/>
                      <w:szCs w:val="21"/>
                    </w:rPr>
                    <w:t>废</w:t>
                  </w:r>
                  <w:r>
                    <w:rPr>
                      <w:color w:val="auto"/>
                      <w:sz w:val="21"/>
                      <w:szCs w:val="21"/>
                    </w:rPr>
                    <w:t>PP</w:t>
                  </w:r>
                  <w:r>
                    <w:rPr>
                      <w:rFonts w:hint="eastAsia"/>
                      <w:color w:val="auto"/>
                      <w:sz w:val="21"/>
                      <w:szCs w:val="21"/>
                    </w:rPr>
                    <w:t>、</w:t>
                  </w:r>
                  <w:r>
                    <w:rPr>
                      <w:color w:val="auto"/>
                      <w:sz w:val="21"/>
                      <w:szCs w:val="21"/>
                    </w:rPr>
                    <w:t>PE</w:t>
                  </w:r>
                  <w:r>
                    <w:rPr>
                      <w:rFonts w:hint="eastAsia" w:eastAsia="宋体"/>
                      <w:color w:val="auto"/>
                      <w:sz w:val="21"/>
                      <w:szCs w:val="21"/>
                      <w:lang w:eastAsia="zh-CN"/>
                    </w:rPr>
                    <w:t>、</w:t>
                  </w:r>
                  <w:r>
                    <w:rPr>
                      <w:rFonts w:hint="eastAsia" w:eastAsia="宋体"/>
                      <w:color w:val="auto"/>
                      <w:sz w:val="21"/>
                      <w:szCs w:val="21"/>
                      <w:lang w:val="en-US" w:eastAsia="zh-CN"/>
                    </w:rPr>
                    <w:t>ABS</w:t>
                  </w:r>
                  <w:r>
                    <w:rPr>
                      <w:rFonts w:hint="eastAsia"/>
                      <w:color w:val="auto"/>
                      <w:sz w:val="21"/>
                      <w:szCs w:val="21"/>
                    </w:rPr>
                    <w:t>塑料，不</w:t>
                  </w:r>
                  <w:r>
                    <w:rPr>
                      <w:rFonts w:hint="eastAsia" w:eastAsia="宋体"/>
                      <w:color w:val="auto"/>
                      <w:sz w:val="21"/>
                      <w:szCs w:val="21"/>
                      <w:lang w:val="en-US" w:eastAsia="zh-CN"/>
                    </w:rPr>
                    <w:t>使用</w:t>
                  </w:r>
                  <w:r>
                    <w:rPr>
                      <w:rFonts w:hint="eastAsia" w:ascii="宋体" w:hAnsi="宋体" w:cs="宋体"/>
                      <w:color w:val="auto"/>
                      <w:spacing w:val="-2"/>
                      <w:sz w:val="21"/>
                      <w:szCs w:val="21"/>
                    </w:rPr>
                    <w:t>溶剂型工业涂料</w:t>
                  </w:r>
                  <w:r>
                    <w:rPr>
                      <w:rFonts w:hint="eastAsia" w:ascii="Times New Roman" w:hAnsi="Times New Roman"/>
                      <w:color w:val="auto"/>
                      <w:sz w:val="21"/>
                      <w:szCs w:val="21"/>
                      <w:lang w:eastAsia="zh-CN"/>
                    </w:rPr>
                    <w:t>，</w:t>
                  </w:r>
                  <w:r>
                    <w:rPr>
                      <w:rFonts w:ascii="Times New Roman" w:hAnsi="Times New Roman" w:eastAsia="宋体"/>
                      <w:color w:val="auto"/>
                      <w:sz w:val="21"/>
                      <w:szCs w:val="21"/>
                    </w:rPr>
                    <w:t>项目产生的</w:t>
                  </w:r>
                  <w:r>
                    <w:rPr>
                      <w:rFonts w:hint="eastAsia" w:ascii="Times New Roman" w:hAnsi="Times New Roman" w:eastAsia="宋体"/>
                      <w:color w:val="auto"/>
                      <w:sz w:val="21"/>
                      <w:szCs w:val="21"/>
                      <w:lang w:eastAsia="zh-CN"/>
                    </w:rPr>
                    <w:t>废气经处理后均能实现达标排放</w:t>
                  </w:r>
                </w:p>
                <w:p w14:paraId="7AC3BEF2">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p>
              </w:tc>
              <w:tc>
                <w:tcPr>
                  <w:tcW w:w="643" w:type="dxa"/>
                  <w:tcBorders>
                    <w:tl2br w:val="nil"/>
                    <w:tr2bl w:val="nil"/>
                  </w:tcBorders>
                  <w:vAlign w:val="center"/>
                </w:tcPr>
                <w:p w14:paraId="691C7609">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63E8C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498CC91A">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强化“四尘”防治。强化施工扬尘精细管控，落实施工现 场扬尘治理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六个100%</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要求。强化道路扬尘精细管控，提高城市道路机扫率。强化运输扬尘精细管控，规范铁路、公路、港口等 货运管理。强化堆场扬尘精细管控。</w:t>
                  </w:r>
                </w:p>
              </w:tc>
              <w:tc>
                <w:tcPr>
                  <w:tcW w:w="2250" w:type="dxa"/>
                  <w:tcBorders>
                    <w:tl2br w:val="nil"/>
                    <w:tr2bl w:val="nil"/>
                  </w:tcBorders>
                  <w:vAlign w:val="center"/>
                </w:tcPr>
                <w:p w14:paraId="37C1559A">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ascii="Times New Roman" w:hAnsi="Times New Roman" w:eastAsia="宋体"/>
                      <w:color w:val="auto"/>
                      <w:sz w:val="21"/>
                      <w:szCs w:val="21"/>
                      <w:highlight w:val="none"/>
                    </w:rPr>
                    <w:t>本项目</w:t>
                  </w:r>
                  <w:r>
                    <w:rPr>
                      <w:rFonts w:hint="eastAsia" w:ascii="Times New Roman" w:hAnsi="Times New Roman" w:eastAsia="宋体"/>
                      <w:color w:val="auto"/>
                      <w:sz w:val="21"/>
                      <w:szCs w:val="21"/>
                      <w:highlight w:val="none"/>
                      <w:lang w:eastAsia="zh-CN"/>
                    </w:rPr>
                    <w:t>厂房已建成，不涉及施工期土建</w:t>
                  </w:r>
                </w:p>
              </w:tc>
              <w:tc>
                <w:tcPr>
                  <w:tcW w:w="643" w:type="dxa"/>
                  <w:tcBorders>
                    <w:tl2br w:val="nil"/>
                    <w:tr2bl w:val="nil"/>
                  </w:tcBorders>
                  <w:vAlign w:val="center"/>
                </w:tcPr>
                <w:p w14:paraId="6FB01A55">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16EE2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4E8A42CC">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强化“三气”防治。强化工业废气精细管控，强化机动车 尾气精细管控，持续打好柴油货车污染治理攻坚战，基本淘汰国 三及以下排放标准汽车。强化燃煤锅炉废气精细管控，不再审批35蒸吨/小时及以下燃煤锅炉，不再新增燃煤导热油炉，鼓励现 有燃煤锅炉、导热油炉改为清洁能源。推广工业园区集中供热，推动淘汰工业园区集中供热范围内分散燃煤锅炉。</w:t>
                  </w:r>
                </w:p>
              </w:tc>
              <w:tc>
                <w:tcPr>
                  <w:tcW w:w="2250" w:type="dxa"/>
                  <w:tcBorders>
                    <w:tl2br w:val="nil"/>
                    <w:tr2bl w:val="nil"/>
                  </w:tcBorders>
                  <w:vAlign w:val="center"/>
                </w:tcPr>
                <w:p w14:paraId="7975655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highlight w:val="cyan"/>
                      <w:lang w:val="en-US" w:eastAsia="zh-CN" w:bidi="ar-SA"/>
                    </w:rPr>
                  </w:pPr>
                  <w:r>
                    <w:rPr>
                      <w:rFonts w:ascii="Times New Roman" w:hAnsi="Times New Roman" w:eastAsia="宋体"/>
                      <w:color w:val="auto"/>
                      <w:sz w:val="21"/>
                      <w:szCs w:val="21"/>
                      <w:highlight w:val="none"/>
                    </w:rPr>
                    <w:t>项目使用</w:t>
                  </w:r>
                  <w:r>
                    <w:rPr>
                      <w:rFonts w:hint="eastAsia" w:ascii="Times New Roman" w:hAnsi="Times New Roman"/>
                      <w:color w:val="auto"/>
                      <w:sz w:val="21"/>
                      <w:szCs w:val="21"/>
                      <w:highlight w:val="none"/>
                      <w:lang w:val="en-US" w:eastAsia="zh-CN"/>
                    </w:rPr>
                    <w:t>电</w:t>
                  </w:r>
                  <w:r>
                    <w:rPr>
                      <w:rFonts w:hint="eastAsia" w:ascii="Times New Roman" w:hAnsi="Times New Roman" w:eastAsia="宋体"/>
                      <w:color w:val="auto"/>
                      <w:sz w:val="21"/>
                      <w:szCs w:val="21"/>
                      <w:highlight w:val="none"/>
                      <w:lang w:eastAsia="zh-CN"/>
                    </w:rPr>
                    <w:t>能源属清洁能源，不使用燃煤锅炉</w:t>
                  </w:r>
                </w:p>
              </w:tc>
              <w:tc>
                <w:tcPr>
                  <w:tcW w:w="643" w:type="dxa"/>
                  <w:tcBorders>
                    <w:tl2br w:val="nil"/>
                    <w:tr2bl w:val="nil"/>
                  </w:tcBorders>
                  <w:vAlign w:val="center"/>
                </w:tcPr>
                <w:p w14:paraId="64C83A2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665AB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74223191">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加强污水收集处理。开展城市老旧破损和易造成积水内涝问题的污水管网、雨污合流制管网诊断修复更新，有序推进 管网错接混接漏接改造。加快补齐县（市、区）污水收集处理能力 缺口。持续提升工业园区污水收集处理水平，推进园区污水处理设施一级A提标改造。推进污泥减量化资源化无害化处置。</w:t>
                  </w:r>
                </w:p>
              </w:tc>
              <w:tc>
                <w:tcPr>
                  <w:tcW w:w="2250" w:type="dxa"/>
                  <w:tcBorders>
                    <w:tl2br w:val="nil"/>
                    <w:tr2bl w:val="nil"/>
                  </w:tcBorders>
                  <w:vAlign w:val="center"/>
                </w:tcPr>
                <w:p w14:paraId="78B549DD">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highlight w:val="cyan"/>
                      <w:lang w:val="en-US" w:eastAsia="zh-CN" w:bidi="ar-SA"/>
                    </w:rPr>
                  </w:pPr>
                  <w:r>
                    <w:rPr>
                      <w:rFonts w:hint="eastAsia" w:hAnsi="宋体" w:eastAsia="宋体" w:cs="宋体"/>
                      <w:b w:val="0"/>
                      <w:bCs w:val="0"/>
                      <w:color w:val="auto"/>
                      <w:sz w:val="21"/>
                      <w:szCs w:val="21"/>
                      <w:highlight w:val="none"/>
                      <w:lang w:eastAsia="zh-CN"/>
                    </w:rPr>
                    <w:t>项目生产废水经厂区新建污水处理站处理后与经化粪池处理后的生活污水一并排入</w:t>
                  </w:r>
                  <w:r>
                    <w:rPr>
                      <w:rFonts w:hint="eastAsia" w:hAnsi="宋体" w:eastAsia="宋体" w:cs="宋体"/>
                      <w:b w:val="0"/>
                      <w:bCs w:val="0"/>
                      <w:color w:val="auto"/>
                      <w:sz w:val="21"/>
                      <w:szCs w:val="21"/>
                      <w:highlight w:val="none"/>
                      <w:lang w:val="en-US" w:eastAsia="zh-CN"/>
                    </w:rPr>
                    <w:t>星火</w:t>
                  </w:r>
                  <w:r>
                    <w:rPr>
                      <w:rFonts w:hint="eastAsia" w:hAnsi="宋体" w:eastAsia="宋体" w:cs="宋体"/>
                      <w:b w:val="0"/>
                      <w:bCs w:val="0"/>
                      <w:color w:val="auto"/>
                      <w:sz w:val="21"/>
                      <w:szCs w:val="21"/>
                      <w:highlight w:val="none"/>
                      <w:lang w:eastAsia="zh-CN"/>
                    </w:rPr>
                    <w:t>工业园污水处理厂处理后，达到</w:t>
                  </w:r>
                  <w:r>
                    <w:rPr>
                      <w:rFonts w:hint="eastAsia" w:hAnsi="宋体" w:eastAsia="宋体" w:cs="宋体"/>
                      <w:b w:val="0"/>
                      <w:bCs w:val="0"/>
                      <w:color w:val="auto"/>
                      <w:sz w:val="21"/>
                      <w:szCs w:val="21"/>
                      <w:highlight w:val="none"/>
                      <w:lang w:val="en-US" w:eastAsia="zh-CN"/>
                    </w:rPr>
                    <w:t>到《城镇污水处理厂污染物排放标准》（GB18918-2002） 表1中一级A标</w:t>
                  </w:r>
                </w:p>
              </w:tc>
              <w:tc>
                <w:tcPr>
                  <w:tcW w:w="643" w:type="dxa"/>
                  <w:tcBorders>
                    <w:tl2br w:val="nil"/>
                    <w:tr2bl w:val="nil"/>
                  </w:tcBorders>
                  <w:vAlign w:val="center"/>
                </w:tcPr>
                <w:p w14:paraId="671B1885">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1B2C0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3F382206">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推进耕地污染防治和安全利用。强化土壤污染源头控制，开展耕地污染成因识别和排查，持续推进耕地周边涉镉等重金属重点行业企业排查整治。推进农用地安全利用示范工作，建立受污染耕地安全利用成效跟踪机制，动态调整耕地土壤环境质量类别。到2025年，受污染耕地安全利用率达到93%以上。</w:t>
                  </w:r>
                </w:p>
              </w:tc>
              <w:tc>
                <w:tcPr>
                  <w:tcW w:w="2250" w:type="dxa"/>
                  <w:tcBorders>
                    <w:tl2br w:val="nil"/>
                    <w:tr2bl w:val="nil"/>
                  </w:tcBorders>
                  <w:vAlign w:val="center"/>
                </w:tcPr>
                <w:p w14:paraId="6C8073FD">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ascii="Times New Roman" w:hAnsi="Times New Roman" w:eastAsia="宋体"/>
                      <w:color w:val="auto"/>
                      <w:sz w:val="21"/>
                      <w:szCs w:val="21"/>
                    </w:rPr>
                    <w:t>本项目</w:t>
                  </w:r>
                  <w:r>
                    <w:rPr>
                      <w:rFonts w:hint="eastAsia" w:ascii="Times New Roman" w:hAnsi="Times New Roman" w:eastAsia="宋体"/>
                      <w:color w:val="auto"/>
                      <w:sz w:val="21"/>
                      <w:szCs w:val="21"/>
                      <w:lang w:eastAsia="zh-CN"/>
                    </w:rPr>
                    <w:t>不涉及农用地</w:t>
                  </w:r>
                </w:p>
              </w:tc>
              <w:tc>
                <w:tcPr>
                  <w:tcW w:w="643" w:type="dxa"/>
                  <w:tcBorders>
                    <w:tl2br w:val="nil"/>
                    <w:tr2bl w:val="nil"/>
                  </w:tcBorders>
                  <w:vAlign w:val="center"/>
                </w:tcPr>
                <w:p w14:paraId="402CA13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389D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3072373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推进建设用地风险管控和修复治理。从严管控重度污染地块规划用途，动态更新污染地块土壤环境管理信息，严格名录内地块建设用地准入管理。推进危险化学品生产企业搬迁改造和腾退地块风险管控与修复。</w:t>
                  </w:r>
                </w:p>
              </w:tc>
              <w:tc>
                <w:tcPr>
                  <w:tcW w:w="2250" w:type="dxa"/>
                  <w:tcBorders>
                    <w:tl2br w:val="nil"/>
                    <w:tr2bl w:val="nil"/>
                  </w:tcBorders>
                  <w:vAlign w:val="center"/>
                </w:tcPr>
                <w:p w14:paraId="66C85DF2">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lang w:eastAsia="zh-CN"/>
                    </w:rPr>
                    <w:t>本项目不属于</w:t>
                  </w:r>
                  <w:r>
                    <w:rPr>
                      <w:rFonts w:hint="eastAsia" w:ascii="Times New Roman" w:hAnsi="Times New Roman" w:eastAsia="宋体"/>
                      <w:color w:val="auto"/>
                      <w:sz w:val="21"/>
                      <w:szCs w:val="21"/>
                    </w:rPr>
                    <w:t>危险化学品生产企业</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土壤环境影响微小</w:t>
                  </w:r>
                </w:p>
              </w:tc>
              <w:tc>
                <w:tcPr>
                  <w:tcW w:w="643" w:type="dxa"/>
                  <w:tcBorders>
                    <w:tl2br w:val="nil"/>
                    <w:tr2bl w:val="nil"/>
                  </w:tcBorders>
                  <w:vAlign w:val="center"/>
                </w:tcPr>
                <w:p w14:paraId="4969D83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8466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0E8DF799">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推进地下水污染管控和修复。持续开展地下水环境状 况调查评估，加强地下水型饮用水水源补给区划定和保护，健全地下水环境信息共享机制，逐步完善地下水监测网络体系与评价体系。推进化工园区等重点污染源地下水污染风险管控、长江经济带地下水环境状况调查及风险评估项目，实施土壤地下水污染协同防治。</w:t>
                  </w:r>
                </w:p>
              </w:tc>
              <w:tc>
                <w:tcPr>
                  <w:tcW w:w="2250" w:type="dxa"/>
                  <w:tcBorders>
                    <w:tl2br w:val="nil"/>
                    <w:tr2bl w:val="nil"/>
                  </w:tcBorders>
                  <w:vAlign w:val="center"/>
                </w:tcPr>
                <w:p w14:paraId="313E8F8B">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lang w:eastAsia="zh-CN"/>
                    </w:rPr>
                    <w:t>本项目拟做好分区防渗措施，建设运营对地下水影响较小</w:t>
                  </w:r>
                </w:p>
              </w:tc>
              <w:tc>
                <w:tcPr>
                  <w:tcW w:w="643" w:type="dxa"/>
                  <w:tcBorders>
                    <w:tl2br w:val="nil"/>
                    <w:tr2bl w:val="nil"/>
                  </w:tcBorders>
                  <w:vAlign w:val="center"/>
                </w:tcPr>
                <w:p w14:paraId="2B6EE67C">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24D76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3E1DEE3D">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提升危险废物收集与利用处置能力。按照</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总量控制、适度超前</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的原则布局危险废物利用处置设施。推进危险废物</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点对点</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定向利用。全面禁止进口“洋垃圾”。依法严厉打击危险 废物非法转移、倾倒、处置等环境违法犯罪行为。加强医疗废物 分类管理。</w:t>
                  </w:r>
                </w:p>
              </w:tc>
              <w:tc>
                <w:tcPr>
                  <w:tcW w:w="2250" w:type="dxa"/>
                  <w:tcBorders>
                    <w:tl2br w:val="nil"/>
                    <w:tr2bl w:val="nil"/>
                  </w:tcBorders>
                  <w:vAlign w:val="center"/>
                </w:tcPr>
                <w:p w14:paraId="24C3C3C5">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ascii="Times New Roman" w:hAnsi="Times New Roman" w:eastAsia="宋体"/>
                      <w:color w:val="auto"/>
                      <w:sz w:val="21"/>
                      <w:szCs w:val="21"/>
                    </w:rPr>
                    <w:t>本项目</w:t>
                  </w:r>
                  <w:r>
                    <w:rPr>
                      <w:rFonts w:hint="eastAsia" w:ascii="Times New Roman" w:hAnsi="Times New Roman" w:eastAsia="宋体"/>
                      <w:color w:val="auto"/>
                      <w:sz w:val="21"/>
                      <w:szCs w:val="21"/>
                      <w:lang w:eastAsia="zh-CN"/>
                    </w:rPr>
                    <w:t>危险废物收集与利用处置均按危废相应标准暂存、转移处置</w:t>
                  </w:r>
                </w:p>
              </w:tc>
              <w:tc>
                <w:tcPr>
                  <w:tcW w:w="643" w:type="dxa"/>
                  <w:tcBorders>
                    <w:tl2br w:val="nil"/>
                    <w:tr2bl w:val="nil"/>
                  </w:tcBorders>
                  <w:vAlign w:val="center"/>
                </w:tcPr>
                <w:p w14:paraId="2BC1505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6940D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1CB53EE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开展重金属和尾矿库污染综合治理。推进重点重金 属减排，加强重金属污染综合治理，推进重点行业企业废水总驼 治理。加强尾矿库环境风险隐患排查治理。</w:t>
                  </w:r>
                </w:p>
              </w:tc>
              <w:tc>
                <w:tcPr>
                  <w:tcW w:w="2250" w:type="dxa"/>
                  <w:tcBorders>
                    <w:tl2br w:val="nil"/>
                    <w:tr2bl w:val="nil"/>
                  </w:tcBorders>
                  <w:vAlign w:val="center"/>
                </w:tcPr>
                <w:p w14:paraId="3810B1D8">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ascii="Times New Roman" w:hAnsi="Times New Roman" w:eastAsia="宋体"/>
                      <w:color w:val="auto"/>
                      <w:sz w:val="21"/>
                      <w:szCs w:val="21"/>
                    </w:rPr>
                    <w:t>本项目不涉及重金属排放</w:t>
                  </w:r>
                </w:p>
              </w:tc>
              <w:tc>
                <w:tcPr>
                  <w:tcW w:w="643" w:type="dxa"/>
                  <w:tcBorders>
                    <w:tl2br w:val="nil"/>
                    <w:tr2bl w:val="nil"/>
                  </w:tcBorders>
                  <w:vAlign w:val="center"/>
                </w:tcPr>
                <w:p w14:paraId="60E3C57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452F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2654C309">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olor w:val="auto"/>
                      <w:sz w:val="21"/>
                      <w:szCs w:val="21"/>
                    </w:rPr>
                    <w:t>确保核与辐射安全。强化核技术利用辐射安全监管， 严格核技术利用项目行政许可。加强辐射事故应急能力建设。到2025年，全市放射源辐射事故年发生率低于1.3起/每万枚。</w:t>
                  </w:r>
                </w:p>
              </w:tc>
              <w:tc>
                <w:tcPr>
                  <w:tcW w:w="2250" w:type="dxa"/>
                  <w:tcBorders>
                    <w:tl2br w:val="nil"/>
                    <w:tr2bl w:val="nil"/>
                  </w:tcBorders>
                  <w:vAlign w:val="center"/>
                </w:tcPr>
                <w:p w14:paraId="4E663FB2">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ascii="Times New Roman" w:hAnsi="Times New Roman" w:eastAsia="宋体"/>
                      <w:color w:val="auto"/>
                      <w:sz w:val="21"/>
                      <w:szCs w:val="21"/>
                    </w:rPr>
                    <w:t>本</w:t>
                  </w:r>
                  <w:r>
                    <w:rPr>
                      <w:rFonts w:hint="eastAsia" w:ascii="Times New Roman" w:hAnsi="Times New Roman" w:eastAsia="宋体"/>
                      <w:color w:val="auto"/>
                      <w:sz w:val="21"/>
                      <w:szCs w:val="21"/>
                      <w:lang w:eastAsia="zh-CN"/>
                    </w:rPr>
                    <w:t>次评价</w:t>
                  </w:r>
                  <w:r>
                    <w:rPr>
                      <w:rFonts w:ascii="Times New Roman" w:hAnsi="Times New Roman" w:eastAsia="宋体"/>
                      <w:color w:val="auto"/>
                      <w:sz w:val="21"/>
                      <w:szCs w:val="21"/>
                    </w:rPr>
                    <w:t>不涉及核与辐射安全</w:t>
                  </w:r>
                </w:p>
              </w:tc>
              <w:tc>
                <w:tcPr>
                  <w:tcW w:w="643" w:type="dxa"/>
                  <w:tcBorders>
                    <w:tl2br w:val="nil"/>
                    <w:tr2bl w:val="nil"/>
                  </w:tcBorders>
                  <w:vAlign w:val="center"/>
                </w:tcPr>
                <w:p w14:paraId="2E3A8DC4">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bl>
          <w:p w14:paraId="60F926A2">
            <w:pPr>
              <w:keepNext w:val="0"/>
              <w:keepLines w:val="0"/>
              <w:pageBreakBefore w:val="0"/>
              <w:widowControl/>
              <w:suppressLineNumbers w:val="0"/>
              <w:kinsoku/>
              <w:wordWrap/>
              <w:overflowPunct/>
              <w:topLinePunct w:val="0"/>
              <w:bidi w:val="0"/>
              <w:adjustRightInd/>
              <w:snapToGrid/>
              <w:spacing w:line="360" w:lineRule="auto"/>
              <w:ind w:firstLine="496" w:firstLineChars="200"/>
              <w:jc w:val="left"/>
              <w:textAlignment w:val="auto"/>
              <w:rPr>
                <w:rFonts w:hint="eastAsia" w:asciiTheme="minorEastAsia" w:hAnsiTheme="minorEastAsia" w:eastAsiaTheme="minorEastAsia" w:cstheme="minorEastAsia"/>
                <w:b/>
                <w:bCs/>
                <w:color w:val="auto"/>
                <w:kern w:val="0"/>
                <w:sz w:val="24"/>
                <w:szCs w:val="24"/>
                <w:lang w:val="en-US" w:eastAsia="zh-CN"/>
              </w:rPr>
            </w:pPr>
            <w:r>
              <w:rPr>
                <w:rFonts w:hint="default" w:ascii="Times New Roman" w:hAnsi="Times New Roman" w:eastAsia="宋体" w:cs="Times New Roman"/>
                <w:color w:val="auto"/>
                <w:spacing w:val="4"/>
                <w:kern w:val="18"/>
                <w:sz w:val="24"/>
                <w:szCs w:val="24"/>
                <w:lang w:val="en-US" w:eastAsia="zh-CN" w:bidi="ar-SA"/>
              </w:rPr>
              <w:t>综上所述，项目建设与《九江市深入打好污染防治攻坚战实施方案》（九发〔2022〕6号文）相符。</w:t>
            </w:r>
          </w:p>
          <w:p w14:paraId="0F5FAF3D">
            <w:pPr>
              <w:keepNext w:val="0"/>
              <w:keepLines w:val="0"/>
              <w:pageBreakBefore w:val="0"/>
              <w:widowControl/>
              <w:suppressLineNumbers w:val="0"/>
              <w:kinsoku/>
              <w:wordWrap/>
              <w:overflowPunct/>
              <w:topLinePunct w:val="0"/>
              <w:bidi w:val="0"/>
              <w:adjustRightInd/>
              <w:snapToGrid/>
              <w:spacing w:line="360" w:lineRule="auto"/>
              <w:ind w:firstLine="482"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kern w:val="0"/>
                <w:sz w:val="24"/>
                <w:szCs w:val="24"/>
                <w:lang w:val="en-US" w:eastAsia="zh-CN"/>
              </w:rPr>
              <w:t>6、</w:t>
            </w:r>
            <w:r>
              <w:rPr>
                <w:rFonts w:hint="eastAsia" w:asciiTheme="minorEastAsia" w:hAnsiTheme="minorEastAsia" w:eastAsiaTheme="minorEastAsia" w:cstheme="minorEastAsia"/>
                <w:b/>
                <w:bCs/>
                <w:color w:val="auto"/>
                <w:kern w:val="0"/>
                <w:sz w:val="24"/>
                <w:szCs w:val="24"/>
                <w:lang w:val="en-US" w:eastAsia="zh-CN" w:bidi="ar"/>
              </w:rPr>
              <w:t>与《废塑料污染控制技术规范》（HJ364-2022）的相符性分析</w:t>
            </w:r>
          </w:p>
          <w:p w14:paraId="7F81A3F9">
            <w:pPr>
              <w:pStyle w:val="3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表1-</w:t>
            </w:r>
            <w:r>
              <w:rPr>
                <w:rFonts w:hint="eastAsia" w:eastAsia="宋体" w:cs="宋体"/>
                <w:b/>
                <w:bCs/>
                <w:color w:val="auto"/>
                <w:sz w:val="21"/>
                <w:szCs w:val="21"/>
                <w:highlight w:val="none"/>
                <w:u w:val="none"/>
                <w:lang w:val="en-US" w:eastAsia="zh-CN"/>
              </w:rPr>
              <w:t>8</w:t>
            </w:r>
            <w:r>
              <w:rPr>
                <w:rFonts w:hint="eastAsia" w:ascii="宋体" w:hAnsi="宋体" w:eastAsia="宋体" w:cs="宋体"/>
                <w:b/>
                <w:bCs/>
                <w:color w:val="auto"/>
                <w:sz w:val="21"/>
                <w:szCs w:val="21"/>
                <w:highlight w:val="none"/>
                <w:u w:val="none"/>
                <w:lang w:val="en-US" w:eastAsia="zh-CN"/>
              </w:rPr>
              <w:t xml:space="preserve">  本项目与《废塑料污染控制技术规范》（HJ364-2022）相符性分析</w:t>
            </w:r>
          </w:p>
          <w:tbl>
            <w:tblPr>
              <w:tblStyle w:val="22"/>
              <w:tblpPr w:leftFromText="180" w:rightFromText="180" w:vertAnchor="text" w:horzAnchor="page" w:tblpXSpec="center" w:tblpY="190"/>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1"/>
              <w:gridCol w:w="2254"/>
              <w:gridCol w:w="643"/>
            </w:tblGrid>
            <w:tr w14:paraId="47B37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20EE5877">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内容</w:t>
                  </w:r>
                </w:p>
              </w:tc>
              <w:tc>
                <w:tcPr>
                  <w:tcW w:w="2250" w:type="dxa"/>
                  <w:tcBorders>
                    <w:tl2br w:val="nil"/>
                    <w:tr2bl w:val="nil"/>
                  </w:tcBorders>
                  <w:vAlign w:val="center"/>
                </w:tcPr>
                <w:p w14:paraId="0C88814E">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符合性分析</w:t>
                  </w:r>
                </w:p>
              </w:tc>
              <w:tc>
                <w:tcPr>
                  <w:tcW w:w="643" w:type="dxa"/>
                  <w:tcBorders>
                    <w:tl2br w:val="nil"/>
                    <w:tr2bl w:val="nil"/>
                  </w:tcBorders>
                  <w:vAlign w:val="center"/>
                </w:tcPr>
                <w:p w14:paraId="6AE3E322">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符合性</w:t>
                  </w:r>
                </w:p>
              </w:tc>
            </w:tr>
            <w:tr w14:paraId="19B41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6CD5E32B">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涉及废塑料的产生、收集、运输、贮存、利用、处置的单位和其他生产经营者，应根据产生的污染物采取防扬散、防流失、防渗漏或者其他防止污染环境的措施，并执行国家和地方相关排放标准；</w:t>
                  </w:r>
                </w:p>
              </w:tc>
              <w:tc>
                <w:tcPr>
                  <w:tcW w:w="2250" w:type="dxa"/>
                  <w:tcBorders>
                    <w:tl2br w:val="nil"/>
                    <w:tr2bl w:val="nil"/>
                  </w:tcBorders>
                  <w:vAlign w:val="center"/>
                </w:tcPr>
                <w:p w14:paraId="0CBA741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项目原料、成品在储库储存，厂区采取分区防渗，符合防扬散、防渗漏、防流失要求</w:t>
                  </w:r>
                </w:p>
              </w:tc>
              <w:tc>
                <w:tcPr>
                  <w:tcW w:w="643" w:type="dxa"/>
                  <w:tcBorders>
                    <w:tl2br w:val="nil"/>
                    <w:tr2bl w:val="nil"/>
                  </w:tcBorders>
                  <w:vAlign w:val="center"/>
                </w:tcPr>
                <w:p w14:paraId="6BCE4E8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199CC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43D0C39A">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废塑料的产生、收集、贮存、预处理和再生利用企业内应单独划分贮存场地，不同种类的废塑料宜分开贮存，贮存场地应具有防雨、防扬散、防渗漏等措施，并按GB15562.2的要求设置标识；</w:t>
                  </w:r>
                </w:p>
              </w:tc>
              <w:tc>
                <w:tcPr>
                  <w:tcW w:w="2250" w:type="dxa"/>
                  <w:tcBorders>
                    <w:tl2br w:val="nil"/>
                    <w:tr2bl w:val="nil"/>
                  </w:tcBorders>
                  <w:vAlign w:val="center"/>
                </w:tcPr>
                <w:p w14:paraId="47FC0FF0">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项目原料按类别在原料库储存，划分单独 的设置标识贮存场地，不同种类的废塑料宜分开贮存，贮存场地具有防雨、防扬散、防渗漏等措施，并按GB15562.2的要求设置标识</w:t>
                  </w:r>
                </w:p>
              </w:tc>
              <w:tc>
                <w:tcPr>
                  <w:tcW w:w="643" w:type="dxa"/>
                  <w:tcBorders>
                    <w:tl2br w:val="nil"/>
                    <w:tr2bl w:val="nil"/>
                  </w:tcBorders>
                  <w:vAlign w:val="center"/>
                </w:tcPr>
                <w:p w14:paraId="0C8DDAAB">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86B0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4992BF3E">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含卤素废塑料的预处理与再生利用，宜与其他废塑料分开进行；</w:t>
                  </w:r>
                </w:p>
              </w:tc>
              <w:tc>
                <w:tcPr>
                  <w:tcW w:w="2250" w:type="dxa"/>
                  <w:tcBorders>
                    <w:tl2br w:val="nil"/>
                    <w:tr2bl w:val="nil"/>
                  </w:tcBorders>
                  <w:vAlign w:val="center"/>
                </w:tcPr>
                <w:p w14:paraId="1224504C">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本项目原料为聚丙烯、聚乙烯废旧塑料，不回收含卤素废塑料</w:t>
                  </w:r>
                </w:p>
              </w:tc>
              <w:tc>
                <w:tcPr>
                  <w:tcW w:w="643" w:type="dxa"/>
                  <w:tcBorders>
                    <w:tl2br w:val="nil"/>
                    <w:tr2bl w:val="nil"/>
                  </w:tcBorders>
                  <w:vAlign w:val="center"/>
                </w:tcPr>
                <w:p w14:paraId="1C7B0EAD">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505A6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03E0DCF9">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废塑料的收集、再生利用和处置企业，应建立废塑料管理台账，内容包括废塑料的来源、种类、数量、去向等，相关台账应保存至少3年；</w:t>
                  </w:r>
                </w:p>
              </w:tc>
              <w:tc>
                <w:tcPr>
                  <w:tcW w:w="2250" w:type="dxa"/>
                  <w:tcBorders>
                    <w:tl2br w:val="nil"/>
                    <w:tr2bl w:val="nil"/>
                  </w:tcBorders>
                  <w:vAlign w:val="center"/>
                </w:tcPr>
                <w:p w14:paraId="25E3A17A">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按要求执行</w:t>
                  </w:r>
                </w:p>
              </w:tc>
              <w:tc>
                <w:tcPr>
                  <w:tcW w:w="643" w:type="dxa"/>
                  <w:tcBorders>
                    <w:tl2br w:val="nil"/>
                    <w:tr2bl w:val="nil"/>
                  </w:tcBorders>
                  <w:vAlign w:val="center"/>
                </w:tcPr>
                <w:p w14:paraId="1EFB19C3">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C23E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1BF47ED6">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废塑料收集企业应参照GB/T37547，根据废塑料来源、特性及使用过程对废塑料进行分类收集；</w:t>
                  </w:r>
                </w:p>
              </w:tc>
              <w:tc>
                <w:tcPr>
                  <w:tcW w:w="2250" w:type="dxa"/>
                  <w:tcBorders>
                    <w:tl2br w:val="nil"/>
                    <w:tr2bl w:val="nil"/>
                  </w:tcBorders>
                  <w:vAlign w:val="center"/>
                </w:tcPr>
                <w:p w14:paraId="0E9A4F77">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按要求执行</w:t>
                  </w:r>
                </w:p>
              </w:tc>
              <w:tc>
                <w:tcPr>
                  <w:tcW w:w="643" w:type="dxa"/>
                  <w:tcBorders>
                    <w:tl2br w:val="nil"/>
                    <w:tr2bl w:val="nil"/>
                  </w:tcBorders>
                  <w:vAlign w:val="center"/>
                </w:tcPr>
                <w:p w14:paraId="5E0A2105">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ED20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621B10B3">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废塑料及其预处理产物的装卸及运输过程中，应采取必要的防扬散、防渗漏措施，应保持运输车辆的洁净，避免二次污染；</w:t>
                  </w:r>
                </w:p>
              </w:tc>
              <w:tc>
                <w:tcPr>
                  <w:tcW w:w="2250" w:type="dxa"/>
                  <w:tcBorders>
                    <w:tl2br w:val="nil"/>
                    <w:tr2bl w:val="nil"/>
                  </w:tcBorders>
                  <w:vAlign w:val="center"/>
                </w:tcPr>
                <w:p w14:paraId="01676D1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highlight w:val="cyan"/>
                      <w:lang w:val="en-US" w:eastAsia="zh-CN" w:bidi="ar-SA"/>
                    </w:rPr>
                  </w:pPr>
                  <w:r>
                    <w:rPr>
                      <w:rFonts w:hint="eastAsia" w:ascii="Times New Roman" w:hAnsi="Times New Roman" w:eastAsia="宋体" w:cs="Times New Roman"/>
                      <w:color w:val="auto"/>
                      <w:spacing w:val="2"/>
                      <w:kern w:val="2"/>
                      <w:sz w:val="21"/>
                      <w:szCs w:val="21"/>
                      <w:lang w:val="en-US" w:eastAsia="zh-CN" w:bidi="ar-SA"/>
                    </w:rPr>
                    <w:t>项目人员、物料、车辆通达的区域地面采 取硬化措施，并保持洁净</w:t>
                  </w:r>
                </w:p>
              </w:tc>
              <w:tc>
                <w:tcPr>
                  <w:tcW w:w="643" w:type="dxa"/>
                  <w:tcBorders>
                    <w:tl2br w:val="nil"/>
                    <w:tr2bl w:val="nil"/>
                  </w:tcBorders>
                  <w:vAlign w:val="center"/>
                </w:tcPr>
                <w:p w14:paraId="5BF8B50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74606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4003B430">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的预处理应控制二次污染。大气污染物排放应符合GB31572或GB16297、GB37822等标准的规定。恶臭污染物排放应符合GB14554的规定。废水控制应根据出水受纳水体的功能要求或纳管要求，执行国家和地方相关排放标准，重点控制的污染物指标包括悬浮物、pH值、色度、石油类和化学需氧量等。噪声排放应符合GB12348的规定；</w:t>
                  </w:r>
                </w:p>
              </w:tc>
              <w:tc>
                <w:tcPr>
                  <w:tcW w:w="2250" w:type="dxa"/>
                  <w:tcBorders>
                    <w:tl2br w:val="nil"/>
                    <w:tr2bl w:val="nil"/>
                  </w:tcBorders>
                  <w:vAlign w:val="center"/>
                </w:tcPr>
                <w:p w14:paraId="21B5275D">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highlight w:val="cyan"/>
                      <w:lang w:val="en-US" w:eastAsia="zh-CN" w:bidi="ar-SA"/>
                    </w:rPr>
                  </w:pPr>
                  <w:r>
                    <w:rPr>
                      <w:rFonts w:hint="eastAsia" w:ascii="Times New Roman" w:hAnsi="Times New Roman" w:eastAsia="宋体" w:cs="Times New Roman"/>
                      <w:color w:val="auto"/>
                      <w:spacing w:val="2"/>
                      <w:kern w:val="2"/>
                      <w:sz w:val="21"/>
                      <w:szCs w:val="21"/>
                      <w:lang w:val="en-US" w:eastAsia="zh-CN" w:bidi="ar-SA"/>
                    </w:rPr>
                    <w:t>按要求执行</w:t>
                  </w:r>
                </w:p>
              </w:tc>
              <w:tc>
                <w:tcPr>
                  <w:tcW w:w="643" w:type="dxa"/>
                  <w:tcBorders>
                    <w:tl2br w:val="nil"/>
                    <w:tr2bl w:val="nil"/>
                  </w:tcBorders>
                  <w:vAlign w:val="center"/>
                </w:tcPr>
                <w:p w14:paraId="1FE768BB">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5D452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0B710027">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的破碎方法可分为干法破碎和湿法破碎。使用干法破碎时，应配备相应的防尘、防噪声设备。使用湿法破碎时，应有配套的污水收集和处理设施；应根据废塑料再生利用过程产生的废水中污染物种类和浓度，配备相应的废水收集和处理设施，处理后的废水宜进行循环使用，排放的废水应根据出水受纳水体功能要求或纳管要求，执行国家和地方相关排放标准，重点控制的污染物指标包括化学需氧量、悬浮物、pH值、色度、石油类、可吸附有机卤化物等；</w:t>
                  </w:r>
                </w:p>
              </w:tc>
              <w:tc>
                <w:tcPr>
                  <w:tcW w:w="2250" w:type="dxa"/>
                  <w:tcBorders>
                    <w:tl2br w:val="nil"/>
                    <w:tr2bl w:val="nil"/>
                  </w:tcBorders>
                  <w:vAlign w:val="center"/>
                </w:tcPr>
                <w:p w14:paraId="20DB9A56">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项目使用湿法破碎，有配套的污水收集和处理设施，处理后的废水循环使用，</w:t>
                  </w:r>
                  <w:r>
                    <w:rPr>
                      <w:rFonts w:hint="eastAsia" w:ascii="Times New Roman" w:hAnsi="Times New Roman" w:cs="Times New Roman"/>
                      <w:color w:val="auto"/>
                      <w:spacing w:val="2"/>
                      <w:kern w:val="2"/>
                      <w:sz w:val="21"/>
                      <w:szCs w:val="21"/>
                      <w:lang w:val="en-US" w:eastAsia="zh-CN" w:bidi="ar-SA"/>
                    </w:rPr>
                    <w:t>少量</w:t>
                  </w:r>
                  <w:r>
                    <w:rPr>
                      <w:rFonts w:hint="eastAsia" w:hAnsi="宋体" w:cs="宋体"/>
                      <w:b w:val="0"/>
                      <w:bCs w:val="0"/>
                      <w:color w:val="auto"/>
                      <w:sz w:val="21"/>
                      <w:szCs w:val="21"/>
                      <w:highlight w:val="none"/>
                      <w:lang w:val="en-US" w:eastAsia="zh-CN"/>
                    </w:rPr>
                    <w:t>外排废水达到</w:t>
                  </w:r>
                  <w:r>
                    <w:rPr>
                      <w:rFonts w:hint="eastAsia" w:hAnsi="宋体" w:eastAsia="宋体" w:cs="宋体"/>
                      <w:b w:val="0"/>
                      <w:bCs w:val="0"/>
                      <w:color w:val="auto"/>
                      <w:sz w:val="21"/>
                      <w:szCs w:val="21"/>
                      <w:highlight w:val="none"/>
                      <w:lang w:val="en-US" w:eastAsia="zh-CN"/>
                    </w:rPr>
                    <w:t>星火</w:t>
                  </w:r>
                  <w:r>
                    <w:rPr>
                      <w:rFonts w:hint="eastAsia" w:hAnsi="宋体" w:eastAsia="宋体" w:cs="宋体"/>
                      <w:b w:val="0"/>
                      <w:bCs w:val="0"/>
                      <w:color w:val="auto"/>
                      <w:sz w:val="21"/>
                      <w:szCs w:val="21"/>
                      <w:highlight w:val="none"/>
                      <w:lang w:eastAsia="zh-CN"/>
                    </w:rPr>
                    <w:t>工业园污水处理厂</w:t>
                  </w:r>
                  <w:r>
                    <w:rPr>
                      <w:rFonts w:hint="eastAsia" w:hAnsi="宋体" w:eastAsia="宋体" w:cs="宋体"/>
                      <w:b w:val="0"/>
                      <w:bCs w:val="0"/>
                      <w:color w:val="auto"/>
                      <w:sz w:val="21"/>
                      <w:szCs w:val="21"/>
                      <w:highlight w:val="none"/>
                      <w:lang w:val="en-US" w:eastAsia="zh-CN"/>
                    </w:rPr>
                    <w:t>接管标准后排入星火</w:t>
                  </w:r>
                  <w:r>
                    <w:rPr>
                      <w:rFonts w:hint="eastAsia" w:hAnsi="宋体" w:eastAsia="宋体" w:cs="宋体"/>
                      <w:b w:val="0"/>
                      <w:bCs w:val="0"/>
                      <w:color w:val="auto"/>
                      <w:sz w:val="21"/>
                      <w:szCs w:val="21"/>
                      <w:highlight w:val="none"/>
                      <w:lang w:eastAsia="zh-CN"/>
                    </w:rPr>
                    <w:t>工业园污水处理厂</w:t>
                  </w:r>
                  <w:r>
                    <w:rPr>
                      <w:rFonts w:hint="eastAsia" w:hAnsi="宋体" w:eastAsia="宋体" w:cs="宋体"/>
                      <w:b w:val="0"/>
                      <w:bCs w:val="0"/>
                      <w:color w:val="auto"/>
                      <w:sz w:val="21"/>
                      <w:szCs w:val="21"/>
                      <w:highlight w:val="none"/>
                      <w:lang w:val="en-US" w:eastAsia="zh-CN"/>
                    </w:rPr>
                    <w:t>进一步处理</w:t>
                  </w:r>
                </w:p>
              </w:tc>
              <w:tc>
                <w:tcPr>
                  <w:tcW w:w="643" w:type="dxa"/>
                  <w:tcBorders>
                    <w:tl2br w:val="nil"/>
                    <w:tr2bl w:val="nil"/>
                  </w:tcBorders>
                  <w:vAlign w:val="center"/>
                </w:tcPr>
                <w:p w14:paraId="7D8BF5D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691E8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6E328757">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应收集并处理废塑料再生利用过程中产生的废气，大气污染物排放应符合GB31572 或GB16297、GB37822等标准的规定，恶臭污染物排放应符合GB14554的规定；</w:t>
                  </w:r>
                </w:p>
              </w:tc>
              <w:tc>
                <w:tcPr>
                  <w:tcW w:w="2250" w:type="dxa"/>
                  <w:tcBorders>
                    <w:tl2br w:val="nil"/>
                    <w:tr2bl w:val="nil"/>
                  </w:tcBorders>
                  <w:vAlign w:val="center"/>
                </w:tcPr>
                <w:p w14:paraId="1EE5EB85">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项目生产废气</w:t>
                  </w:r>
                  <w:r>
                    <w:rPr>
                      <w:rFonts w:hint="eastAsia" w:ascii="Times New Roman" w:hAnsi="Times New Roman" w:eastAsia="宋体"/>
                      <w:color w:val="auto"/>
                      <w:sz w:val="21"/>
                      <w:szCs w:val="21"/>
                      <w:lang w:eastAsia="zh-CN"/>
                    </w:rPr>
                    <w:t>经处理后均能实现达标排放</w:t>
                  </w:r>
                </w:p>
              </w:tc>
              <w:tc>
                <w:tcPr>
                  <w:tcW w:w="643" w:type="dxa"/>
                  <w:tcBorders>
                    <w:tl2br w:val="nil"/>
                    <w:tr2bl w:val="nil"/>
                  </w:tcBorders>
                  <w:vAlign w:val="center"/>
                </w:tcPr>
                <w:p w14:paraId="457D03F6">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4B325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59B0C9DD">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废塑料再生利用过程中应控制噪声污染，噪声排放应符合 GB12348 的规定；</w:t>
                  </w:r>
                </w:p>
              </w:tc>
              <w:tc>
                <w:tcPr>
                  <w:tcW w:w="2250" w:type="dxa"/>
                  <w:tcBorders>
                    <w:tl2br w:val="nil"/>
                    <w:tr2bl w:val="nil"/>
                  </w:tcBorders>
                  <w:vAlign w:val="center"/>
                </w:tcPr>
                <w:p w14:paraId="760A0B6F">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项目选用低噪声设备，高产噪设备室内布 置，厂界噪声符合要求</w:t>
                  </w:r>
                </w:p>
              </w:tc>
              <w:tc>
                <w:tcPr>
                  <w:tcW w:w="643" w:type="dxa"/>
                  <w:tcBorders>
                    <w:tl2br w:val="nil"/>
                    <w:tr2bl w:val="nil"/>
                  </w:tcBorders>
                  <w:vAlign w:val="center"/>
                </w:tcPr>
                <w:p w14:paraId="5C944B4C">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79A2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19F2A435">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废塑料中的金属、橡胶、纤维、渣土、油脂等夹杂物，以及废塑料再生利用过程中产生的不可利用废物应建立台账，不得擅自丢弃、倾倒、焚烧与填埋，属于危险废物的应交由有相关资质单位进行利用处置；</w:t>
                  </w:r>
                </w:p>
              </w:tc>
              <w:tc>
                <w:tcPr>
                  <w:tcW w:w="2250" w:type="dxa"/>
                  <w:tcBorders>
                    <w:tl2br w:val="nil"/>
                    <w:tr2bl w:val="nil"/>
                  </w:tcBorders>
                  <w:vAlign w:val="center"/>
                </w:tcPr>
                <w:p w14:paraId="5B0026B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按要求执行</w:t>
                  </w:r>
                </w:p>
              </w:tc>
              <w:tc>
                <w:tcPr>
                  <w:tcW w:w="643" w:type="dxa"/>
                  <w:tcBorders>
                    <w:tl2br w:val="nil"/>
                    <w:tr2bl w:val="nil"/>
                  </w:tcBorders>
                  <w:vAlign w:val="center"/>
                </w:tcPr>
                <w:p w14:paraId="47AFE3D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01757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0A4239DA">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废塑料的物理再生工艺中，熔融造粒车间应安装废气收集及处理装置，挤出工艺的冷却废水宜循环使用；</w:t>
                  </w:r>
                </w:p>
              </w:tc>
              <w:tc>
                <w:tcPr>
                  <w:tcW w:w="2250" w:type="dxa"/>
                  <w:tcBorders>
                    <w:tl2br w:val="nil"/>
                    <w:tr2bl w:val="nil"/>
                  </w:tcBorders>
                  <w:vAlign w:val="center"/>
                </w:tcPr>
                <w:p w14:paraId="280D98DF">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本项目车间挤出造粒废气收集处理后达标 排</w:t>
                  </w:r>
                  <w:r>
                    <w:rPr>
                      <w:rFonts w:hint="eastAsia" w:ascii="Times New Roman" w:hAnsi="Times New Roman" w:eastAsia="宋体" w:cs="Times New Roman"/>
                      <w:color w:val="auto"/>
                      <w:spacing w:val="2"/>
                      <w:kern w:val="2"/>
                      <w:sz w:val="21"/>
                      <w:szCs w:val="21"/>
                      <w:highlight w:val="none"/>
                      <w:lang w:val="en-US" w:eastAsia="zh-CN" w:bidi="ar-SA"/>
                    </w:rPr>
                    <w:t>放，冷却水循环使用，</w:t>
                  </w:r>
                  <w:r>
                    <w:rPr>
                      <w:rFonts w:hint="eastAsia" w:ascii="Times New Roman" w:hAnsi="Times New Roman" w:cs="Times New Roman"/>
                      <w:color w:val="auto"/>
                      <w:spacing w:val="2"/>
                      <w:kern w:val="2"/>
                      <w:sz w:val="21"/>
                      <w:szCs w:val="21"/>
                      <w:highlight w:val="none"/>
                      <w:lang w:val="en-US" w:eastAsia="zh-CN" w:bidi="ar-SA"/>
                    </w:rPr>
                    <w:t>并定期更换排入清洗池，清洗废水经站内污水处理设施处理后</w:t>
                  </w:r>
                  <w:r>
                    <w:rPr>
                      <w:rFonts w:hint="eastAsia" w:ascii="Times New Roman" w:hAnsi="Times New Roman" w:eastAsia="宋体" w:cs="Times New Roman"/>
                      <w:color w:val="auto"/>
                      <w:spacing w:val="2"/>
                      <w:kern w:val="2"/>
                      <w:sz w:val="21"/>
                      <w:szCs w:val="21"/>
                      <w:lang w:val="en-US" w:eastAsia="zh-CN" w:bidi="ar-SA"/>
                    </w:rPr>
                    <w:t>循环使用，</w:t>
                  </w:r>
                  <w:r>
                    <w:rPr>
                      <w:rFonts w:hint="eastAsia" w:ascii="Times New Roman" w:hAnsi="Times New Roman" w:cs="Times New Roman"/>
                      <w:color w:val="auto"/>
                      <w:spacing w:val="2"/>
                      <w:kern w:val="2"/>
                      <w:sz w:val="21"/>
                      <w:szCs w:val="21"/>
                      <w:lang w:val="en-US" w:eastAsia="zh-CN" w:bidi="ar-SA"/>
                    </w:rPr>
                    <w:t>少量</w:t>
                  </w:r>
                  <w:r>
                    <w:rPr>
                      <w:rFonts w:hint="eastAsia" w:hAnsi="宋体" w:cs="宋体"/>
                      <w:b w:val="0"/>
                      <w:bCs w:val="0"/>
                      <w:color w:val="auto"/>
                      <w:sz w:val="21"/>
                      <w:szCs w:val="21"/>
                      <w:highlight w:val="none"/>
                      <w:lang w:val="en-US" w:eastAsia="zh-CN"/>
                    </w:rPr>
                    <w:t>外排至</w:t>
                  </w:r>
                  <w:r>
                    <w:rPr>
                      <w:rFonts w:hint="eastAsia" w:hAnsi="宋体" w:eastAsia="宋体" w:cs="宋体"/>
                      <w:b w:val="0"/>
                      <w:bCs w:val="0"/>
                      <w:color w:val="auto"/>
                      <w:sz w:val="21"/>
                      <w:szCs w:val="21"/>
                      <w:highlight w:val="none"/>
                      <w:lang w:val="en-US" w:eastAsia="zh-CN"/>
                    </w:rPr>
                    <w:t>星火</w:t>
                  </w:r>
                  <w:r>
                    <w:rPr>
                      <w:rFonts w:hint="eastAsia" w:hAnsi="宋体" w:eastAsia="宋体" w:cs="宋体"/>
                      <w:b w:val="0"/>
                      <w:bCs w:val="0"/>
                      <w:color w:val="auto"/>
                      <w:sz w:val="21"/>
                      <w:szCs w:val="21"/>
                      <w:highlight w:val="none"/>
                      <w:lang w:eastAsia="zh-CN"/>
                    </w:rPr>
                    <w:t>工业园污水处理厂</w:t>
                  </w:r>
                </w:p>
              </w:tc>
              <w:tc>
                <w:tcPr>
                  <w:tcW w:w="643" w:type="dxa"/>
                  <w:tcBorders>
                    <w:tl2br w:val="nil"/>
                    <w:tr2bl w:val="nil"/>
                  </w:tcBorders>
                  <w:vAlign w:val="center"/>
                </w:tcPr>
                <w:p w14:paraId="5D605CFC">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7AB81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58582FD4">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宜采用节能熔融造粒技术，含卤素废塑料宜采用低温熔融 造粒工艺；</w:t>
                  </w:r>
                </w:p>
              </w:tc>
              <w:tc>
                <w:tcPr>
                  <w:tcW w:w="2250" w:type="dxa"/>
                  <w:tcBorders>
                    <w:tl2br w:val="nil"/>
                    <w:tr2bl w:val="nil"/>
                  </w:tcBorders>
                  <w:vAlign w:val="center"/>
                </w:tcPr>
                <w:p w14:paraId="32BC20B1">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本项目采用节能熔融造粒技术，本项目处 理不含卤素废塑料</w:t>
                  </w:r>
                </w:p>
              </w:tc>
              <w:tc>
                <w:tcPr>
                  <w:tcW w:w="643" w:type="dxa"/>
                  <w:tcBorders>
                    <w:tl2br w:val="nil"/>
                    <w:tr2bl w:val="nil"/>
                  </w:tcBorders>
                  <w:vAlign w:val="center"/>
                </w:tcPr>
                <w:p w14:paraId="4425ECFC">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3A0A7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67F1AC9D">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宜使用无丝网过滤器造粒机，减少废滤网产生。采用焚烧方式处理塑料挤出机过滤网片时，应配备烟气净化装置；</w:t>
                  </w:r>
                </w:p>
              </w:tc>
              <w:tc>
                <w:tcPr>
                  <w:tcW w:w="2250" w:type="dxa"/>
                  <w:tcBorders>
                    <w:tl2br w:val="nil"/>
                    <w:tr2bl w:val="nil"/>
                  </w:tcBorders>
                  <w:vAlign w:val="center"/>
                </w:tcPr>
                <w:p w14:paraId="77D697BA">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项目废滤网交由资质单位处置，不采用焚烧方式处理</w:t>
                  </w:r>
                </w:p>
              </w:tc>
              <w:tc>
                <w:tcPr>
                  <w:tcW w:w="643" w:type="dxa"/>
                  <w:tcBorders>
                    <w:tl2br w:val="nil"/>
                    <w:tr2bl w:val="nil"/>
                  </w:tcBorders>
                  <w:vAlign w:val="center"/>
                </w:tcPr>
                <w:p w14:paraId="66D32826">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6282A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49FE4A49">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废塑料的产生、收集、运输、贮存和再生利用企业，应按照GB/T19001、GB/T24001、GB/T45001等标准建立管理体系，设置专门的部门或者专（兼）职人员，负责废塑料收集和再生利用过程中的相关环境管理工作；</w:t>
                  </w:r>
                </w:p>
              </w:tc>
              <w:tc>
                <w:tcPr>
                  <w:tcW w:w="2250" w:type="dxa"/>
                  <w:tcBorders>
                    <w:tl2br w:val="nil"/>
                    <w:tr2bl w:val="nil"/>
                  </w:tcBorders>
                  <w:vAlign w:val="center"/>
                </w:tcPr>
                <w:p w14:paraId="1E6345ED">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按要求执行</w:t>
                  </w:r>
                </w:p>
              </w:tc>
              <w:tc>
                <w:tcPr>
                  <w:tcW w:w="643" w:type="dxa"/>
                  <w:tcBorders>
                    <w:tl2br w:val="nil"/>
                    <w:tr2bl w:val="nil"/>
                  </w:tcBorders>
                  <w:vAlign w:val="center"/>
                </w:tcPr>
                <w:p w14:paraId="2394BAE6">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1FC13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3" w:type="dxa"/>
                  <w:tcBorders>
                    <w:tl2br w:val="nil"/>
                    <w:tr2bl w:val="nil"/>
                  </w:tcBorders>
                  <w:vAlign w:val="center"/>
                </w:tcPr>
                <w:p w14:paraId="3C60B67B">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废塑料再生利用项目应按功能划分厂区，包括管理区、原料贮存区、生产区、产品贮存区、不可利用废物的贮存和处理区等，各功能区应有明显的界线或标识；</w:t>
                  </w:r>
                </w:p>
              </w:tc>
              <w:tc>
                <w:tcPr>
                  <w:tcW w:w="2250" w:type="dxa"/>
                  <w:tcBorders>
                    <w:tl2br w:val="nil"/>
                    <w:tr2bl w:val="nil"/>
                  </w:tcBorders>
                  <w:vAlign w:val="center"/>
                </w:tcPr>
                <w:p w14:paraId="5085A782">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平面布置按照管理区、原料库、生产区、危废暂存区等功能划分布置，各功能区设有明显的界线或标识</w:t>
                  </w:r>
                </w:p>
              </w:tc>
              <w:tc>
                <w:tcPr>
                  <w:tcW w:w="643" w:type="dxa"/>
                  <w:tcBorders>
                    <w:tl2br w:val="nil"/>
                    <w:tr2bl w:val="nil"/>
                  </w:tcBorders>
                  <w:vAlign w:val="center"/>
                </w:tcPr>
                <w:p w14:paraId="5A406897">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bl>
          <w:p w14:paraId="7C46735D">
            <w:pPr>
              <w:keepNext w:val="0"/>
              <w:keepLines w:val="0"/>
              <w:pageBreakBefore w:val="0"/>
              <w:widowControl/>
              <w:suppressLineNumbers w:val="0"/>
              <w:kinsoku/>
              <w:wordWrap/>
              <w:overflowPunct/>
              <w:topLinePunct w:val="0"/>
              <w:bidi w:val="0"/>
              <w:adjustRightInd/>
              <w:snapToGrid/>
              <w:spacing w:line="360" w:lineRule="auto"/>
              <w:ind w:firstLine="482"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kern w:val="0"/>
                <w:sz w:val="24"/>
                <w:szCs w:val="24"/>
                <w:lang w:val="en-US" w:eastAsia="zh-CN"/>
              </w:rPr>
              <w:t>7、</w:t>
            </w:r>
            <w:r>
              <w:rPr>
                <w:rFonts w:hint="eastAsia" w:asciiTheme="minorEastAsia" w:hAnsiTheme="minorEastAsia" w:eastAsiaTheme="minorEastAsia" w:cstheme="minorEastAsia"/>
                <w:b/>
                <w:bCs/>
                <w:color w:val="auto"/>
                <w:kern w:val="0"/>
                <w:sz w:val="24"/>
                <w:szCs w:val="24"/>
                <w:lang w:val="en-US" w:eastAsia="zh-CN" w:bidi="ar"/>
              </w:rPr>
              <w:t>与《废塑料综合利用行业规范条件》的相符性分析</w:t>
            </w:r>
          </w:p>
          <w:p w14:paraId="199DB0AE">
            <w:pPr>
              <w:pStyle w:val="3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表1-</w:t>
            </w:r>
            <w:r>
              <w:rPr>
                <w:rFonts w:hint="eastAsia" w:eastAsia="宋体" w:cs="宋体"/>
                <w:b/>
                <w:bCs/>
                <w:color w:val="auto"/>
                <w:sz w:val="21"/>
                <w:szCs w:val="21"/>
                <w:highlight w:val="none"/>
                <w:u w:val="none"/>
                <w:lang w:val="en-US" w:eastAsia="zh-CN"/>
              </w:rPr>
              <w:t>9</w:t>
            </w:r>
            <w:r>
              <w:rPr>
                <w:rFonts w:hint="eastAsia" w:ascii="宋体" w:hAnsi="宋体" w:eastAsia="宋体" w:cs="宋体"/>
                <w:b/>
                <w:bCs/>
                <w:color w:val="auto"/>
                <w:sz w:val="21"/>
                <w:szCs w:val="21"/>
                <w:highlight w:val="none"/>
                <w:u w:val="none"/>
                <w:lang w:val="en-US" w:eastAsia="zh-CN"/>
              </w:rPr>
              <w:t xml:space="preserve">  本项目与《废塑料综合利用行业规范条件》相符性分析</w:t>
            </w:r>
          </w:p>
          <w:tbl>
            <w:tblPr>
              <w:tblStyle w:val="22"/>
              <w:tblpPr w:leftFromText="180" w:rightFromText="180" w:vertAnchor="text" w:horzAnchor="page" w:tblpXSpec="center" w:tblpY="190"/>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1"/>
              <w:gridCol w:w="2254"/>
              <w:gridCol w:w="643"/>
            </w:tblGrid>
            <w:tr w14:paraId="7055E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1D5CEA8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内容</w:t>
                  </w:r>
                </w:p>
              </w:tc>
              <w:tc>
                <w:tcPr>
                  <w:tcW w:w="2254" w:type="dxa"/>
                  <w:tcBorders>
                    <w:tl2br w:val="nil"/>
                    <w:tr2bl w:val="nil"/>
                  </w:tcBorders>
                  <w:vAlign w:val="center"/>
                </w:tcPr>
                <w:p w14:paraId="1F9881E7">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符合性分析</w:t>
                  </w:r>
                </w:p>
              </w:tc>
              <w:tc>
                <w:tcPr>
                  <w:tcW w:w="643" w:type="dxa"/>
                  <w:tcBorders>
                    <w:tl2br w:val="nil"/>
                    <w:tr2bl w:val="nil"/>
                  </w:tcBorders>
                  <w:vAlign w:val="center"/>
                </w:tcPr>
                <w:p w14:paraId="0023988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sz w:val="21"/>
                      <w:szCs w:val="21"/>
                      <w:highlight w:val="none"/>
                      <w:u w:val="none"/>
                      <w:lang w:val="en-US" w:eastAsia="zh-CN"/>
                    </w:rPr>
                  </w:pPr>
                  <w:r>
                    <w:rPr>
                      <w:rFonts w:hint="eastAsia" w:ascii="宋体" w:hAnsi="宋体" w:eastAsia="宋体" w:cs="宋体"/>
                      <w:b/>
                      <w:bCs/>
                      <w:color w:val="auto"/>
                      <w:sz w:val="21"/>
                      <w:szCs w:val="21"/>
                      <w:highlight w:val="none"/>
                      <w:u w:val="none"/>
                      <w:lang w:val="en-US" w:eastAsia="zh-CN"/>
                    </w:rPr>
                    <w:t>符合性</w:t>
                  </w:r>
                </w:p>
              </w:tc>
            </w:tr>
            <w:tr w14:paraId="32999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5375B226">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新建及改造、扩建废塑料加工企业应符合国家产业政策及所在地区土地利用总体规划、城乡建设规划、环境保护、污染防治规划。企业建设应有规范化设计要求，采用节能环保技术及生产装备；</w:t>
                  </w:r>
                </w:p>
              </w:tc>
              <w:tc>
                <w:tcPr>
                  <w:tcW w:w="2254" w:type="dxa"/>
                  <w:tcBorders>
                    <w:tl2br w:val="nil"/>
                    <w:tr2bl w:val="nil"/>
                  </w:tcBorders>
                  <w:vAlign w:val="center"/>
                </w:tcPr>
                <w:p w14:paraId="4B4F9C6E">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项目符合相关产业政策和环保</w:t>
                  </w:r>
                  <w:r>
                    <w:rPr>
                      <w:rFonts w:hint="eastAsia" w:ascii="Times New Roman" w:hAnsi="Times New Roman" w:eastAsia="宋体" w:cs="Times New Roman"/>
                      <w:color w:val="auto"/>
                      <w:spacing w:val="2"/>
                      <w:kern w:val="2"/>
                      <w:sz w:val="21"/>
                      <w:szCs w:val="21"/>
                      <w:lang w:val="en-US" w:eastAsia="zh-CN" w:bidi="ar-SA"/>
                    </w:rPr>
                    <w:t>保护</w:t>
                  </w:r>
                  <w:r>
                    <w:rPr>
                      <w:rFonts w:hint="default" w:ascii="Times New Roman" w:hAnsi="Times New Roman" w:eastAsia="宋体" w:cs="Times New Roman"/>
                      <w:color w:val="auto"/>
                      <w:spacing w:val="2"/>
                      <w:kern w:val="2"/>
                      <w:sz w:val="21"/>
                      <w:szCs w:val="21"/>
                      <w:lang w:val="en-US" w:eastAsia="zh-CN" w:bidi="ar-SA"/>
                    </w:rPr>
                    <w:t>、污染 防治要求，具体见相关政策符合性分析</w:t>
                  </w:r>
                </w:p>
              </w:tc>
              <w:tc>
                <w:tcPr>
                  <w:tcW w:w="643" w:type="dxa"/>
                  <w:tcBorders>
                    <w:tl2br w:val="nil"/>
                    <w:tr2bl w:val="nil"/>
                  </w:tcBorders>
                  <w:vAlign w:val="center"/>
                </w:tcPr>
                <w:p w14:paraId="18D5A64E">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3E725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60F235BF">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在国家法律、法规、规章和规划确定或县级及以上人民政府规定的自然保护区、风景名胜区、饮用水源保护区、基本农田保护区和其他需要特别保护的区域内，不得新建废塑料综合利用企业；</w:t>
                  </w:r>
                </w:p>
              </w:tc>
              <w:tc>
                <w:tcPr>
                  <w:tcW w:w="2254" w:type="dxa"/>
                  <w:tcBorders>
                    <w:tl2br w:val="nil"/>
                    <w:tr2bl w:val="nil"/>
                  </w:tcBorders>
                  <w:vAlign w:val="center"/>
                </w:tcPr>
                <w:p w14:paraId="6A65652A">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不属于上述区域</w:t>
                  </w:r>
                </w:p>
              </w:tc>
              <w:tc>
                <w:tcPr>
                  <w:tcW w:w="643" w:type="dxa"/>
                  <w:tcBorders>
                    <w:tl2br w:val="nil"/>
                    <w:tr2bl w:val="nil"/>
                  </w:tcBorders>
                  <w:vAlign w:val="center"/>
                </w:tcPr>
                <w:p w14:paraId="7D4B8BAA">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4A50B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7BD1E39D">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塑料再生造粒类企业：新建企业年废塑料处理能力不低于5000吨；已建企业年废塑料处理能力不低于3000吨；</w:t>
                  </w:r>
                </w:p>
              </w:tc>
              <w:tc>
                <w:tcPr>
                  <w:tcW w:w="2254" w:type="dxa"/>
                  <w:tcBorders>
                    <w:tl2br w:val="nil"/>
                    <w:tr2bl w:val="nil"/>
                  </w:tcBorders>
                  <w:vAlign w:val="center"/>
                </w:tcPr>
                <w:p w14:paraId="7B55790A">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本</w:t>
                  </w:r>
                  <w:r>
                    <w:rPr>
                      <w:rFonts w:hint="eastAsia" w:ascii="Times New Roman" w:hAnsi="Times New Roman" w:cs="Times New Roman"/>
                      <w:color w:val="auto"/>
                      <w:spacing w:val="2"/>
                      <w:kern w:val="2"/>
                      <w:sz w:val="21"/>
                      <w:szCs w:val="21"/>
                      <w:lang w:val="en-US" w:eastAsia="zh-CN" w:bidi="ar-SA"/>
                    </w:rPr>
                    <w:t>技改</w:t>
                  </w:r>
                  <w:r>
                    <w:rPr>
                      <w:rFonts w:hint="default" w:ascii="Times New Roman" w:hAnsi="Times New Roman" w:eastAsia="宋体" w:cs="Times New Roman"/>
                      <w:color w:val="auto"/>
                      <w:spacing w:val="2"/>
                      <w:kern w:val="2"/>
                      <w:sz w:val="21"/>
                      <w:szCs w:val="21"/>
                      <w:lang w:val="en-US" w:eastAsia="zh-CN" w:bidi="ar-SA"/>
                    </w:rPr>
                    <w:t>项目年</w:t>
                  </w:r>
                  <w:r>
                    <w:rPr>
                      <w:rFonts w:hint="eastAsia" w:ascii="Times New Roman" w:hAnsi="Times New Roman" w:cs="Times New Roman"/>
                      <w:color w:val="auto"/>
                      <w:spacing w:val="2"/>
                      <w:kern w:val="2"/>
                      <w:sz w:val="21"/>
                      <w:szCs w:val="21"/>
                      <w:lang w:val="en-US" w:eastAsia="zh-CN" w:bidi="ar-SA"/>
                    </w:rPr>
                    <w:t>产再生塑料粒子</w:t>
                  </w:r>
                  <w:r>
                    <w:rPr>
                      <w:rFonts w:hint="default" w:ascii="Times New Roman" w:hAnsi="Times New Roman" w:eastAsia="宋体" w:cs="Times New Roman"/>
                      <w:color w:val="auto"/>
                      <w:spacing w:val="2"/>
                      <w:kern w:val="2"/>
                      <w:sz w:val="21"/>
                      <w:szCs w:val="21"/>
                      <w:lang w:val="en-US" w:eastAsia="zh-CN" w:bidi="ar-SA"/>
                    </w:rPr>
                    <w:t>10000吨</w:t>
                  </w:r>
                </w:p>
              </w:tc>
              <w:tc>
                <w:tcPr>
                  <w:tcW w:w="643" w:type="dxa"/>
                  <w:tcBorders>
                    <w:tl2br w:val="nil"/>
                    <w:tr2bl w:val="nil"/>
                  </w:tcBorders>
                  <w:vAlign w:val="center"/>
                </w:tcPr>
                <w:p w14:paraId="19F7600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7B6A0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711F1065">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企业应对收集的废塑料进行充分利用，提高资源回收利用效率，不得倾倒、焚烧与填埋；</w:t>
                  </w:r>
                </w:p>
              </w:tc>
              <w:tc>
                <w:tcPr>
                  <w:tcW w:w="2254" w:type="dxa"/>
                  <w:tcBorders>
                    <w:tl2br w:val="nil"/>
                    <w:tr2bl w:val="nil"/>
                  </w:tcBorders>
                  <w:vAlign w:val="center"/>
                </w:tcPr>
                <w:p w14:paraId="42C707F6">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按规定执行</w:t>
                  </w:r>
                </w:p>
              </w:tc>
              <w:tc>
                <w:tcPr>
                  <w:tcW w:w="643" w:type="dxa"/>
                  <w:tcBorders>
                    <w:tl2br w:val="nil"/>
                    <w:tr2bl w:val="nil"/>
                  </w:tcBorders>
                  <w:vAlign w:val="center"/>
                </w:tcPr>
                <w:p w14:paraId="6FEFBF3B">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54227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34AB7EA0">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塑料再生造粒类企业的综合新水消耗低于0.2吨/吨废塑料；</w:t>
                  </w:r>
                </w:p>
              </w:tc>
              <w:tc>
                <w:tcPr>
                  <w:tcW w:w="2254" w:type="dxa"/>
                  <w:tcBorders>
                    <w:tl2br w:val="nil"/>
                    <w:tr2bl w:val="nil"/>
                  </w:tcBorders>
                  <w:vAlign w:val="center"/>
                </w:tcPr>
                <w:p w14:paraId="1452A89D">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根据工程分析企业塑料再生加工相关生产环节的新水消耗量</w:t>
                  </w:r>
                  <w:r>
                    <w:rPr>
                      <w:rFonts w:hint="eastAsia" w:ascii="Times New Roman" w:hAnsi="Times New Roman" w:cs="Times New Roman"/>
                      <w:color w:val="auto"/>
                      <w:spacing w:val="2"/>
                      <w:kern w:val="2"/>
                      <w:sz w:val="21"/>
                      <w:szCs w:val="21"/>
                      <w:lang w:val="en-US" w:eastAsia="zh-CN" w:bidi="ar-SA"/>
                    </w:rPr>
                    <w:t>约</w:t>
                  </w:r>
                  <w:r>
                    <w:rPr>
                      <w:rFonts w:hint="eastAsia" w:ascii="Times New Roman" w:hAnsi="Times New Roman" w:eastAsia="宋体" w:cs="Times New Roman"/>
                      <w:color w:val="auto"/>
                      <w:spacing w:val="2"/>
                      <w:kern w:val="2"/>
                      <w:sz w:val="21"/>
                      <w:szCs w:val="21"/>
                      <w:highlight w:val="none"/>
                      <w:lang w:val="en-US" w:eastAsia="zh-CN" w:bidi="ar-SA"/>
                    </w:rPr>
                    <w:t>为0.1</w:t>
                  </w:r>
                  <w:r>
                    <w:rPr>
                      <w:rFonts w:hint="eastAsia" w:ascii="Times New Roman" w:hAnsi="Times New Roman" w:cs="Times New Roman"/>
                      <w:color w:val="auto"/>
                      <w:spacing w:val="2"/>
                      <w:kern w:val="2"/>
                      <w:sz w:val="21"/>
                      <w:szCs w:val="21"/>
                      <w:highlight w:val="none"/>
                      <w:lang w:val="en-US" w:eastAsia="zh-CN" w:bidi="ar-SA"/>
                    </w:rPr>
                    <w:t>83</w:t>
                  </w:r>
                  <w:r>
                    <w:rPr>
                      <w:rFonts w:hint="eastAsia" w:ascii="Times New Roman" w:hAnsi="Times New Roman" w:eastAsia="宋体" w:cs="Times New Roman"/>
                      <w:color w:val="auto"/>
                      <w:spacing w:val="2"/>
                      <w:kern w:val="2"/>
                      <w:sz w:val="21"/>
                      <w:szCs w:val="21"/>
                      <w:highlight w:val="none"/>
                      <w:lang w:val="en-US" w:eastAsia="zh-CN" w:bidi="ar-SA"/>
                    </w:rPr>
                    <w:t>吨/吨废塑料</w:t>
                  </w:r>
                </w:p>
              </w:tc>
              <w:tc>
                <w:tcPr>
                  <w:tcW w:w="643" w:type="dxa"/>
                  <w:tcBorders>
                    <w:tl2br w:val="nil"/>
                    <w:tr2bl w:val="nil"/>
                  </w:tcBorders>
                  <w:vAlign w:val="center"/>
                </w:tcPr>
                <w:p w14:paraId="71546FF2">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538FE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5CB7A424">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塑料再生造粒类企业。应具有与加工利用能力相适应的预处理设 备和造粒设备。其中，造粒设备应具有强制排气系统，通过集气装置实现废气的集中处理；过滤装置的废弃过滤网应按照环境保护有关规定处理，禁止露天焚烧；</w:t>
                  </w:r>
                </w:p>
              </w:tc>
              <w:tc>
                <w:tcPr>
                  <w:tcW w:w="2254" w:type="dxa"/>
                  <w:tcBorders>
                    <w:tl2br w:val="nil"/>
                    <w:tr2bl w:val="nil"/>
                  </w:tcBorders>
                  <w:vAlign w:val="center"/>
                </w:tcPr>
                <w:p w14:paraId="72670C48">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highlight w:val="cyan"/>
                      <w:lang w:val="en-US" w:eastAsia="zh-CN" w:bidi="ar-SA"/>
                    </w:rPr>
                  </w:pPr>
                  <w:r>
                    <w:rPr>
                      <w:rFonts w:hint="eastAsia" w:ascii="Times New Roman" w:hAnsi="Times New Roman" w:eastAsia="宋体" w:cs="Times New Roman"/>
                      <w:color w:val="auto"/>
                      <w:spacing w:val="2"/>
                      <w:kern w:val="2"/>
                      <w:sz w:val="21"/>
                      <w:szCs w:val="21"/>
                      <w:lang w:val="en-US" w:eastAsia="zh-CN" w:bidi="ar-SA"/>
                    </w:rPr>
                    <w:t>本项目造粒废气采用集气罩收集后废气集 中处理；废过滤网为危险废物，交由有资质的单位处理</w:t>
                  </w:r>
                </w:p>
              </w:tc>
              <w:tc>
                <w:tcPr>
                  <w:tcW w:w="643" w:type="dxa"/>
                  <w:tcBorders>
                    <w:tl2br w:val="nil"/>
                    <w:tr2bl w:val="nil"/>
                  </w:tcBorders>
                  <w:vAlign w:val="center"/>
                </w:tcPr>
                <w:p w14:paraId="73015BC1">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42594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287BC646">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2254" w:type="dxa"/>
                  <w:tcBorders>
                    <w:tl2br w:val="nil"/>
                    <w:tr2bl w:val="nil"/>
                  </w:tcBorders>
                  <w:vAlign w:val="center"/>
                </w:tcPr>
                <w:p w14:paraId="4C01BDBD">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highlight w:val="cyan"/>
                      <w:lang w:val="en-US" w:eastAsia="zh-CN" w:bidi="ar-SA"/>
                    </w:rPr>
                  </w:pPr>
                  <w:r>
                    <w:rPr>
                      <w:rFonts w:hint="eastAsia" w:ascii="Times New Roman" w:hAnsi="Times New Roman" w:eastAsia="宋体" w:cs="Times New Roman"/>
                      <w:color w:val="auto"/>
                      <w:spacing w:val="2"/>
                      <w:kern w:val="2"/>
                      <w:sz w:val="21"/>
                      <w:szCs w:val="21"/>
                      <w:lang w:val="en-US" w:eastAsia="zh-CN" w:bidi="ar-SA"/>
                    </w:rPr>
                    <w:t>项目原料、成品在储库储存，厂区采取分 区防渗，符合防扬散、防渗漏、防流失要 求。排水采用雨污分流制</w:t>
                  </w:r>
                </w:p>
              </w:tc>
              <w:tc>
                <w:tcPr>
                  <w:tcW w:w="643" w:type="dxa"/>
                  <w:tcBorders>
                    <w:tl2br w:val="nil"/>
                    <w:tr2bl w:val="nil"/>
                  </w:tcBorders>
                  <w:vAlign w:val="center"/>
                </w:tcPr>
                <w:p w14:paraId="6E812BA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2F0CB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3819C028">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企业对收集的废塑料中的金属、橡胶、纤维、渣土、油脂、添加物等夹杂物，应采取相应的处理措施。如企业不具备处理条件，应委托其他具有处理能力的企业处理，不得擅自丢弃、倾倒、焚烧与填埋；</w:t>
                  </w:r>
                </w:p>
              </w:tc>
              <w:tc>
                <w:tcPr>
                  <w:tcW w:w="2254" w:type="dxa"/>
                  <w:tcBorders>
                    <w:tl2br w:val="nil"/>
                    <w:tr2bl w:val="nil"/>
                  </w:tcBorders>
                  <w:vAlign w:val="center"/>
                </w:tcPr>
                <w:p w14:paraId="516494D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按要求执行</w:t>
                  </w:r>
                </w:p>
              </w:tc>
              <w:tc>
                <w:tcPr>
                  <w:tcW w:w="643" w:type="dxa"/>
                  <w:tcBorders>
                    <w:tl2br w:val="nil"/>
                    <w:tr2bl w:val="nil"/>
                  </w:tcBorders>
                  <w:vAlign w:val="center"/>
                </w:tcPr>
                <w:p w14:paraId="6B1FB46F">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4F1FE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1FE4BF64">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企业应具有与加工利用能力相适应的废水处理设施，中水回用率必须符合环评文件的有关要求。废水处理后需要外排的废水，必须经处理后达标排放。企业应采用高效节能 环保的污泥处理工艺,或交由具有处理资格的废物处理机构, 实现污泥无害化处理。除具有获批建设、验收合格的专业 盐卤废水处理设施，禁止使用盐卤分选工艺；</w:t>
                  </w:r>
                </w:p>
              </w:tc>
              <w:tc>
                <w:tcPr>
                  <w:tcW w:w="2254" w:type="dxa"/>
                  <w:tcBorders>
                    <w:tl2br w:val="nil"/>
                    <w:tr2bl w:val="nil"/>
                  </w:tcBorders>
                  <w:vAlign w:val="center"/>
                </w:tcPr>
                <w:p w14:paraId="3043DC70">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项目废水通过自建污水站处理后回用于清 洗</w:t>
                  </w:r>
                  <w:r>
                    <w:rPr>
                      <w:rFonts w:hint="default" w:ascii="Times New Roman" w:hAnsi="Times New Roman" w:eastAsia="宋体" w:cs="Times New Roman"/>
                      <w:color w:val="auto"/>
                      <w:spacing w:val="2"/>
                      <w:kern w:val="2"/>
                      <w:sz w:val="21"/>
                      <w:szCs w:val="21"/>
                      <w:highlight w:val="none"/>
                      <w:lang w:val="en-US" w:eastAsia="zh-CN" w:bidi="ar-SA"/>
                    </w:rPr>
                    <w:t>，</w:t>
                  </w:r>
                  <w:r>
                    <w:rPr>
                      <w:rFonts w:hint="eastAsia" w:ascii="Times New Roman" w:hAnsi="Times New Roman" w:cs="Times New Roman"/>
                      <w:color w:val="auto"/>
                      <w:spacing w:val="2"/>
                      <w:kern w:val="2"/>
                      <w:sz w:val="21"/>
                      <w:szCs w:val="21"/>
                      <w:highlight w:val="none"/>
                      <w:lang w:val="en-US" w:eastAsia="zh-CN" w:bidi="ar-SA"/>
                    </w:rPr>
                    <w:t>少量</w:t>
                  </w:r>
                  <w:r>
                    <w:rPr>
                      <w:rFonts w:hint="default" w:ascii="Times New Roman" w:hAnsi="Times New Roman" w:eastAsia="宋体" w:cs="Times New Roman"/>
                      <w:color w:val="auto"/>
                      <w:spacing w:val="2"/>
                      <w:kern w:val="2"/>
                      <w:sz w:val="21"/>
                      <w:szCs w:val="21"/>
                      <w:highlight w:val="none"/>
                      <w:lang w:val="en-US" w:eastAsia="zh-CN" w:bidi="ar-SA"/>
                    </w:rPr>
                    <w:t>外排</w:t>
                  </w:r>
                  <w:r>
                    <w:rPr>
                      <w:rFonts w:hint="eastAsia" w:ascii="Times New Roman" w:hAnsi="Times New Roman" w:eastAsia="宋体" w:cs="Times New Roman"/>
                      <w:color w:val="auto"/>
                      <w:spacing w:val="2"/>
                      <w:kern w:val="2"/>
                      <w:sz w:val="21"/>
                      <w:szCs w:val="21"/>
                      <w:lang w:val="en-US" w:eastAsia="zh-CN" w:bidi="ar-SA"/>
                    </w:rPr>
                    <w:t>的废水经处理后达标排放</w:t>
                  </w:r>
                  <w:r>
                    <w:rPr>
                      <w:rFonts w:hint="eastAsia" w:ascii="Times New Roman" w:hAnsi="Times New Roman" w:cs="Times New Roman"/>
                      <w:color w:val="auto"/>
                      <w:spacing w:val="2"/>
                      <w:kern w:val="2"/>
                      <w:sz w:val="21"/>
                      <w:szCs w:val="21"/>
                      <w:lang w:val="en-US" w:eastAsia="zh-CN" w:bidi="ar-SA"/>
                    </w:rPr>
                    <w:t>至</w:t>
                  </w:r>
                  <w:r>
                    <w:rPr>
                      <w:rFonts w:hint="eastAsia" w:hAnsi="宋体" w:eastAsia="宋体" w:cs="宋体"/>
                      <w:b w:val="0"/>
                      <w:bCs w:val="0"/>
                      <w:color w:val="auto"/>
                      <w:sz w:val="21"/>
                      <w:szCs w:val="21"/>
                      <w:highlight w:val="none"/>
                      <w:lang w:val="en-US" w:eastAsia="zh-CN"/>
                    </w:rPr>
                    <w:t>星火</w:t>
                  </w:r>
                  <w:r>
                    <w:rPr>
                      <w:rFonts w:hint="eastAsia" w:hAnsi="宋体" w:eastAsia="宋体" w:cs="宋体"/>
                      <w:b w:val="0"/>
                      <w:bCs w:val="0"/>
                      <w:color w:val="auto"/>
                      <w:sz w:val="21"/>
                      <w:szCs w:val="21"/>
                      <w:highlight w:val="none"/>
                      <w:lang w:eastAsia="zh-CN"/>
                    </w:rPr>
                    <w:t>工业园污水处理厂</w:t>
                  </w:r>
                </w:p>
              </w:tc>
              <w:tc>
                <w:tcPr>
                  <w:tcW w:w="643" w:type="dxa"/>
                  <w:tcBorders>
                    <w:tl2br w:val="nil"/>
                    <w:tr2bl w:val="nil"/>
                  </w:tcBorders>
                  <w:vAlign w:val="center"/>
                </w:tcPr>
                <w:p w14:paraId="30CA6138">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33932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3FBFB124">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再生加工过程中产生废气、粉尘的加工车间应设置废气、粉尘收集处理设施，通过净化处理，达标后排放；</w:t>
                  </w:r>
                </w:p>
              </w:tc>
              <w:tc>
                <w:tcPr>
                  <w:tcW w:w="2254" w:type="dxa"/>
                  <w:tcBorders>
                    <w:tl2br w:val="nil"/>
                    <w:tr2bl w:val="nil"/>
                  </w:tcBorders>
                  <w:vAlign w:val="center"/>
                </w:tcPr>
                <w:p w14:paraId="6CFCB4DB">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按要求收集处置净化后达标排放</w:t>
                  </w:r>
                </w:p>
              </w:tc>
              <w:tc>
                <w:tcPr>
                  <w:tcW w:w="643" w:type="dxa"/>
                  <w:tcBorders>
                    <w:tl2br w:val="nil"/>
                    <w:tr2bl w:val="nil"/>
                  </w:tcBorders>
                  <w:vAlign w:val="center"/>
                </w:tcPr>
                <w:p w14:paraId="22177394">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r w14:paraId="39769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1" w:type="dxa"/>
                  <w:tcBorders>
                    <w:tl2br w:val="nil"/>
                    <w:tr2bl w:val="nil"/>
                  </w:tcBorders>
                  <w:vAlign w:val="center"/>
                </w:tcPr>
                <w:p w14:paraId="2F872BF2">
                  <w:pPr>
                    <w:pStyle w:val="36"/>
                    <w:keepNext w:val="0"/>
                    <w:keepLines w:val="0"/>
                    <w:pageBreakBefore w:val="0"/>
                    <w:widowControl w:val="0"/>
                    <w:kinsoku/>
                    <w:wordWrap w:val="0"/>
                    <w:overflowPunct/>
                    <w:topLinePunct w:val="0"/>
                    <w:autoSpaceDE/>
                    <w:autoSpaceDN/>
                    <w:bidi w:val="0"/>
                    <w:adjustRightInd/>
                    <w:snapToGrid/>
                    <w:spacing w:beforeLines="0" w:afterLines="0" w:line="240" w:lineRule="auto"/>
                    <w:ind w:firstLine="0" w:firstLineChars="0"/>
                    <w:jc w:val="left"/>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对于加工过程中噪音污染大的设备，必须采取降噪和隔音措施，企业噪声应达到《工业企业厂界环境噪声排放标准》；</w:t>
                  </w:r>
                </w:p>
              </w:tc>
              <w:tc>
                <w:tcPr>
                  <w:tcW w:w="2254" w:type="dxa"/>
                  <w:tcBorders>
                    <w:tl2br w:val="nil"/>
                    <w:tr2bl w:val="nil"/>
                  </w:tcBorders>
                  <w:vAlign w:val="center"/>
                </w:tcPr>
                <w:p w14:paraId="503F14D4">
                  <w:pPr>
                    <w:pStyle w:val="36"/>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设置了减振垫、消声器等降噪措施处 理后企业噪声可达到《工业企业厂界环境噪声排放标准》3类标准</w:t>
                  </w:r>
                </w:p>
              </w:tc>
              <w:tc>
                <w:tcPr>
                  <w:tcW w:w="643" w:type="dxa"/>
                  <w:tcBorders>
                    <w:tl2br w:val="nil"/>
                    <w:tr2bl w:val="nil"/>
                  </w:tcBorders>
                  <w:vAlign w:val="center"/>
                </w:tcPr>
                <w:p w14:paraId="1D1AA57B">
                  <w:pPr>
                    <w:pStyle w:val="3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符合</w:t>
                  </w:r>
                </w:p>
              </w:tc>
            </w:tr>
          </w:tbl>
          <w:p w14:paraId="7953582C">
            <w:pPr>
              <w:keepNext w:val="0"/>
              <w:keepLines w:val="0"/>
              <w:pageBreakBefore w:val="0"/>
              <w:widowControl/>
              <w:suppressLineNumbers w:val="0"/>
              <w:kinsoku/>
              <w:wordWrap/>
              <w:overflowPunct/>
              <w:topLinePunct w:val="0"/>
              <w:bidi w:val="0"/>
              <w:adjustRightInd/>
              <w:snapToGrid/>
              <w:spacing w:line="360" w:lineRule="auto"/>
              <w:ind w:firstLine="482"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kern w:val="0"/>
                <w:sz w:val="24"/>
                <w:szCs w:val="24"/>
                <w:lang w:val="en-US" w:eastAsia="zh-CN"/>
              </w:rPr>
              <w:t>8、</w:t>
            </w:r>
            <w:r>
              <w:rPr>
                <w:rFonts w:hint="eastAsia" w:asciiTheme="minorEastAsia" w:hAnsiTheme="minorEastAsia" w:eastAsiaTheme="minorEastAsia" w:cstheme="minorEastAsia"/>
                <w:b/>
                <w:bCs/>
                <w:color w:val="auto"/>
                <w:kern w:val="0"/>
                <w:sz w:val="24"/>
                <w:szCs w:val="24"/>
                <w:lang w:val="en-US" w:eastAsia="zh-CN" w:bidi="ar"/>
              </w:rPr>
              <w:t>与《鄱阳湖生态经济区环境保护条例》的相符性分析</w:t>
            </w:r>
          </w:p>
          <w:p w14:paraId="2D34AD58">
            <w:pPr>
              <w:keepNext w:val="0"/>
              <w:keepLines w:val="0"/>
              <w:pageBreakBefore w:val="0"/>
              <w:kinsoku/>
              <w:wordWrap/>
              <w:overflowPunct/>
              <w:topLinePunct w:val="0"/>
              <w:autoSpaceDE w:val="0"/>
              <w:autoSpaceDN w:val="0"/>
              <w:bidi w:val="0"/>
              <w:adjustRightInd/>
              <w:snapToGrid/>
              <w:spacing w:beforeAutospacing="0" w:afterAutospacing="0" w:line="360" w:lineRule="auto"/>
              <w:ind w:left="0" w:leftChars="0"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 xml:space="preserve">2012年3月29日江西省第十一届人民代表大会常务委员会第三十次会议通过》并实施，永修云山经济开发区属于鄱阳湖生态经济区高效集约发展区范围内，为重点开发区域。 </w:t>
            </w:r>
          </w:p>
          <w:p w14:paraId="244CDC9F">
            <w:pPr>
              <w:keepNext w:val="0"/>
              <w:keepLines w:val="0"/>
              <w:pageBreakBefore w:val="0"/>
              <w:kinsoku/>
              <w:wordWrap/>
              <w:overflowPunct/>
              <w:topLinePunct w:val="0"/>
              <w:autoSpaceDE w:val="0"/>
              <w:autoSpaceDN w:val="0"/>
              <w:bidi w:val="0"/>
              <w:adjustRightInd/>
              <w:snapToGrid/>
              <w:spacing w:beforeAutospacing="0" w:afterAutospacing="0" w:line="360" w:lineRule="auto"/>
              <w:ind w:left="0" w:leftChars="0"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 xml:space="preserve">根据《江西永修云山经济开发区扩区调区规划环境影响报告书》：规划的永修云山经济开发区内各企业配套建有相关环保治理设施，永修云山经济开发区依托已建成的集中污水处理设施，贯彻生态理念到永修云山经济开发区的日常建设和管理中。通过积极转变现有发展模式、提升水污染防治水平、开展大气和地表水污染整治等环境保护措施，可进一步改善地表水和大气环境质量，永修云山经济开发区规划与《鄱阳湖生态经济区环境保护条例》是相符的。 </w:t>
            </w:r>
          </w:p>
          <w:p w14:paraId="61023A26">
            <w:pPr>
              <w:keepNext w:val="0"/>
              <w:keepLines w:val="0"/>
              <w:pageBreakBefore w:val="0"/>
              <w:kinsoku/>
              <w:wordWrap/>
              <w:overflowPunct/>
              <w:topLinePunct w:val="0"/>
              <w:autoSpaceDE w:val="0"/>
              <w:autoSpaceDN w:val="0"/>
              <w:bidi w:val="0"/>
              <w:adjustRightInd/>
              <w:snapToGrid/>
              <w:spacing w:beforeAutospacing="0" w:afterAutospacing="0"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heme="minorEastAsia" w:hAnsiTheme="minorEastAsia" w:eastAsiaTheme="minorEastAsia" w:cstheme="minorEastAsia"/>
                <w:color w:val="auto"/>
                <w:kern w:val="0"/>
                <w:sz w:val="24"/>
                <w:szCs w:val="24"/>
                <w:lang w:val="en-US" w:eastAsia="zh-CN"/>
              </w:rPr>
              <w:t>本项目位于江西永修云山经济开发区云山工业园园区，符合园区规划，在落实各项环保设施保证污染物达标排放前提下，本项目废水经厂区污水处理站处理达到星火工业园污水处理厂接管标准要求，项目符合《鄱阳湖生态经济区环境保护条例》。</w:t>
            </w:r>
          </w:p>
        </w:tc>
      </w:tr>
    </w:tbl>
    <w:p w14:paraId="602FF9E1">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1DA4B9F6">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07A9235E">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505B9590">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46146D10">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6E099914">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75908B90">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657EF7DA">
      <w:pPr>
        <w:pStyle w:val="14"/>
        <w:pageBreakBefore w:val="0"/>
        <w:topLinePunct w:val="0"/>
        <w:bidi w:val="0"/>
        <w:adjustRightInd/>
        <w:snapToGrid/>
        <w:spacing w:before="0" w:beforeAutospacing="0" w:after="0" w:afterAutospacing="0"/>
        <w:ind w:left="0" w:leftChars="0" w:right="0" w:rightChars="0"/>
        <w:jc w:val="center"/>
        <w:outlineLvl w:val="0"/>
        <w:rPr>
          <w:rFonts w:hint="eastAsia" w:ascii="黑体" w:hAnsi="黑体" w:eastAsia="黑体"/>
          <w:snapToGrid w:val="0"/>
          <w:color w:val="auto"/>
          <w:sz w:val="30"/>
          <w:szCs w:val="30"/>
        </w:rPr>
      </w:pPr>
    </w:p>
    <w:p w14:paraId="4FB5D0C8">
      <w:pPr>
        <w:pStyle w:val="14"/>
        <w:pageBreakBefore w:val="0"/>
        <w:topLinePunct w:val="0"/>
        <w:bidi w:val="0"/>
        <w:adjustRightInd/>
        <w:snapToGrid/>
        <w:spacing w:before="0" w:beforeAutospacing="0" w:after="0" w:afterAutospacing="0"/>
        <w:ind w:left="0" w:leftChars="0" w:right="0" w:rightChars="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9"/>
        <w:gridCol w:w="7740"/>
      </w:tblGrid>
      <w:tr w14:paraId="403EF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57" w:type="pct"/>
            <w:noWrap w:val="0"/>
            <w:vAlign w:val="center"/>
          </w:tcPr>
          <w:p w14:paraId="7E2593C1">
            <w:pPr>
              <w:pStyle w:val="14"/>
              <w:pageBreakBefore w:val="0"/>
              <w:topLinePunct w:val="0"/>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c>
          <w:tcPr>
            <w:tcW w:w="4542" w:type="pct"/>
            <w:noWrap w:val="0"/>
            <w:vAlign w:val="top"/>
          </w:tcPr>
          <w:p w14:paraId="26A906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default" w:ascii="Times New Roman" w:hAnsi="Times New Roman" w:eastAsia="宋体"/>
                <w:b w:val="0"/>
                <w:color w:val="auto"/>
                <w:sz w:val="24"/>
                <w:szCs w:val="24"/>
                <w:lang w:val="en-US" w:eastAsia="zh-CN"/>
              </w:rPr>
            </w:pPr>
            <w:r>
              <w:rPr>
                <w:b/>
                <w:color w:val="auto"/>
                <w:sz w:val="24"/>
                <w:szCs w:val="24"/>
              </w:rPr>
              <w:t>1、项目背景及由来</w:t>
            </w:r>
          </w:p>
          <w:p w14:paraId="6EBA97FE">
            <w:pPr>
              <w:pStyle w:val="27"/>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shd w:val="clear" w:color="auto" w:fill="auto"/>
                <w:lang w:val="en-US" w:eastAsia="zh-CN"/>
              </w:rPr>
            </w:pPr>
            <w:r>
              <w:rPr>
                <w:rFonts w:hint="eastAsia" w:ascii="Times New Roman" w:hAnsi="Times New Roman" w:cs="Times New Roman"/>
                <w:color w:val="auto"/>
                <w:sz w:val="24"/>
                <w:szCs w:val="24"/>
                <w:highlight w:val="none"/>
                <w:shd w:val="clear" w:color="auto" w:fill="auto"/>
                <w:lang w:val="en-US" w:eastAsia="zh-CN"/>
              </w:rPr>
              <w:t>江西鑫润绿色循环发展有限公司成立于2019年01月，位于江西省九江市永修县云山经济开发区</w:t>
            </w:r>
            <w:r>
              <w:rPr>
                <w:rFonts w:hint="eastAsia" w:asciiTheme="minorEastAsia" w:hAnsiTheme="minorEastAsia" w:eastAsiaTheme="minorEastAsia" w:cstheme="minorEastAsia"/>
                <w:snapToGrid w:val="0"/>
                <w:color w:val="auto"/>
                <w:kern w:val="18"/>
                <w:sz w:val="24"/>
                <w:szCs w:val="24"/>
                <w:lang w:val="en-US" w:eastAsia="zh-CN"/>
              </w:rPr>
              <w:t>云山工业园园荣祺大道南侧</w:t>
            </w:r>
            <w:r>
              <w:rPr>
                <w:rFonts w:hint="eastAsia" w:ascii="Times New Roman" w:hAnsi="Times New Roman" w:cs="Times New Roman"/>
                <w:color w:val="auto"/>
                <w:sz w:val="24"/>
                <w:szCs w:val="24"/>
                <w:highlight w:val="none"/>
                <w:shd w:val="clear" w:color="auto" w:fill="auto"/>
                <w:lang w:val="en-US" w:eastAsia="zh-CN"/>
              </w:rPr>
              <w:t>，于2019年5月委托江西浔泽环保建设有限公司编制完成了《江西鑫润绿色循环发展有限公司年产2万吨新型材料燃料棒等产品项目环境影响报告书》，九江市永修生态环境局于2019年10月31日以《关于江西鑫润绿色循环发展有限公司年产2万吨新型材料燃料棒等产品项目环境影响报告书的批复》（九永环审（2019）49号）予以批复，并在2023年</w:t>
            </w:r>
            <w:r>
              <w:rPr>
                <w:rFonts w:hint="eastAsia" w:ascii="Times New Roman" w:cs="Times New Roman"/>
                <w:color w:val="auto"/>
                <w:sz w:val="24"/>
                <w:szCs w:val="24"/>
                <w:highlight w:val="none"/>
                <w:shd w:val="clear" w:color="auto" w:fill="auto"/>
                <w:lang w:val="en-US" w:eastAsia="zh-CN"/>
              </w:rPr>
              <w:t>完成</w:t>
            </w:r>
            <w:r>
              <w:rPr>
                <w:rFonts w:hint="eastAsia" w:ascii="Times New Roman" w:hAnsi="Times New Roman" w:cs="Times New Roman"/>
                <w:color w:val="auto"/>
                <w:sz w:val="24"/>
                <w:szCs w:val="24"/>
                <w:highlight w:val="none"/>
                <w:shd w:val="clear" w:color="auto" w:fill="auto"/>
                <w:lang w:val="en-US" w:eastAsia="zh-CN"/>
              </w:rPr>
              <w:t>对该项目一期工程（年产1万吨再生塑料粒子）自主验收</w:t>
            </w:r>
            <w:r>
              <w:rPr>
                <w:rFonts w:hint="eastAsia" w:ascii="Times New Roman" w:cs="Times New Roman"/>
                <w:color w:val="auto"/>
                <w:sz w:val="24"/>
                <w:szCs w:val="24"/>
                <w:highlight w:val="none"/>
                <w:shd w:val="clear" w:color="auto" w:fill="auto"/>
                <w:lang w:val="en-US" w:eastAsia="zh-CN"/>
              </w:rPr>
              <w:t>，已取得排污许可证（许可证编号：91360425MA38CC4X38001U）</w:t>
            </w:r>
            <w:r>
              <w:rPr>
                <w:rFonts w:hint="eastAsia" w:ascii="Times New Roman" w:hAnsi="Times New Roman" w:cs="Times New Roman"/>
                <w:color w:val="auto"/>
                <w:sz w:val="24"/>
                <w:szCs w:val="24"/>
                <w:highlight w:val="none"/>
                <w:shd w:val="clear" w:color="auto" w:fill="auto"/>
                <w:lang w:val="en-US" w:eastAsia="zh-CN"/>
              </w:rPr>
              <w:t>。</w:t>
            </w:r>
          </w:p>
          <w:p w14:paraId="2776DB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随着市场行情对产品质量的细分有着更严格的要求</w:t>
            </w:r>
            <w:r>
              <w:rPr>
                <w:rFonts w:hint="eastAsia" w:eastAsia="宋体"/>
                <w:color w:val="auto"/>
                <w:sz w:val="24"/>
                <w:highlight w:val="none"/>
                <w:lang w:eastAsia="zh-CN"/>
              </w:rPr>
              <w:t>，</w:t>
            </w:r>
            <w:r>
              <w:rPr>
                <w:rFonts w:hint="eastAsia" w:eastAsia="宋体"/>
                <w:color w:val="auto"/>
                <w:sz w:val="24"/>
                <w:highlight w:val="none"/>
                <w:lang w:val="en-US" w:eastAsia="zh-CN"/>
              </w:rPr>
              <w:t>为满足下游企业订单需求，建设单位拟对现有年产1万吨再生塑料粒子项目进行技术改造。主要内容如下：①本次技术改造不改变原设计生产产能，原料新增加</w:t>
            </w:r>
            <w:r>
              <w:rPr>
                <w:rFonts w:hint="eastAsia" w:ascii="宋体" w:hAnsi="宋体" w:eastAsia="宋体" w:cs="宋体"/>
                <w:color w:val="auto"/>
                <w:sz w:val="24"/>
                <w:szCs w:val="24"/>
                <w:lang w:val="en-US" w:eastAsia="zh-CN"/>
              </w:rPr>
              <w:t>ABS</w:t>
            </w:r>
            <w:r>
              <w:rPr>
                <w:rFonts w:hint="eastAsia" w:eastAsia="宋体"/>
                <w:color w:val="auto"/>
                <w:sz w:val="24"/>
                <w:highlight w:val="none"/>
                <w:lang w:val="en-US" w:eastAsia="zh-CN"/>
              </w:rPr>
              <w:t>材料种类，因此生产过程中需对原部分生产设备进行调整，新增静电分选机、色选机等设备；②本次技改为满足部分客户对产品的小批量定制要求，产品细分品类增多，需新增4条造粒生产线及配套设施；③为优化公司产品性能，</w:t>
            </w:r>
            <w:r>
              <w:rPr>
                <w:rFonts w:hint="eastAsia" w:eastAsia="宋体"/>
                <w:color w:val="auto"/>
                <w:sz w:val="24"/>
                <w:highlight w:val="none"/>
                <w:lang w:eastAsia="zh-CN"/>
              </w:rPr>
              <w:t>原有</w:t>
            </w:r>
            <w:r>
              <w:rPr>
                <w:rFonts w:hint="eastAsia" w:ascii="Times New Roman" w:hAnsi="Times New Roman" w:cs="Times New Roman"/>
                <w:color w:val="auto"/>
                <w:sz w:val="24"/>
                <w:szCs w:val="24"/>
                <w:highlight w:val="none"/>
                <w:shd w:val="clear" w:color="auto" w:fill="auto"/>
                <w:lang w:val="en-US" w:eastAsia="zh-CN"/>
              </w:rPr>
              <w:t>再生塑料粒子</w:t>
            </w:r>
            <w:r>
              <w:rPr>
                <w:rFonts w:hint="eastAsia" w:eastAsia="宋体"/>
                <w:color w:val="auto"/>
                <w:sz w:val="24"/>
                <w:highlight w:val="none"/>
                <w:lang w:eastAsia="zh-CN"/>
              </w:rPr>
              <w:t>循环用水水质达不到产品更严格要求，故本次技改将原有的生产废水由处理后循环使用</w:t>
            </w:r>
            <w:r>
              <w:rPr>
                <w:rFonts w:hint="eastAsia" w:eastAsia="宋体"/>
                <w:color w:val="auto"/>
                <w:sz w:val="24"/>
                <w:highlight w:val="none"/>
                <w:lang w:val="en-US" w:eastAsia="zh-CN"/>
              </w:rPr>
              <w:t>不外排</w:t>
            </w:r>
            <w:r>
              <w:rPr>
                <w:rFonts w:hint="eastAsia" w:eastAsia="宋体"/>
                <w:color w:val="auto"/>
                <w:sz w:val="24"/>
                <w:highlight w:val="none"/>
                <w:lang w:eastAsia="zh-CN"/>
              </w:rPr>
              <w:t>技改成处理后</w:t>
            </w:r>
            <w:r>
              <w:rPr>
                <w:rFonts w:hint="eastAsia" w:eastAsia="宋体"/>
                <w:color w:val="auto"/>
                <w:sz w:val="24"/>
                <w:highlight w:val="none"/>
                <w:lang w:val="en-US" w:eastAsia="zh-CN"/>
              </w:rPr>
              <w:t>部分生产废水</w:t>
            </w:r>
            <w:r>
              <w:rPr>
                <w:rFonts w:hint="eastAsia" w:eastAsia="宋体"/>
                <w:color w:val="auto"/>
                <w:sz w:val="24"/>
                <w:highlight w:val="none"/>
                <w:lang w:eastAsia="zh-CN"/>
              </w:rPr>
              <w:t>与生活污水一起排放至</w:t>
            </w:r>
            <w:r>
              <w:rPr>
                <w:rFonts w:hint="eastAsia" w:eastAsia="宋体"/>
                <w:color w:val="auto"/>
                <w:sz w:val="24"/>
                <w:highlight w:val="none"/>
                <w:lang w:val="en-US" w:eastAsia="zh-CN"/>
              </w:rPr>
              <w:t>星火工业园</w:t>
            </w:r>
            <w:r>
              <w:rPr>
                <w:rFonts w:hint="eastAsia" w:eastAsia="宋体"/>
                <w:color w:val="auto"/>
                <w:sz w:val="24"/>
                <w:highlight w:val="none"/>
                <w:lang w:eastAsia="zh-CN"/>
              </w:rPr>
              <w:t>园区污水处理厂处理。</w:t>
            </w:r>
          </w:p>
          <w:p w14:paraId="40140C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ascii="Times New Roman" w:hAnsi="Times New Roman" w:eastAsia="Times New Roman" w:cs="Times New Roman"/>
                <w:color w:val="auto"/>
                <w:sz w:val="24"/>
                <w:szCs w:val="24"/>
                <w:highlight w:val="none"/>
                <w:shd w:val="clear" w:color="auto" w:fill="auto"/>
                <w:lang w:val="en-US" w:eastAsia="zh-CN"/>
              </w:rPr>
              <w:t>本次技改项目建设内容为一期工程（年产1万吨再生塑料粒子），不包括年产2万吨新型材料燃料棒加工项目未建设内容。</w:t>
            </w:r>
          </w:p>
          <w:p w14:paraId="1C6E40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eastAsia="宋体" w:asciiTheme="minorEastAsia" w:hAnsiTheme="minorEastAsia" w:cstheme="minorEastAsia"/>
                <w:color w:val="auto"/>
                <w:sz w:val="24"/>
                <w:szCs w:val="24"/>
                <w:lang w:val="en-US" w:eastAsia="zh-CN"/>
              </w:rPr>
            </w:pPr>
            <w:r>
              <w:rPr>
                <w:rFonts w:ascii="宋体" w:hAnsi="宋体" w:eastAsia="宋体" w:cs="宋体"/>
                <w:color w:val="auto"/>
                <w:sz w:val="24"/>
                <w:szCs w:val="24"/>
              </w:rPr>
              <w:t>根据《中华人民共和国环境影响评价法》（2018年修订）</w:t>
            </w:r>
            <w:r>
              <w:rPr>
                <w:rFonts w:hint="eastAsia" w:ascii="宋体" w:hAnsi="宋体" w:eastAsia="宋体" w:cs="宋体"/>
                <w:color w:val="auto"/>
                <w:sz w:val="24"/>
                <w:szCs w:val="24"/>
                <w:lang w:val="en-US" w:eastAsia="zh-CN"/>
              </w:rPr>
              <w:t>和国家环境保护部</w:t>
            </w:r>
            <w:r>
              <w:rPr>
                <w:rFonts w:hint="eastAsia" w:asciiTheme="minorEastAsia" w:hAnsiTheme="minorEastAsia" w:eastAsiaTheme="minorEastAsia" w:cstheme="minorEastAsia"/>
                <w:color w:val="auto"/>
                <w:sz w:val="24"/>
                <w:szCs w:val="24"/>
              </w:rPr>
              <w:t>《建设项目环境影响评价分类管理名录》（</w:t>
            </w:r>
            <w:r>
              <w:rPr>
                <w:rFonts w:hint="eastAsia" w:asciiTheme="minorEastAsia" w:hAnsiTheme="minorEastAsia" w:eastAsiaTheme="minorEastAsia" w:cstheme="minorEastAsia"/>
                <w:color w:val="auto"/>
                <w:sz w:val="24"/>
                <w:szCs w:val="24"/>
                <w:lang w:val="en-US" w:eastAsia="zh-CN"/>
              </w:rPr>
              <w:t>2021年版</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中的有关规定</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本项目属于“</w:t>
            </w:r>
            <w:r>
              <w:rPr>
                <w:rFonts w:hint="eastAsia"/>
                <w:color w:val="auto"/>
                <w:kern w:val="0"/>
                <w:sz w:val="24"/>
              </w:rPr>
              <w:t>三十</w:t>
            </w:r>
            <w:r>
              <w:rPr>
                <w:rFonts w:hint="eastAsia" w:eastAsia="宋体"/>
                <w:color w:val="auto"/>
                <w:kern w:val="0"/>
                <w:sz w:val="24"/>
                <w:lang w:val="en-US" w:eastAsia="zh-CN"/>
              </w:rPr>
              <w:t>九</w:t>
            </w:r>
            <w:r>
              <w:rPr>
                <w:rFonts w:hint="eastAsia"/>
                <w:color w:val="auto"/>
                <w:kern w:val="0"/>
                <w:sz w:val="24"/>
              </w:rPr>
              <w:t>、废弃资源综合利用业</w:t>
            </w:r>
            <w:r>
              <w:rPr>
                <w:rFonts w:hint="eastAsia" w:eastAsia="宋体"/>
                <w:color w:val="auto"/>
                <w:kern w:val="0"/>
                <w:sz w:val="24"/>
                <w:lang w:val="en-US" w:eastAsia="zh-CN"/>
              </w:rPr>
              <w:t>42</w:t>
            </w:r>
            <w:r>
              <w:rPr>
                <w:rFonts w:hint="eastAsia"/>
                <w:color w:val="auto"/>
                <w:kern w:val="0"/>
                <w:sz w:val="24"/>
              </w:rPr>
              <w:t>，</w:t>
            </w:r>
            <w:r>
              <w:rPr>
                <w:rFonts w:hint="eastAsia" w:eastAsia="宋体"/>
                <w:color w:val="auto"/>
                <w:kern w:val="0"/>
                <w:sz w:val="24"/>
                <w:lang w:val="en-US" w:eastAsia="zh-CN"/>
              </w:rPr>
              <w:t>85非金属废料和碎屑加工处理422(421和422均不含原料为危险废物的，均不含仅分拣、破碎的)中的废塑料加工处理</w:t>
            </w:r>
            <w:r>
              <w:rPr>
                <w:rFonts w:hint="eastAsia" w:asciiTheme="minorEastAsia" w:hAnsiTheme="minorEastAsia" w:eastAsiaTheme="minorEastAsia" w:cstheme="minorEastAsia"/>
                <w:color w:val="auto"/>
                <w:sz w:val="24"/>
                <w:szCs w:val="24"/>
              </w:rPr>
              <w:t>”，应编制环境影响报告表。</w:t>
            </w:r>
            <w:r>
              <w:rPr>
                <w:rFonts w:ascii="宋体" w:hAnsi="宋体" w:eastAsia="宋体" w:cs="宋体"/>
                <w:color w:val="auto"/>
                <w:sz w:val="24"/>
                <w:szCs w:val="24"/>
              </w:rPr>
              <w:t>受建设单位委托（环评委托书见附件1），我</w:t>
            </w:r>
            <w:r>
              <w:rPr>
                <w:rFonts w:hint="eastAsia" w:ascii="宋体" w:hAnsi="宋体" w:eastAsia="宋体" w:cs="宋体"/>
                <w:color w:val="auto"/>
                <w:sz w:val="24"/>
                <w:szCs w:val="24"/>
                <w:lang w:val="en-US" w:eastAsia="zh-CN"/>
              </w:rPr>
              <w:t>公</w:t>
            </w:r>
            <w:r>
              <w:rPr>
                <w:rFonts w:ascii="宋体" w:hAnsi="宋体" w:eastAsia="宋体" w:cs="宋体"/>
                <w:color w:val="auto"/>
                <w:sz w:val="24"/>
                <w:szCs w:val="24"/>
              </w:rPr>
              <w:t>司承担此项目环境影响评价工作。我公司在接受委托后，组织有关人员前往现场进行了实地踏勘</w:t>
            </w:r>
            <w:r>
              <w:rPr>
                <w:rFonts w:hint="default" w:ascii="宋体" w:hAnsi="宋体" w:eastAsia="宋体" w:cs="宋体"/>
                <w:color w:val="auto"/>
                <w:sz w:val="24"/>
                <w:szCs w:val="24"/>
              </w:rPr>
              <w:t>、相关资料收集及其他相关工作，最终完成了报告表的编制工作，现提交建设单位，供生态环境主管部门审查批准</w:t>
            </w:r>
            <w:r>
              <w:rPr>
                <w:rFonts w:hint="eastAsia" w:ascii="宋体" w:hAnsi="宋体" w:eastAsia="宋体" w:cs="宋体"/>
                <w:color w:val="auto"/>
                <w:sz w:val="24"/>
                <w:szCs w:val="24"/>
                <w:lang w:eastAsia="zh-CN"/>
              </w:rPr>
              <w:t>。</w:t>
            </w:r>
          </w:p>
          <w:p w14:paraId="329895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2、项目情况</w:t>
            </w:r>
          </w:p>
          <w:p w14:paraId="1660A1FF">
            <w:pPr>
              <w:pageBreakBefore w:val="0"/>
              <w:topLinePunct w:val="0"/>
              <w:bidi w:val="0"/>
              <w:adjustRightInd/>
              <w:snapToGrid/>
              <w:spacing w:beforeAutospacing="0" w:afterAutospacing="0" w:line="360" w:lineRule="auto"/>
              <w:ind w:left="0" w:leftChars="0" w:right="0" w:rightChars="0" w:firstLine="480" w:firstLineChars="200"/>
              <w:rPr>
                <w:rFonts w:hint="default"/>
                <w:color w:val="auto"/>
                <w:sz w:val="24"/>
                <w:szCs w:val="24"/>
                <w:lang w:val="en-US" w:eastAsia="zh-CN"/>
              </w:rPr>
            </w:pPr>
            <w:r>
              <w:rPr>
                <w:rFonts w:hint="eastAsia"/>
                <w:color w:val="auto"/>
                <w:sz w:val="24"/>
                <w:szCs w:val="24"/>
              </w:rPr>
              <w:t>项目名称：江西鑫润绿色循环发展有限公司再生塑料颗粒技术改造</w:t>
            </w:r>
            <w:r>
              <w:rPr>
                <w:rFonts w:hint="eastAsia"/>
                <w:color w:val="auto"/>
                <w:sz w:val="24"/>
                <w:szCs w:val="24"/>
                <w:lang w:val="en-US" w:eastAsia="zh-CN"/>
              </w:rPr>
              <w:t>项目；</w:t>
            </w:r>
          </w:p>
          <w:p w14:paraId="27E2A32D">
            <w:pPr>
              <w:pageBreakBefore w:val="0"/>
              <w:topLinePunct w:val="0"/>
              <w:bidi w:val="0"/>
              <w:adjustRightInd/>
              <w:snapToGrid/>
              <w:spacing w:beforeAutospacing="0" w:afterAutospacing="0" w:line="360" w:lineRule="auto"/>
              <w:ind w:left="0" w:leftChars="0" w:right="0" w:rightChars="0" w:firstLine="480" w:firstLineChars="200"/>
              <w:rPr>
                <w:rFonts w:hint="eastAsia" w:eastAsia="宋体"/>
                <w:color w:val="auto"/>
                <w:sz w:val="24"/>
                <w:szCs w:val="24"/>
                <w:lang w:eastAsia="zh-CN"/>
              </w:rPr>
            </w:pPr>
            <w:r>
              <w:rPr>
                <w:rFonts w:hint="eastAsia"/>
                <w:color w:val="auto"/>
                <w:sz w:val="24"/>
                <w:szCs w:val="24"/>
              </w:rPr>
              <w:t>建设地点：永修县云山经济开发区</w:t>
            </w:r>
            <w:r>
              <w:rPr>
                <w:rFonts w:hint="eastAsia" w:eastAsia="宋体"/>
                <w:color w:val="auto"/>
                <w:sz w:val="24"/>
                <w:szCs w:val="24"/>
                <w:lang w:eastAsia="zh-CN"/>
              </w:rPr>
              <w:t>云山工业</w:t>
            </w:r>
            <w:r>
              <w:rPr>
                <w:rFonts w:hint="eastAsia"/>
                <w:color w:val="auto"/>
                <w:sz w:val="24"/>
                <w:szCs w:val="24"/>
              </w:rPr>
              <w:t>园荣祺大道南侧（</w:t>
            </w:r>
            <w:r>
              <w:rPr>
                <w:rFonts w:hint="eastAsia"/>
                <w:color w:val="auto"/>
                <w:kern w:val="0"/>
                <w:sz w:val="24"/>
              </w:rPr>
              <w:t>东经</w:t>
            </w:r>
            <w:r>
              <w:rPr>
                <w:bCs/>
                <w:color w:val="auto"/>
                <w:sz w:val="24"/>
              </w:rPr>
              <w:t>115°4</w:t>
            </w:r>
            <w:r>
              <w:rPr>
                <w:rFonts w:hint="eastAsia"/>
                <w:bCs/>
                <w:color w:val="auto"/>
                <w:sz w:val="24"/>
              </w:rPr>
              <w:t>5</w:t>
            </w:r>
            <w:r>
              <w:rPr>
                <w:bCs/>
                <w:color w:val="auto"/>
                <w:sz w:val="24"/>
              </w:rPr>
              <w:t>′</w:t>
            </w:r>
            <w:r>
              <w:rPr>
                <w:rFonts w:hint="eastAsia"/>
                <w:bCs/>
                <w:color w:val="auto"/>
                <w:sz w:val="24"/>
              </w:rPr>
              <w:t>13.520</w:t>
            </w:r>
            <w:r>
              <w:rPr>
                <w:bCs/>
                <w:color w:val="auto"/>
                <w:sz w:val="24"/>
              </w:rPr>
              <w:t>′′</w:t>
            </w:r>
            <w:r>
              <w:rPr>
                <w:rFonts w:hint="eastAsia"/>
                <w:color w:val="auto"/>
                <w:kern w:val="0"/>
                <w:sz w:val="24"/>
              </w:rPr>
              <w:t>，北纬</w:t>
            </w:r>
            <w:r>
              <w:rPr>
                <w:bCs/>
                <w:color w:val="auto"/>
                <w:sz w:val="24"/>
              </w:rPr>
              <w:t>29°7′</w:t>
            </w:r>
            <w:r>
              <w:rPr>
                <w:rFonts w:hint="eastAsia"/>
                <w:bCs/>
                <w:color w:val="auto"/>
                <w:sz w:val="24"/>
              </w:rPr>
              <w:t>59.248</w:t>
            </w:r>
            <w:r>
              <w:rPr>
                <w:bCs/>
                <w:color w:val="auto"/>
                <w:sz w:val="24"/>
              </w:rPr>
              <w:t>′′</w:t>
            </w:r>
            <w:r>
              <w:rPr>
                <w:rFonts w:hint="eastAsia"/>
                <w:color w:val="auto"/>
                <w:sz w:val="24"/>
                <w:szCs w:val="24"/>
              </w:rPr>
              <w:t>）</w:t>
            </w:r>
            <w:r>
              <w:rPr>
                <w:rFonts w:hint="eastAsia"/>
                <w:color w:val="auto"/>
                <w:sz w:val="24"/>
                <w:szCs w:val="24"/>
                <w:lang w:eastAsia="zh-CN"/>
              </w:rPr>
              <w:t>；</w:t>
            </w:r>
          </w:p>
          <w:p w14:paraId="066BAED4">
            <w:pPr>
              <w:pageBreakBefore w:val="0"/>
              <w:topLinePunct w:val="0"/>
              <w:bidi w:val="0"/>
              <w:adjustRightInd/>
              <w:snapToGrid/>
              <w:spacing w:beforeAutospacing="0" w:afterAutospacing="0" w:line="360" w:lineRule="auto"/>
              <w:ind w:left="0" w:leftChars="0" w:right="0" w:rightChars="0" w:firstLine="480" w:firstLineChars="200"/>
              <w:rPr>
                <w:rFonts w:hint="eastAsia"/>
                <w:color w:val="auto"/>
                <w:sz w:val="24"/>
                <w:szCs w:val="24"/>
                <w:lang w:val="en-US" w:eastAsia="zh-CN"/>
              </w:rPr>
            </w:pPr>
            <w:r>
              <w:rPr>
                <w:rFonts w:hint="eastAsia"/>
                <w:color w:val="auto"/>
                <w:sz w:val="24"/>
                <w:szCs w:val="24"/>
              </w:rPr>
              <w:t>建设单位：</w:t>
            </w:r>
            <w:r>
              <w:rPr>
                <w:rFonts w:ascii="宋体" w:hAnsi="宋体" w:eastAsia="宋体" w:cs="宋体"/>
                <w:color w:val="auto"/>
                <w:sz w:val="24"/>
                <w:szCs w:val="24"/>
              </w:rPr>
              <w:t>江西鑫润绿色循环发展有限公司</w:t>
            </w:r>
            <w:r>
              <w:rPr>
                <w:rFonts w:hint="eastAsia"/>
                <w:color w:val="auto"/>
                <w:sz w:val="24"/>
                <w:szCs w:val="24"/>
                <w:lang w:val="en-US" w:eastAsia="zh-CN"/>
              </w:rPr>
              <w:t>；</w:t>
            </w:r>
          </w:p>
          <w:p w14:paraId="6D9E6DE3">
            <w:pPr>
              <w:pageBreakBefore w:val="0"/>
              <w:topLinePunct w:val="0"/>
              <w:bidi w:val="0"/>
              <w:adjustRightInd/>
              <w:snapToGrid/>
              <w:spacing w:beforeAutospacing="0" w:afterAutospacing="0" w:line="360" w:lineRule="auto"/>
              <w:ind w:left="0" w:leftChars="0" w:right="0" w:rightChars="0" w:firstLine="480" w:firstLineChars="200"/>
              <w:rPr>
                <w:rFonts w:hint="eastAsia"/>
                <w:color w:val="auto"/>
                <w:sz w:val="24"/>
                <w:szCs w:val="24"/>
                <w:lang w:val="en-US" w:eastAsia="zh-CN"/>
              </w:rPr>
            </w:pPr>
            <w:r>
              <w:rPr>
                <w:rFonts w:hint="eastAsia"/>
                <w:color w:val="auto"/>
                <w:sz w:val="24"/>
                <w:szCs w:val="24"/>
              </w:rPr>
              <w:t>建设性质：</w:t>
            </w:r>
            <w:r>
              <w:rPr>
                <w:rFonts w:hint="eastAsia"/>
                <w:color w:val="auto"/>
                <w:sz w:val="24"/>
                <w:szCs w:val="24"/>
                <w:lang w:val="en-US" w:eastAsia="zh-CN"/>
              </w:rPr>
              <w:t>技改；</w:t>
            </w:r>
          </w:p>
          <w:p w14:paraId="3A05A715">
            <w:pPr>
              <w:pageBreakBefore w:val="0"/>
              <w:topLinePunct w:val="0"/>
              <w:bidi w:val="0"/>
              <w:adjustRightInd/>
              <w:snapToGrid/>
              <w:spacing w:beforeAutospacing="0" w:afterAutospacing="0" w:line="360" w:lineRule="auto"/>
              <w:ind w:left="0" w:leftChars="0" w:right="0" w:rightChars="0" w:firstLine="480" w:firstLineChars="200"/>
              <w:rPr>
                <w:rFonts w:hint="eastAsia" w:ascii="Times New Roman" w:hAnsi="Times New Roman" w:eastAsia="宋体" w:cstheme="minorEastAsia"/>
                <w:color w:val="auto"/>
                <w:sz w:val="24"/>
                <w:szCs w:val="24"/>
                <w:lang w:val="en-US" w:eastAsia="zh-CN"/>
              </w:rPr>
            </w:pPr>
            <w:r>
              <w:rPr>
                <w:rFonts w:hint="eastAsia" w:ascii="Times New Roman" w:hAnsi="Times New Roman" w:eastAsia="宋体" w:cstheme="minorEastAsia"/>
                <w:color w:val="auto"/>
                <w:sz w:val="24"/>
                <w:szCs w:val="24"/>
                <w:lang w:val="en-US" w:eastAsia="zh-CN"/>
              </w:rPr>
              <w:t>四至情况：东面为江西鑫丰驰实业有限公司，南面为瑞龙公司，西面为华大工程材料有限公司，北面隔道路为江西高透基板材料科技有限公司。</w:t>
            </w:r>
          </w:p>
          <w:tbl>
            <w:tblPr>
              <w:tblStyle w:val="22"/>
              <w:tblW w:w="752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62"/>
              <w:gridCol w:w="3763"/>
            </w:tblGrid>
            <w:tr w14:paraId="070BE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9" w:hRule="atLeast"/>
              </w:trPr>
              <w:tc>
                <w:tcPr>
                  <w:tcW w:w="3762" w:type="dxa"/>
                  <w:tcBorders>
                    <w:tl2br w:val="nil"/>
                    <w:tr2bl w:val="nil"/>
                  </w:tcBorders>
                  <w:noWrap w:val="0"/>
                  <w:vAlign w:val="center"/>
                </w:tcPr>
                <w:p w14:paraId="63426548">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eastAsia="zh-CN"/>
                    </w:rPr>
                  </w:pPr>
                  <w:r>
                    <w:rPr>
                      <w:rFonts w:hint="eastAsia" w:ascii="Times New Roman" w:hAnsi="Times New Roman" w:eastAsia="宋体" w:cs="Times New Roman"/>
                      <w:b/>
                      <w:bCs/>
                      <w:color w:val="auto"/>
                      <w:kern w:val="24"/>
                      <w:sz w:val="21"/>
                      <w:szCs w:val="21"/>
                      <w:vertAlign w:val="baseline"/>
                      <w:lang w:eastAsia="zh-CN"/>
                    </w:rPr>
                    <w:drawing>
                      <wp:inline distT="0" distB="0" distL="114300" distR="114300">
                        <wp:extent cx="2232025" cy="1254760"/>
                        <wp:effectExtent l="0" t="0" r="15875" b="2540"/>
                        <wp:docPr id="10" name="图片 10"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西"/>
                                <pic:cNvPicPr>
                                  <a:picLocks noChangeAspect="1"/>
                                </pic:cNvPicPr>
                              </pic:nvPicPr>
                              <pic:blipFill>
                                <a:blip r:embed="rId7"/>
                                <a:stretch>
                                  <a:fillRect/>
                                </a:stretch>
                              </pic:blipFill>
                              <pic:spPr>
                                <a:xfrm>
                                  <a:off x="0" y="0"/>
                                  <a:ext cx="2232025" cy="1254760"/>
                                </a:xfrm>
                                <a:prstGeom prst="rect">
                                  <a:avLst/>
                                </a:prstGeom>
                              </pic:spPr>
                            </pic:pic>
                          </a:graphicData>
                        </a:graphic>
                      </wp:inline>
                    </w:drawing>
                  </w:r>
                </w:p>
              </w:tc>
              <w:tc>
                <w:tcPr>
                  <w:tcW w:w="3763" w:type="dxa"/>
                  <w:tcBorders>
                    <w:tl2br w:val="nil"/>
                    <w:tr2bl w:val="nil"/>
                  </w:tcBorders>
                  <w:noWrap w:val="0"/>
                  <w:vAlign w:val="center"/>
                </w:tcPr>
                <w:p w14:paraId="05517E2E">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eastAsia="zh-CN"/>
                    </w:rPr>
                  </w:pPr>
                  <w:r>
                    <w:rPr>
                      <w:rFonts w:hint="eastAsia" w:ascii="Times New Roman" w:hAnsi="Times New Roman" w:eastAsia="宋体" w:cs="Times New Roman"/>
                      <w:b/>
                      <w:bCs/>
                      <w:color w:val="auto"/>
                      <w:kern w:val="24"/>
                      <w:sz w:val="21"/>
                      <w:szCs w:val="21"/>
                      <w:vertAlign w:val="baseline"/>
                      <w:lang w:eastAsia="zh-CN"/>
                    </w:rPr>
                    <w:drawing>
                      <wp:inline distT="0" distB="0" distL="114300" distR="114300">
                        <wp:extent cx="2232025" cy="1254760"/>
                        <wp:effectExtent l="0" t="0" r="15875" b="2540"/>
                        <wp:docPr id="2" name="图片 2"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
                                <pic:cNvPicPr>
                                  <a:picLocks noChangeAspect="1"/>
                                </pic:cNvPicPr>
                              </pic:nvPicPr>
                              <pic:blipFill>
                                <a:blip r:embed="rId8"/>
                                <a:stretch>
                                  <a:fillRect/>
                                </a:stretch>
                              </pic:blipFill>
                              <pic:spPr>
                                <a:xfrm>
                                  <a:off x="0" y="0"/>
                                  <a:ext cx="2232025" cy="1254760"/>
                                </a:xfrm>
                                <a:prstGeom prst="rect">
                                  <a:avLst/>
                                </a:prstGeom>
                              </pic:spPr>
                            </pic:pic>
                          </a:graphicData>
                        </a:graphic>
                      </wp:inline>
                    </w:drawing>
                  </w:r>
                </w:p>
              </w:tc>
            </w:tr>
            <w:tr w14:paraId="02D64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762" w:type="dxa"/>
                  <w:tcBorders>
                    <w:tl2br w:val="nil"/>
                    <w:tr2bl w:val="nil"/>
                  </w:tcBorders>
                  <w:noWrap w:val="0"/>
                  <w:vAlign w:val="center"/>
                </w:tcPr>
                <w:p w14:paraId="1E4999F6">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val="en-US" w:eastAsia="zh-CN"/>
                    </w:rPr>
                  </w:pPr>
                  <w:r>
                    <w:rPr>
                      <w:rFonts w:hint="eastAsia" w:cs="Times New Roman"/>
                      <w:b/>
                      <w:bCs/>
                      <w:color w:val="auto"/>
                      <w:kern w:val="24"/>
                      <w:sz w:val="21"/>
                      <w:szCs w:val="21"/>
                      <w:vertAlign w:val="baseline"/>
                      <w:lang w:val="en-US" w:eastAsia="zh-CN"/>
                    </w:rPr>
                    <w:t>东</w:t>
                  </w:r>
                  <w:r>
                    <w:rPr>
                      <w:rFonts w:hint="eastAsia" w:ascii="Times New Roman" w:hAnsi="Times New Roman" w:cs="Times New Roman"/>
                      <w:b/>
                      <w:bCs/>
                      <w:color w:val="auto"/>
                      <w:kern w:val="24"/>
                      <w:sz w:val="21"/>
                      <w:szCs w:val="21"/>
                      <w:vertAlign w:val="baseline"/>
                      <w:lang w:val="en-US" w:eastAsia="zh-CN"/>
                    </w:rPr>
                    <w:t>侧</w:t>
                  </w:r>
                </w:p>
              </w:tc>
              <w:tc>
                <w:tcPr>
                  <w:tcW w:w="3763" w:type="dxa"/>
                  <w:tcBorders>
                    <w:tl2br w:val="nil"/>
                    <w:tr2bl w:val="nil"/>
                  </w:tcBorders>
                  <w:noWrap w:val="0"/>
                  <w:vAlign w:val="center"/>
                </w:tcPr>
                <w:p w14:paraId="21435649">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val="en-US" w:eastAsia="zh-CN"/>
                    </w:rPr>
                  </w:pPr>
                  <w:r>
                    <w:rPr>
                      <w:rFonts w:hint="eastAsia" w:cs="Times New Roman"/>
                      <w:b/>
                      <w:bCs/>
                      <w:color w:val="auto"/>
                      <w:kern w:val="24"/>
                      <w:sz w:val="21"/>
                      <w:szCs w:val="21"/>
                      <w:vertAlign w:val="baseline"/>
                      <w:lang w:val="en-US" w:eastAsia="zh-CN"/>
                    </w:rPr>
                    <w:t>南</w:t>
                  </w:r>
                  <w:r>
                    <w:rPr>
                      <w:rFonts w:hint="eastAsia" w:ascii="Times New Roman" w:hAnsi="Times New Roman" w:cs="Times New Roman"/>
                      <w:b/>
                      <w:bCs/>
                      <w:color w:val="auto"/>
                      <w:kern w:val="24"/>
                      <w:sz w:val="21"/>
                      <w:szCs w:val="21"/>
                      <w:vertAlign w:val="baseline"/>
                      <w:lang w:val="en-US" w:eastAsia="zh-CN"/>
                    </w:rPr>
                    <w:t>侧</w:t>
                  </w:r>
                </w:p>
              </w:tc>
            </w:tr>
            <w:tr w14:paraId="323ED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2" w:type="dxa"/>
                  <w:tcBorders>
                    <w:tl2br w:val="nil"/>
                    <w:tr2bl w:val="nil"/>
                  </w:tcBorders>
                  <w:noWrap w:val="0"/>
                  <w:vAlign w:val="center"/>
                </w:tcPr>
                <w:p w14:paraId="5FEAB4E7">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eastAsia="zh-CN"/>
                    </w:rPr>
                  </w:pPr>
                  <w:r>
                    <w:rPr>
                      <w:rFonts w:hint="eastAsia" w:ascii="Times New Roman" w:hAnsi="Times New Roman" w:eastAsia="宋体" w:cs="Times New Roman"/>
                      <w:b/>
                      <w:bCs/>
                      <w:color w:val="auto"/>
                      <w:kern w:val="24"/>
                      <w:sz w:val="21"/>
                      <w:szCs w:val="21"/>
                      <w:vertAlign w:val="baseline"/>
                      <w:lang w:eastAsia="zh-CN"/>
                    </w:rPr>
                    <w:drawing>
                      <wp:inline distT="0" distB="0" distL="114300" distR="114300">
                        <wp:extent cx="2238375" cy="1257300"/>
                        <wp:effectExtent l="0" t="0" r="9525" b="0"/>
                        <wp:docPr id="21" name="图片 21" descr="174666466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6664668413(1)"/>
                                <pic:cNvPicPr>
                                  <a:picLocks noChangeAspect="1"/>
                                </pic:cNvPicPr>
                              </pic:nvPicPr>
                              <pic:blipFill>
                                <a:blip r:embed="rId9"/>
                                <a:stretch>
                                  <a:fillRect/>
                                </a:stretch>
                              </pic:blipFill>
                              <pic:spPr>
                                <a:xfrm>
                                  <a:off x="0" y="0"/>
                                  <a:ext cx="2238375" cy="1257300"/>
                                </a:xfrm>
                                <a:prstGeom prst="rect">
                                  <a:avLst/>
                                </a:prstGeom>
                              </pic:spPr>
                            </pic:pic>
                          </a:graphicData>
                        </a:graphic>
                      </wp:inline>
                    </w:drawing>
                  </w:r>
                </w:p>
              </w:tc>
              <w:tc>
                <w:tcPr>
                  <w:tcW w:w="3763" w:type="dxa"/>
                  <w:tcBorders>
                    <w:tl2br w:val="nil"/>
                    <w:tr2bl w:val="nil"/>
                  </w:tcBorders>
                  <w:noWrap w:val="0"/>
                  <w:vAlign w:val="center"/>
                </w:tcPr>
                <w:p w14:paraId="3348CA7C">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eastAsia="zh-CN"/>
                    </w:rPr>
                  </w:pPr>
                  <w:r>
                    <w:rPr>
                      <w:rFonts w:hint="eastAsia" w:ascii="Times New Roman" w:hAnsi="Times New Roman" w:eastAsia="宋体" w:cs="Times New Roman"/>
                      <w:b/>
                      <w:bCs/>
                      <w:color w:val="auto"/>
                      <w:kern w:val="24"/>
                      <w:sz w:val="21"/>
                      <w:szCs w:val="21"/>
                      <w:vertAlign w:val="baseline"/>
                      <w:lang w:eastAsia="zh-CN"/>
                    </w:rPr>
                    <w:drawing>
                      <wp:inline distT="0" distB="0" distL="114300" distR="114300">
                        <wp:extent cx="2232025" cy="1254760"/>
                        <wp:effectExtent l="0" t="0" r="15875" b="2540"/>
                        <wp:docPr id="4" name="图片 4" descr="北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北右"/>
                                <pic:cNvPicPr>
                                  <a:picLocks noChangeAspect="1"/>
                                </pic:cNvPicPr>
                              </pic:nvPicPr>
                              <pic:blipFill>
                                <a:blip r:embed="rId10"/>
                                <a:stretch>
                                  <a:fillRect/>
                                </a:stretch>
                              </pic:blipFill>
                              <pic:spPr>
                                <a:xfrm>
                                  <a:off x="0" y="0"/>
                                  <a:ext cx="2232025" cy="1254760"/>
                                </a:xfrm>
                                <a:prstGeom prst="rect">
                                  <a:avLst/>
                                </a:prstGeom>
                              </pic:spPr>
                            </pic:pic>
                          </a:graphicData>
                        </a:graphic>
                      </wp:inline>
                    </w:drawing>
                  </w:r>
                </w:p>
              </w:tc>
            </w:tr>
            <w:tr w14:paraId="6E631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2" w:type="dxa"/>
                  <w:tcBorders>
                    <w:tl2br w:val="nil"/>
                    <w:tr2bl w:val="nil"/>
                  </w:tcBorders>
                  <w:noWrap w:val="0"/>
                  <w:vAlign w:val="center"/>
                </w:tcPr>
                <w:p w14:paraId="59A139A5">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val="en-US" w:eastAsia="zh-CN"/>
                    </w:rPr>
                  </w:pPr>
                  <w:r>
                    <w:rPr>
                      <w:rFonts w:hint="eastAsia" w:ascii="Times New Roman" w:hAnsi="Times New Roman" w:cs="Times New Roman"/>
                      <w:b/>
                      <w:bCs/>
                      <w:color w:val="auto"/>
                      <w:kern w:val="24"/>
                      <w:sz w:val="21"/>
                      <w:szCs w:val="21"/>
                      <w:vertAlign w:val="baseline"/>
                      <w:lang w:val="en-US" w:eastAsia="zh-CN"/>
                    </w:rPr>
                    <w:t>西侧</w:t>
                  </w:r>
                </w:p>
              </w:tc>
              <w:tc>
                <w:tcPr>
                  <w:tcW w:w="3763" w:type="dxa"/>
                  <w:tcBorders>
                    <w:tl2br w:val="nil"/>
                    <w:tr2bl w:val="nil"/>
                  </w:tcBorders>
                  <w:noWrap w:val="0"/>
                  <w:vAlign w:val="center"/>
                </w:tcPr>
                <w:p w14:paraId="57A02691">
                  <w:pPr>
                    <w:pageBreakBefore w:val="0"/>
                    <w:topLinePunct w:val="0"/>
                    <w:bidi w:val="0"/>
                    <w:adjustRightInd/>
                    <w:snapToGrid/>
                    <w:spacing w:beforeAutospacing="0" w:afterAutospacing="0" w:line="240" w:lineRule="auto"/>
                    <w:ind w:right="0" w:rightChars="0"/>
                    <w:jc w:val="center"/>
                    <w:rPr>
                      <w:rFonts w:hint="eastAsia" w:ascii="Times New Roman" w:hAnsi="Times New Roman" w:eastAsia="宋体" w:cs="Times New Roman"/>
                      <w:b/>
                      <w:bCs/>
                      <w:color w:val="auto"/>
                      <w:kern w:val="24"/>
                      <w:sz w:val="21"/>
                      <w:szCs w:val="21"/>
                      <w:vertAlign w:val="baseline"/>
                      <w:lang w:val="en-US" w:eastAsia="zh-CN"/>
                    </w:rPr>
                  </w:pPr>
                  <w:r>
                    <w:rPr>
                      <w:rFonts w:hint="eastAsia" w:cs="Times New Roman"/>
                      <w:b/>
                      <w:bCs/>
                      <w:color w:val="auto"/>
                      <w:kern w:val="24"/>
                      <w:sz w:val="21"/>
                      <w:szCs w:val="21"/>
                      <w:vertAlign w:val="baseline"/>
                      <w:lang w:val="en-US" w:eastAsia="zh-CN"/>
                    </w:rPr>
                    <w:t>北</w:t>
                  </w:r>
                  <w:r>
                    <w:rPr>
                      <w:rFonts w:hint="eastAsia" w:ascii="Times New Roman" w:hAnsi="Times New Roman" w:cs="Times New Roman"/>
                      <w:b/>
                      <w:bCs/>
                      <w:color w:val="auto"/>
                      <w:kern w:val="24"/>
                      <w:sz w:val="21"/>
                      <w:szCs w:val="21"/>
                      <w:vertAlign w:val="baseline"/>
                      <w:lang w:val="en-US" w:eastAsia="zh-CN"/>
                    </w:rPr>
                    <w:t>侧</w:t>
                  </w:r>
                </w:p>
              </w:tc>
            </w:tr>
          </w:tbl>
          <w:p w14:paraId="62D85A1A">
            <w:pPr>
              <w:pageBreakBefore w:val="0"/>
              <w:topLinePunct w:val="0"/>
              <w:bidi w:val="0"/>
              <w:adjustRightInd/>
              <w:snapToGrid/>
              <w:spacing w:beforeAutospacing="0" w:afterAutospacing="0" w:line="240" w:lineRule="auto"/>
              <w:ind w:left="0" w:leftChars="0" w:right="0" w:rightChars="0"/>
              <w:jc w:val="center"/>
              <w:rPr>
                <w:rFonts w:hint="eastAsia" w:ascii="Times New Roman" w:hAnsi="Times New Roman" w:eastAsia="宋体" w:cs="Times New Roman"/>
                <w:b/>
                <w:color w:val="auto"/>
                <w:sz w:val="18"/>
                <w:szCs w:val="18"/>
                <w:lang w:val="en-US" w:eastAsia="zh-CN"/>
              </w:rPr>
            </w:pPr>
            <w:r>
              <w:rPr>
                <w:rFonts w:hint="default" w:ascii="Times New Roman" w:hAnsi="Times New Roman" w:cs="Times New Roman"/>
                <w:b/>
                <w:bCs/>
                <w:color w:val="auto"/>
                <w:kern w:val="24"/>
                <w:sz w:val="18"/>
                <w:szCs w:val="18"/>
              </w:rPr>
              <w:t>图</w:t>
            </w:r>
            <w:r>
              <w:rPr>
                <w:rFonts w:hint="default" w:ascii="Times New Roman" w:hAnsi="Times New Roman" w:cs="Times New Roman"/>
                <w:b/>
                <w:bCs/>
                <w:color w:val="auto"/>
                <w:kern w:val="24"/>
                <w:sz w:val="18"/>
                <w:szCs w:val="18"/>
                <w:lang w:val="en-US" w:eastAsia="zh-CN"/>
              </w:rPr>
              <w:t>2</w:t>
            </w:r>
            <w:r>
              <w:rPr>
                <w:rFonts w:hint="default" w:ascii="Times New Roman" w:hAnsi="Times New Roman" w:cs="Times New Roman"/>
                <w:b/>
                <w:bCs/>
                <w:color w:val="auto"/>
                <w:kern w:val="24"/>
                <w:sz w:val="18"/>
                <w:szCs w:val="18"/>
              </w:rPr>
              <w:t xml:space="preserve">-1   </w:t>
            </w:r>
            <w:r>
              <w:rPr>
                <w:rFonts w:hint="default" w:ascii="Times New Roman" w:hAnsi="Times New Roman" w:cs="Times New Roman"/>
                <w:b/>
                <w:bCs/>
                <w:color w:val="auto"/>
                <w:kern w:val="24"/>
                <w:sz w:val="18"/>
                <w:szCs w:val="18"/>
                <w:lang w:val="en-US" w:eastAsia="zh-CN"/>
              </w:rPr>
              <w:t xml:space="preserve"> </w:t>
            </w:r>
            <w:r>
              <w:rPr>
                <w:rFonts w:hint="default" w:ascii="Times New Roman" w:hAnsi="Times New Roman" w:cs="Times New Roman"/>
                <w:b/>
                <w:bCs/>
                <w:color w:val="auto"/>
                <w:kern w:val="24"/>
                <w:sz w:val="18"/>
                <w:szCs w:val="18"/>
              </w:rPr>
              <w:t>建设项目四至情况图</w:t>
            </w:r>
          </w:p>
          <w:p w14:paraId="7576E0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项目</w:t>
            </w:r>
            <w:r>
              <w:rPr>
                <w:rFonts w:hint="eastAsia" w:ascii="Times New Roman" w:hAnsi="Times New Roman" w:eastAsia="宋体" w:cs="Times New Roman"/>
                <w:b/>
                <w:color w:val="auto"/>
                <w:sz w:val="24"/>
                <w:szCs w:val="24"/>
                <w:lang w:val="en-US" w:eastAsia="zh-CN"/>
              </w:rPr>
              <w:t>建设内容及规模</w:t>
            </w:r>
          </w:p>
          <w:p w14:paraId="54B5B56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本</w:t>
            </w:r>
            <w:r>
              <w:rPr>
                <w:rFonts w:hint="eastAsia"/>
                <w:color w:val="auto"/>
                <w:sz w:val="24"/>
                <w:szCs w:val="24"/>
                <w:lang w:val="en-US" w:eastAsia="zh-CN"/>
              </w:rPr>
              <w:t>项目</w:t>
            </w:r>
            <w:r>
              <w:rPr>
                <w:rFonts w:hint="eastAsia"/>
                <w:color w:val="auto"/>
                <w:sz w:val="24"/>
                <w:szCs w:val="24"/>
                <w:highlight w:val="none"/>
                <w:lang w:val="en-US" w:eastAsia="zh-CN"/>
              </w:rPr>
              <w:t>技改</w:t>
            </w:r>
            <w:r>
              <w:rPr>
                <w:rFonts w:hint="eastAsia"/>
                <w:color w:val="auto"/>
                <w:sz w:val="24"/>
                <w:szCs w:val="24"/>
                <w:lang w:eastAsia="zh-CN"/>
              </w:rPr>
              <w:t>前后占地面积不变，</w:t>
            </w:r>
            <w:r>
              <w:rPr>
                <w:rFonts w:hint="eastAsia" w:hAnsi="宋体"/>
                <w:color w:val="auto"/>
                <w:sz w:val="24"/>
              </w:rPr>
              <w:t>项目厂区占地面积约13200m</w:t>
            </w:r>
            <w:r>
              <w:rPr>
                <w:rFonts w:hint="eastAsia" w:hAnsi="宋体"/>
                <w:color w:val="auto"/>
                <w:sz w:val="24"/>
                <w:vertAlign w:val="superscript"/>
              </w:rPr>
              <w:t>2</w:t>
            </w:r>
            <w:r>
              <w:rPr>
                <w:rFonts w:hint="eastAsia" w:hAnsi="宋体"/>
                <w:color w:val="auto"/>
                <w:sz w:val="24"/>
              </w:rPr>
              <w:t>，主要建筑物包括生产厂房、综合楼等</w:t>
            </w:r>
            <w:r>
              <w:rPr>
                <w:rFonts w:hint="default" w:ascii="Times New Roman" w:hAnsi="Times New Roman" w:cs="Times New Roman"/>
                <w:color w:val="auto"/>
                <w:sz w:val="24"/>
                <w:szCs w:val="24"/>
                <w:lang w:val="en-US" w:eastAsia="zh-CN"/>
              </w:rPr>
              <w:t>。</w:t>
            </w:r>
          </w:p>
          <w:p w14:paraId="441F3C8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项目主要建设内容</w:t>
            </w:r>
            <w:r>
              <w:rPr>
                <w:rFonts w:hint="eastAsia" w:eastAsia="宋体" w:cs="Times New Roman"/>
                <w:color w:val="auto"/>
                <w:sz w:val="24"/>
                <w:szCs w:val="24"/>
                <w:lang w:val="en-US" w:eastAsia="zh-CN"/>
              </w:rPr>
              <w:t>详</w:t>
            </w:r>
            <w:r>
              <w:rPr>
                <w:rFonts w:hint="default" w:ascii="Times New Roman" w:hAnsi="Times New Roman" w:cs="Times New Roman"/>
                <w:color w:val="auto"/>
                <w:sz w:val="24"/>
                <w:szCs w:val="24"/>
              </w:rPr>
              <w:t>见</w:t>
            </w:r>
            <w:r>
              <w:rPr>
                <w:rFonts w:hint="eastAsia" w:ascii="Times New Roman" w:hAnsi="Times New Roman" w:cs="Times New Roman"/>
                <w:color w:val="auto"/>
                <w:sz w:val="24"/>
                <w:szCs w:val="24"/>
                <w:lang w:eastAsia="zh-CN"/>
              </w:rPr>
              <w:t>下</w:t>
            </w: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zh-CN"/>
              </w:rPr>
              <w:t>。</w:t>
            </w:r>
          </w:p>
          <w:p w14:paraId="6E84C441">
            <w:pPr>
              <w:pageBreakBefore w:val="0"/>
              <w:topLinePunct w:val="0"/>
              <w:bidi w:val="0"/>
              <w:adjustRightInd/>
              <w:snapToGrid/>
              <w:spacing w:beforeAutospacing="0" w:afterAutospacing="0" w:line="240" w:lineRule="auto"/>
              <w:ind w:left="0" w:leftChars="0" w:right="0" w:rightChars="0"/>
              <w:jc w:val="center"/>
              <w:rPr>
                <w:rFonts w:hAnsi="宋体"/>
                <w:b/>
                <w:color w:val="auto"/>
                <w:sz w:val="21"/>
                <w:szCs w:val="21"/>
              </w:rPr>
            </w:pPr>
          </w:p>
          <w:p w14:paraId="0D0BD603">
            <w:pPr>
              <w:pageBreakBefore w:val="0"/>
              <w:topLinePunct w:val="0"/>
              <w:bidi w:val="0"/>
              <w:adjustRightInd/>
              <w:snapToGrid/>
              <w:spacing w:beforeAutospacing="0" w:afterAutospacing="0" w:line="240" w:lineRule="auto"/>
              <w:ind w:left="0" w:leftChars="0" w:right="0" w:rightChars="0"/>
              <w:jc w:val="center"/>
              <w:rPr>
                <w:rFonts w:hAnsi="宋体"/>
                <w:b/>
                <w:color w:val="auto"/>
                <w:sz w:val="21"/>
                <w:szCs w:val="21"/>
              </w:rPr>
            </w:pPr>
            <w:r>
              <w:rPr>
                <w:rFonts w:hAnsi="宋体"/>
                <w:b/>
                <w:color w:val="auto"/>
                <w:sz w:val="21"/>
                <w:szCs w:val="21"/>
              </w:rPr>
              <w:t>表</w:t>
            </w:r>
            <w:r>
              <w:rPr>
                <w:rFonts w:hint="eastAsia" w:hAnsi="宋体"/>
                <w:b/>
                <w:color w:val="auto"/>
                <w:sz w:val="21"/>
                <w:szCs w:val="21"/>
                <w:lang w:val="en-US" w:eastAsia="zh-CN"/>
              </w:rPr>
              <w:t xml:space="preserve">2-1  </w:t>
            </w:r>
            <w:r>
              <w:rPr>
                <w:rFonts w:hAnsi="宋体"/>
                <w:b/>
                <w:color w:val="auto"/>
                <w:sz w:val="21"/>
                <w:szCs w:val="21"/>
              </w:rPr>
              <w:t>主要建设内容一览表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446"/>
              <w:gridCol w:w="1985"/>
              <w:gridCol w:w="2009"/>
              <w:gridCol w:w="1384"/>
            </w:tblGrid>
            <w:tr w14:paraId="3B106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64" w:type="pct"/>
                  <w:vMerge w:val="restart"/>
                  <w:noWrap w:val="0"/>
                  <w:vAlign w:val="center"/>
                </w:tcPr>
                <w:p w14:paraId="34AFE3C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b/>
                      <w:bCs/>
                      <w:snapToGrid w:val="0"/>
                      <w:color w:val="auto"/>
                      <w:sz w:val="21"/>
                      <w:szCs w:val="21"/>
                    </w:rPr>
                  </w:pPr>
                  <w:r>
                    <w:rPr>
                      <w:rFonts w:hint="eastAsia"/>
                      <w:b/>
                      <w:bCs/>
                      <w:snapToGrid w:val="0"/>
                      <w:color w:val="auto"/>
                      <w:sz w:val="21"/>
                      <w:szCs w:val="21"/>
                    </w:rPr>
                    <w:t>工程性质</w:t>
                  </w:r>
                </w:p>
              </w:tc>
              <w:tc>
                <w:tcPr>
                  <w:tcW w:w="960" w:type="pct"/>
                  <w:vMerge w:val="restart"/>
                  <w:noWrap w:val="0"/>
                  <w:vAlign w:val="center"/>
                </w:tcPr>
                <w:p w14:paraId="721C2A8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b/>
                      <w:bCs/>
                      <w:snapToGrid w:val="0"/>
                      <w:color w:val="auto"/>
                      <w:sz w:val="21"/>
                      <w:szCs w:val="21"/>
                    </w:rPr>
                  </w:pPr>
                  <w:r>
                    <w:rPr>
                      <w:rFonts w:hint="eastAsia"/>
                      <w:b/>
                      <w:bCs/>
                      <w:snapToGrid w:val="0"/>
                      <w:color w:val="auto"/>
                      <w:sz w:val="21"/>
                      <w:szCs w:val="21"/>
                    </w:rPr>
                    <w:t>建设项目</w:t>
                  </w:r>
                </w:p>
              </w:tc>
              <w:tc>
                <w:tcPr>
                  <w:tcW w:w="2655" w:type="pct"/>
                  <w:gridSpan w:val="2"/>
                  <w:noWrap w:val="0"/>
                  <w:vAlign w:val="center"/>
                </w:tcPr>
                <w:p w14:paraId="6082703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b/>
                      <w:bCs/>
                      <w:snapToGrid w:val="0"/>
                      <w:color w:val="auto"/>
                      <w:sz w:val="21"/>
                      <w:szCs w:val="21"/>
                    </w:rPr>
                  </w:pPr>
                  <w:r>
                    <w:rPr>
                      <w:rFonts w:hint="eastAsia"/>
                      <w:b/>
                      <w:bCs/>
                      <w:snapToGrid w:val="0"/>
                      <w:color w:val="auto"/>
                      <w:sz w:val="21"/>
                      <w:szCs w:val="21"/>
                    </w:rPr>
                    <w:t>建设内容</w:t>
                  </w:r>
                  <w:r>
                    <w:rPr>
                      <w:rFonts w:hint="eastAsia"/>
                      <w:b/>
                      <w:bCs/>
                      <w:snapToGrid w:val="0"/>
                      <w:color w:val="auto"/>
                      <w:sz w:val="21"/>
                      <w:szCs w:val="21"/>
                      <w:lang w:eastAsia="zh-CN"/>
                    </w:rPr>
                    <w:t>和规模</w:t>
                  </w:r>
                </w:p>
              </w:tc>
              <w:tc>
                <w:tcPr>
                  <w:tcW w:w="919" w:type="pct"/>
                  <w:vMerge w:val="restart"/>
                  <w:noWrap w:val="0"/>
                  <w:vAlign w:val="center"/>
                </w:tcPr>
                <w:p w14:paraId="7C705E1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eastAsia="宋体"/>
                      <w:b/>
                      <w:bCs/>
                      <w:snapToGrid w:val="0"/>
                      <w:color w:val="auto"/>
                      <w:sz w:val="21"/>
                      <w:szCs w:val="21"/>
                      <w:lang w:val="en-US" w:eastAsia="zh-CN"/>
                    </w:rPr>
                  </w:pPr>
                  <w:r>
                    <w:rPr>
                      <w:rFonts w:hint="eastAsia" w:eastAsia="宋体"/>
                      <w:b/>
                      <w:bCs/>
                      <w:snapToGrid w:val="0"/>
                      <w:color w:val="auto"/>
                      <w:sz w:val="21"/>
                      <w:szCs w:val="21"/>
                      <w:lang w:val="en-US" w:eastAsia="zh-CN"/>
                    </w:rPr>
                    <w:t>本次技改内容</w:t>
                  </w:r>
                </w:p>
              </w:tc>
            </w:tr>
            <w:tr w14:paraId="35281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64" w:type="pct"/>
                  <w:vMerge w:val="continue"/>
                  <w:noWrap w:val="0"/>
                  <w:vAlign w:val="center"/>
                </w:tcPr>
                <w:p w14:paraId="5C3C6E7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b/>
                      <w:bCs/>
                      <w:snapToGrid w:val="0"/>
                      <w:color w:val="auto"/>
                      <w:sz w:val="21"/>
                      <w:szCs w:val="21"/>
                    </w:rPr>
                  </w:pPr>
                </w:p>
              </w:tc>
              <w:tc>
                <w:tcPr>
                  <w:tcW w:w="960" w:type="pct"/>
                  <w:vMerge w:val="continue"/>
                  <w:noWrap w:val="0"/>
                  <w:vAlign w:val="center"/>
                </w:tcPr>
                <w:p w14:paraId="4924220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b/>
                      <w:bCs/>
                      <w:snapToGrid w:val="0"/>
                      <w:color w:val="auto"/>
                      <w:sz w:val="21"/>
                      <w:szCs w:val="21"/>
                    </w:rPr>
                  </w:pPr>
                </w:p>
              </w:tc>
              <w:tc>
                <w:tcPr>
                  <w:tcW w:w="1319" w:type="pct"/>
                  <w:noWrap w:val="0"/>
                  <w:vAlign w:val="center"/>
                </w:tcPr>
                <w:p w14:paraId="354DBFC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eastAsia="宋体"/>
                      <w:b/>
                      <w:bCs/>
                      <w:snapToGrid w:val="0"/>
                      <w:color w:val="auto"/>
                      <w:sz w:val="21"/>
                      <w:szCs w:val="21"/>
                      <w:lang w:val="en-US" w:eastAsia="zh-CN"/>
                    </w:rPr>
                  </w:pPr>
                  <w:r>
                    <w:rPr>
                      <w:rFonts w:hint="eastAsia" w:eastAsia="宋体"/>
                      <w:b/>
                      <w:bCs/>
                      <w:snapToGrid w:val="0"/>
                      <w:color w:val="auto"/>
                      <w:sz w:val="21"/>
                      <w:szCs w:val="21"/>
                      <w:lang w:val="en-US" w:eastAsia="zh-CN"/>
                    </w:rPr>
                    <w:t>现有项目环评批复内容</w:t>
                  </w:r>
                </w:p>
              </w:tc>
              <w:tc>
                <w:tcPr>
                  <w:tcW w:w="1335" w:type="pct"/>
                  <w:noWrap w:val="0"/>
                  <w:vAlign w:val="center"/>
                </w:tcPr>
                <w:p w14:paraId="2698791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eastAsia="宋体"/>
                      <w:b/>
                      <w:bCs/>
                      <w:snapToGrid w:val="0"/>
                      <w:color w:val="auto"/>
                      <w:sz w:val="21"/>
                      <w:szCs w:val="21"/>
                      <w:lang w:val="en-US" w:eastAsia="zh-CN"/>
                    </w:rPr>
                  </w:pPr>
                  <w:r>
                    <w:rPr>
                      <w:rFonts w:hint="eastAsia" w:eastAsia="宋体"/>
                      <w:b/>
                      <w:bCs/>
                      <w:snapToGrid w:val="0"/>
                      <w:color w:val="auto"/>
                      <w:sz w:val="21"/>
                      <w:szCs w:val="21"/>
                      <w:lang w:val="en-US" w:eastAsia="zh-CN"/>
                    </w:rPr>
                    <w:t>现有项目实际建设内容（一期）</w:t>
                  </w:r>
                </w:p>
              </w:tc>
              <w:tc>
                <w:tcPr>
                  <w:tcW w:w="919" w:type="pct"/>
                  <w:vMerge w:val="continue"/>
                  <w:noWrap w:val="0"/>
                  <w:vAlign w:val="center"/>
                </w:tcPr>
                <w:p w14:paraId="6C1F927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b/>
                      <w:bCs/>
                      <w:snapToGrid w:val="0"/>
                      <w:color w:val="auto"/>
                      <w:sz w:val="21"/>
                      <w:szCs w:val="21"/>
                    </w:rPr>
                  </w:pPr>
                </w:p>
              </w:tc>
            </w:tr>
            <w:tr w14:paraId="384CA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restart"/>
                  <w:noWrap w:val="0"/>
                  <w:vAlign w:val="center"/>
                </w:tcPr>
                <w:p w14:paraId="1754D22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r>
                    <w:rPr>
                      <w:rFonts w:hint="eastAsia"/>
                      <w:snapToGrid w:val="0"/>
                      <w:color w:val="auto"/>
                      <w:sz w:val="21"/>
                      <w:szCs w:val="21"/>
                    </w:rPr>
                    <w:t>主体工程</w:t>
                  </w:r>
                </w:p>
              </w:tc>
              <w:tc>
                <w:tcPr>
                  <w:tcW w:w="960" w:type="pct"/>
                  <w:shd w:val="clear" w:color="auto" w:fill="auto"/>
                  <w:noWrap w:val="0"/>
                  <w:vAlign w:val="center"/>
                </w:tcPr>
                <w:p w14:paraId="4834ED20">
                  <w:pPr>
                    <w:jc w:val="center"/>
                    <w:rPr>
                      <w:rFonts w:hint="default" w:ascii="Times New Roman" w:hAnsi="Times New Roman" w:eastAsia="Times New Roman" w:cs="Times New Roman"/>
                      <w:color w:val="auto"/>
                      <w:kern w:val="2"/>
                      <w:sz w:val="21"/>
                      <w:szCs w:val="21"/>
                      <w:lang w:val="en-US" w:eastAsia="zh-CN" w:bidi="ar-SA"/>
                    </w:rPr>
                  </w:pPr>
                  <w:r>
                    <w:rPr>
                      <w:rFonts w:hint="eastAsia" w:hAnsi="宋体"/>
                      <w:color w:val="auto"/>
                      <w:szCs w:val="21"/>
                    </w:rPr>
                    <w:t>造粒车间</w:t>
                  </w:r>
                </w:p>
              </w:tc>
              <w:tc>
                <w:tcPr>
                  <w:tcW w:w="1319" w:type="pct"/>
                  <w:shd w:val="clear" w:color="auto" w:fill="auto"/>
                  <w:noWrap w:val="0"/>
                  <w:vAlign w:val="center"/>
                </w:tcPr>
                <w:p w14:paraId="76EAF379">
                  <w:pPr>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Cs w:val="21"/>
                    </w:rPr>
                    <w:t>1F，轻钢结构，建筑面积2000</w:t>
                  </w:r>
                  <w:r>
                    <w:rPr>
                      <w:color w:val="auto"/>
                      <w:szCs w:val="21"/>
                    </w:rPr>
                    <w:t>m</w:t>
                  </w:r>
                  <w:r>
                    <w:rPr>
                      <w:color w:val="auto"/>
                      <w:szCs w:val="21"/>
                      <w:vertAlign w:val="superscript"/>
                    </w:rPr>
                    <w:t>2</w:t>
                  </w:r>
                  <w:r>
                    <w:rPr>
                      <w:rFonts w:hint="eastAsia"/>
                      <w:color w:val="auto"/>
                      <w:szCs w:val="21"/>
                    </w:rPr>
                    <w:t>，</w:t>
                  </w:r>
                  <w:r>
                    <w:rPr>
                      <w:color w:val="auto"/>
                      <w:szCs w:val="21"/>
                    </w:rPr>
                    <w:t>废塑料造粒</w:t>
                  </w:r>
                  <w:r>
                    <w:rPr>
                      <w:rFonts w:hint="eastAsia" w:hAnsi="宋体"/>
                      <w:color w:val="auto"/>
                      <w:szCs w:val="21"/>
                    </w:rPr>
                    <w:t>生产线4条，年产再生塑料粒子1万吨</w:t>
                  </w:r>
                </w:p>
              </w:tc>
              <w:tc>
                <w:tcPr>
                  <w:tcW w:w="1335" w:type="pct"/>
                  <w:shd w:val="clear" w:color="auto" w:fill="auto"/>
                  <w:noWrap w:val="0"/>
                  <w:vAlign w:val="center"/>
                </w:tcPr>
                <w:p w14:paraId="7C981590">
                  <w:pPr>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Cs w:val="21"/>
                    </w:rPr>
                    <w:t>1F，轻钢结构，建筑面积2000</w:t>
                  </w:r>
                  <w:r>
                    <w:rPr>
                      <w:color w:val="auto"/>
                      <w:szCs w:val="21"/>
                    </w:rPr>
                    <w:t>m</w:t>
                  </w:r>
                  <w:r>
                    <w:rPr>
                      <w:color w:val="auto"/>
                      <w:szCs w:val="21"/>
                      <w:vertAlign w:val="superscript"/>
                    </w:rPr>
                    <w:t>2</w:t>
                  </w:r>
                  <w:r>
                    <w:rPr>
                      <w:rFonts w:hint="eastAsia"/>
                      <w:color w:val="auto"/>
                      <w:szCs w:val="21"/>
                    </w:rPr>
                    <w:t>，</w:t>
                  </w:r>
                  <w:r>
                    <w:rPr>
                      <w:color w:val="auto"/>
                      <w:szCs w:val="21"/>
                    </w:rPr>
                    <w:t>废塑料造粒</w:t>
                  </w:r>
                  <w:r>
                    <w:rPr>
                      <w:rFonts w:hint="eastAsia" w:hAnsi="宋体"/>
                      <w:color w:val="auto"/>
                      <w:szCs w:val="21"/>
                    </w:rPr>
                    <w:t>生产线</w:t>
                  </w:r>
                  <w:r>
                    <w:rPr>
                      <w:rFonts w:hint="eastAsia" w:hAnsi="宋体" w:eastAsia="宋体"/>
                      <w:color w:val="auto"/>
                      <w:szCs w:val="21"/>
                      <w:lang w:val="en-US" w:eastAsia="zh-CN"/>
                    </w:rPr>
                    <w:t>8</w:t>
                  </w:r>
                  <w:r>
                    <w:rPr>
                      <w:rFonts w:hint="eastAsia" w:hAnsi="宋体"/>
                      <w:color w:val="auto"/>
                      <w:szCs w:val="21"/>
                    </w:rPr>
                    <w:t>条，年产再生塑料粒子1万吨</w:t>
                  </w:r>
                </w:p>
              </w:tc>
              <w:tc>
                <w:tcPr>
                  <w:tcW w:w="919" w:type="pct"/>
                  <w:noWrap w:val="0"/>
                  <w:vAlign w:val="center"/>
                </w:tcPr>
                <w:p w14:paraId="490A65D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eastAsia="宋体"/>
                      <w:snapToGrid w:val="0"/>
                      <w:color w:val="auto"/>
                      <w:sz w:val="21"/>
                      <w:szCs w:val="21"/>
                      <w:lang w:val="en-US" w:eastAsia="zh-CN"/>
                    </w:rPr>
                  </w:pPr>
                  <w:r>
                    <w:rPr>
                      <w:rFonts w:hint="eastAsia" w:hAnsi="宋体" w:eastAsia="宋体"/>
                      <w:color w:val="auto"/>
                      <w:szCs w:val="21"/>
                      <w:lang w:val="en-US" w:eastAsia="zh-CN"/>
                    </w:rPr>
                    <w:t>本次技改新增造粒生产线4条等设备及配套设施，</w:t>
                  </w:r>
                  <w:r>
                    <w:rPr>
                      <w:rFonts w:hint="eastAsia" w:hAnsi="宋体" w:eastAsia="宋体"/>
                      <w:color w:val="auto"/>
                      <w:szCs w:val="21"/>
                      <w:lang w:eastAsia="zh-CN"/>
                    </w:rPr>
                    <w:t>优化产品，提高市场竞争力，</w:t>
                  </w:r>
                  <w:r>
                    <w:rPr>
                      <w:rFonts w:hint="eastAsia" w:hAnsi="宋体" w:eastAsia="宋体"/>
                      <w:color w:val="auto"/>
                      <w:szCs w:val="21"/>
                      <w:lang w:val="en-US" w:eastAsia="zh-CN"/>
                    </w:rPr>
                    <w:t>但不新增现有工程产能</w:t>
                  </w:r>
                </w:p>
              </w:tc>
            </w:tr>
            <w:tr w14:paraId="75030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22277F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snapToGrid w:val="0"/>
                      <w:color w:val="auto"/>
                      <w:sz w:val="21"/>
                      <w:szCs w:val="21"/>
                    </w:rPr>
                  </w:pPr>
                </w:p>
              </w:tc>
              <w:tc>
                <w:tcPr>
                  <w:tcW w:w="960" w:type="pct"/>
                  <w:shd w:val="clear" w:color="auto" w:fill="auto"/>
                  <w:noWrap w:val="0"/>
                  <w:vAlign w:val="center"/>
                </w:tcPr>
                <w:p w14:paraId="63454B74">
                  <w:pPr>
                    <w:jc w:val="center"/>
                    <w:rPr>
                      <w:rFonts w:hint="eastAsia" w:ascii="Times New Roman" w:hAnsi="Times New Roman" w:eastAsia="Times New Roman" w:cs="Times New Roman"/>
                      <w:color w:val="auto"/>
                      <w:kern w:val="2"/>
                      <w:sz w:val="21"/>
                      <w:szCs w:val="21"/>
                      <w:lang w:val="en-US" w:eastAsia="zh-CN" w:bidi="ar-SA"/>
                    </w:rPr>
                  </w:pPr>
                  <w:r>
                    <w:rPr>
                      <w:rFonts w:hint="eastAsia" w:hAnsi="宋体"/>
                      <w:color w:val="auto"/>
                      <w:szCs w:val="21"/>
                    </w:rPr>
                    <w:t>燃料棒车间</w:t>
                  </w:r>
                </w:p>
              </w:tc>
              <w:tc>
                <w:tcPr>
                  <w:tcW w:w="1319" w:type="pct"/>
                  <w:shd w:val="clear" w:color="auto" w:fill="auto"/>
                  <w:noWrap w:val="0"/>
                  <w:vAlign w:val="center"/>
                </w:tcPr>
                <w:p w14:paraId="0353DB2C">
                  <w:pPr>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Cs w:val="21"/>
                    </w:rPr>
                    <w:t>1F，轻钢结构，建筑面积6000m</w:t>
                  </w:r>
                  <w:r>
                    <w:rPr>
                      <w:rFonts w:hint="eastAsia"/>
                      <w:color w:val="auto"/>
                      <w:szCs w:val="21"/>
                      <w:vertAlign w:val="superscript"/>
                    </w:rPr>
                    <w:t>2</w:t>
                  </w:r>
                  <w:r>
                    <w:rPr>
                      <w:rFonts w:hint="eastAsia"/>
                      <w:color w:val="auto"/>
                      <w:szCs w:val="21"/>
                    </w:rPr>
                    <w:t>，燃料棒生产线2条，年产新型材料燃料棒2万吨</w:t>
                  </w:r>
                </w:p>
              </w:tc>
              <w:tc>
                <w:tcPr>
                  <w:tcW w:w="1335" w:type="pct"/>
                  <w:shd w:val="clear" w:color="auto" w:fill="auto"/>
                  <w:noWrap w:val="0"/>
                  <w:vAlign w:val="center"/>
                </w:tcPr>
                <w:p w14:paraId="1688B9A6">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未建设</w:t>
                  </w:r>
                </w:p>
              </w:tc>
              <w:tc>
                <w:tcPr>
                  <w:tcW w:w="919" w:type="pct"/>
                  <w:noWrap w:val="0"/>
                  <w:vAlign w:val="center"/>
                </w:tcPr>
                <w:p w14:paraId="21B00B3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eastAsia="宋体"/>
                      <w:snapToGrid w:val="0"/>
                      <w:color w:val="auto"/>
                      <w:sz w:val="21"/>
                      <w:szCs w:val="21"/>
                      <w:lang w:val="en-US" w:eastAsia="zh-CN"/>
                    </w:rPr>
                  </w:pPr>
                  <w:r>
                    <w:rPr>
                      <w:rFonts w:hint="eastAsia" w:eastAsia="宋体"/>
                      <w:snapToGrid w:val="0"/>
                      <w:color w:val="auto"/>
                      <w:sz w:val="21"/>
                      <w:szCs w:val="21"/>
                      <w:lang w:val="en-US" w:eastAsia="zh-CN"/>
                    </w:rPr>
                    <w:t>一期不生产燃料棒</w:t>
                  </w:r>
                </w:p>
              </w:tc>
            </w:tr>
            <w:tr w14:paraId="561B3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35E5D42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snapToGrid w:val="0"/>
                      <w:color w:val="auto"/>
                      <w:sz w:val="21"/>
                      <w:szCs w:val="21"/>
                    </w:rPr>
                  </w:pPr>
                </w:p>
              </w:tc>
              <w:tc>
                <w:tcPr>
                  <w:tcW w:w="960" w:type="pct"/>
                  <w:shd w:val="clear" w:color="auto" w:fill="auto"/>
                  <w:noWrap w:val="0"/>
                  <w:vAlign w:val="center"/>
                </w:tcPr>
                <w:p w14:paraId="20EAE174">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清洗车间</w:t>
                  </w:r>
                </w:p>
              </w:tc>
              <w:tc>
                <w:tcPr>
                  <w:tcW w:w="1319" w:type="pct"/>
                  <w:shd w:val="clear" w:color="auto" w:fill="auto"/>
                  <w:noWrap w:val="0"/>
                  <w:vAlign w:val="center"/>
                </w:tcPr>
                <w:p w14:paraId="3CDF01B7">
                  <w:pPr>
                    <w:jc w:val="center"/>
                    <w:rPr>
                      <w:rFonts w:hint="default" w:ascii="Times New Roman" w:hAnsi="宋体" w:eastAsia="Times New Roman" w:cs="Times New Roman"/>
                      <w:color w:val="auto"/>
                      <w:kern w:val="2"/>
                      <w:sz w:val="21"/>
                      <w:szCs w:val="21"/>
                      <w:lang w:val="en-US" w:eastAsia="zh-CN" w:bidi="ar-SA"/>
                    </w:rPr>
                  </w:pPr>
                  <w:r>
                    <w:rPr>
                      <w:rFonts w:hint="eastAsia"/>
                      <w:color w:val="auto"/>
                      <w:szCs w:val="21"/>
                    </w:rPr>
                    <w:t>1F，轻钢结构，建筑面积500</w:t>
                  </w:r>
                  <w:r>
                    <w:rPr>
                      <w:color w:val="auto"/>
                      <w:szCs w:val="21"/>
                    </w:rPr>
                    <w:t>m</w:t>
                  </w:r>
                  <w:r>
                    <w:rPr>
                      <w:color w:val="auto"/>
                      <w:szCs w:val="21"/>
                      <w:vertAlign w:val="superscript"/>
                    </w:rPr>
                    <w:t>2</w:t>
                  </w:r>
                  <w:r>
                    <w:rPr>
                      <w:rFonts w:hint="eastAsia"/>
                      <w:color w:val="auto"/>
                      <w:szCs w:val="21"/>
                    </w:rPr>
                    <w:t>，设一条塑料清洗线</w:t>
                  </w:r>
                </w:p>
              </w:tc>
              <w:tc>
                <w:tcPr>
                  <w:tcW w:w="1335" w:type="pct"/>
                  <w:shd w:val="clear" w:color="auto" w:fill="auto"/>
                  <w:noWrap w:val="0"/>
                  <w:vAlign w:val="center"/>
                </w:tcPr>
                <w:p w14:paraId="6F82A5BF">
                  <w:pPr>
                    <w:jc w:val="center"/>
                    <w:rPr>
                      <w:rFonts w:hint="default" w:ascii="Times New Roman" w:hAnsi="宋体" w:eastAsia="Times New Roman" w:cs="Times New Roman"/>
                      <w:color w:val="auto"/>
                      <w:kern w:val="2"/>
                      <w:sz w:val="21"/>
                      <w:szCs w:val="21"/>
                      <w:lang w:val="en-US" w:eastAsia="zh-CN" w:bidi="ar-SA"/>
                    </w:rPr>
                  </w:pPr>
                  <w:r>
                    <w:rPr>
                      <w:rFonts w:hint="eastAsia"/>
                      <w:color w:val="auto"/>
                      <w:szCs w:val="21"/>
                    </w:rPr>
                    <w:t>1F，轻钢结构，建筑面积500</w:t>
                  </w:r>
                  <w:r>
                    <w:rPr>
                      <w:color w:val="auto"/>
                      <w:szCs w:val="21"/>
                    </w:rPr>
                    <w:t>m</w:t>
                  </w:r>
                  <w:r>
                    <w:rPr>
                      <w:color w:val="auto"/>
                      <w:szCs w:val="21"/>
                      <w:vertAlign w:val="superscript"/>
                    </w:rPr>
                    <w:t>2</w:t>
                  </w:r>
                  <w:r>
                    <w:rPr>
                      <w:rFonts w:hint="eastAsia"/>
                      <w:color w:val="auto"/>
                      <w:szCs w:val="21"/>
                    </w:rPr>
                    <w:t>，设一条塑料清洗线</w:t>
                  </w:r>
                </w:p>
              </w:tc>
              <w:tc>
                <w:tcPr>
                  <w:tcW w:w="919" w:type="pct"/>
                  <w:noWrap w:val="0"/>
                  <w:vAlign w:val="center"/>
                </w:tcPr>
                <w:p w14:paraId="4580FF4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eastAsia="宋体"/>
                      <w:snapToGrid w:val="0"/>
                      <w:color w:val="auto"/>
                      <w:sz w:val="21"/>
                      <w:szCs w:val="21"/>
                      <w:lang w:val="en-US" w:eastAsia="zh-CN"/>
                    </w:rPr>
                  </w:pPr>
                  <w:r>
                    <w:rPr>
                      <w:rFonts w:hint="eastAsia" w:eastAsia="宋体"/>
                      <w:snapToGrid w:val="0"/>
                      <w:color w:val="auto"/>
                      <w:sz w:val="21"/>
                      <w:szCs w:val="21"/>
                      <w:lang w:val="en-US" w:eastAsia="zh-CN"/>
                    </w:rPr>
                    <w:t>依托原有</w:t>
                  </w:r>
                </w:p>
              </w:tc>
            </w:tr>
            <w:tr w14:paraId="65639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64" w:type="pct"/>
                  <w:vMerge w:val="restart"/>
                  <w:noWrap w:val="0"/>
                  <w:vAlign w:val="center"/>
                </w:tcPr>
                <w:p w14:paraId="7A47D4E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snapToGrid w:val="0"/>
                      <w:color w:val="auto"/>
                      <w:sz w:val="21"/>
                      <w:szCs w:val="21"/>
                      <w:lang w:val="en-US" w:eastAsia="zh-CN"/>
                    </w:rPr>
                  </w:pPr>
                  <w:r>
                    <w:rPr>
                      <w:rFonts w:hint="eastAsia" w:ascii="Times New Roman" w:hAnsi="Times New Roman" w:eastAsia="Times New Roman" w:cs="Times New Roman"/>
                      <w:snapToGrid w:val="0"/>
                      <w:color w:val="auto"/>
                      <w:sz w:val="21"/>
                      <w:szCs w:val="21"/>
                      <w:lang w:val="en-US" w:eastAsia="zh-CN"/>
                    </w:rPr>
                    <w:t>储运工程</w:t>
                  </w:r>
                </w:p>
              </w:tc>
              <w:tc>
                <w:tcPr>
                  <w:tcW w:w="960" w:type="pct"/>
                  <w:shd w:val="clear" w:color="auto" w:fill="auto"/>
                  <w:noWrap w:val="0"/>
                  <w:vAlign w:val="center"/>
                </w:tcPr>
                <w:p w14:paraId="60B16F63">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成品仓库</w:t>
                  </w:r>
                </w:p>
              </w:tc>
              <w:tc>
                <w:tcPr>
                  <w:tcW w:w="1319" w:type="pct"/>
                  <w:shd w:val="clear" w:color="auto" w:fill="auto"/>
                  <w:noWrap w:val="0"/>
                  <w:vAlign w:val="center"/>
                </w:tcPr>
                <w:p w14:paraId="03400952">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1F，轻钢结构，建筑面积500</w:t>
                  </w:r>
                  <w:r>
                    <w:rPr>
                      <w:color w:val="auto"/>
                      <w:szCs w:val="21"/>
                    </w:rPr>
                    <w:t>m</w:t>
                  </w:r>
                  <w:r>
                    <w:rPr>
                      <w:color w:val="auto"/>
                      <w:szCs w:val="21"/>
                      <w:vertAlign w:val="superscript"/>
                    </w:rPr>
                    <w:t>2</w:t>
                  </w:r>
                  <w:r>
                    <w:rPr>
                      <w:rFonts w:hint="eastAsia"/>
                      <w:color w:val="auto"/>
                      <w:szCs w:val="21"/>
                    </w:rPr>
                    <w:t>，</w:t>
                  </w:r>
                  <w:r>
                    <w:rPr>
                      <w:rFonts w:hint="eastAsia" w:hAnsi="宋体"/>
                      <w:color w:val="auto"/>
                      <w:szCs w:val="21"/>
                    </w:rPr>
                    <w:t>用于存放成品</w:t>
                  </w:r>
                </w:p>
              </w:tc>
              <w:tc>
                <w:tcPr>
                  <w:tcW w:w="1335" w:type="pct"/>
                  <w:shd w:val="clear" w:color="auto" w:fill="auto"/>
                  <w:noWrap w:val="0"/>
                  <w:vAlign w:val="center"/>
                </w:tcPr>
                <w:p w14:paraId="5EACDBC9">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1F，轻钢结构，建筑面积500</w:t>
                  </w:r>
                  <w:r>
                    <w:rPr>
                      <w:color w:val="auto"/>
                      <w:szCs w:val="21"/>
                    </w:rPr>
                    <w:t>m</w:t>
                  </w:r>
                  <w:r>
                    <w:rPr>
                      <w:color w:val="auto"/>
                      <w:szCs w:val="21"/>
                      <w:vertAlign w:val="superscript"/>
                    </w:rPr>
                    <w:t>2</w:t>
                  </w:r>
                  <w:r>
                    <w:rPr>
                      <w:rFonts w:hint="eastAsia"/>
                      <w:color w:val="auto"/>
                      <w:szCs w:val="21"/>
                    </w:rPr>
                    <w:t>，</w:t>
                  </w:r>
                  <w:r>
                    <w:rPr>
                      <w:rFonts w:hint="eastAsia" w:hAnsi="宋体"/>
                      <w:color w:val="auto"/>
                      <w:szCs w:val="21"/>
                    </w:rPr>
                    <w:t>用于存放成品</w:t>
                  </w:r>
                </w:p>
              </w:tc>
              <w:tc>
                <w:tcPr>
                  <w:tcW w:w="919" w:type="pct"/>
                  <w:shd w:val="clear" w:color="auto" w:fill="auto"/>
                  <w:noWrap w:val="0"/>
                  <w:vAlign w:val="center"/>
                </w:tcPr>
                <w:p w14:paraId="06E8EF1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4A34C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64" w:type="pct"/>
                  <w:vMerge w:val="continue"/>
                  <w:noWrap w:val="0"/>
                  <w:vAlign w:val="center"/>
                </w:tcPr>
                <w:p w14:paraId="5507414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snapToGrid w:val="0"/>
                      <w:color w:val="auto"/>
                      <w:sz w:val="21"/>
                      <w:szCs w:val="21"/>
                      <w:lang w:val="en-US" w:eastAsia="zh-CN"/>
                    </w:rPr>
                  </w:pPr>
                </w:p>
              </w:tc>
              <w:tc>
                <w:tcPr>
                  <w:tcW w:w="960" w:type="pct"/>
                  <w:shd w:val="clear" w:color="auto" w:fill="auto"/>
                  <w:noWrap w:val="0"/>
                  <w:vAlign w:val="center"/>
                </w:tcPr>
                <w:p w14:paraId="315C9153">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原料仓库</w:t>
                  </w:r>
                </w:p>
              </w:tc>
              <w:tc>
                <w:tcPr>
                  <w:tcW w:w="1319" w:type="pct"/>
                  <w:shd w:val="clear" w:color="auto" w:fill="auto"/>
                  <w:noWrap w:val="0"/>
                  <w:vAlign w:val="center"/>
                </w:tcPr>
                <w:p w14:paraId="569404F6">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1F，轻钢结构建筑面积1600</w:t>
                  </w:r>
                  <w:r>
                    <w:rPr>
                      <w:color w:val="auto"/>
                      <w:szCs w:val="21"/>
                    </w:rPr>
                    <w:t>m</w:t>
                  </w:r>
                  <w:r>
                    <w:rPr>
                      <w:color w:val="auto"/>
                      <w:szCs w:val="21"/>
                      <w:vertAlign w:val="superscript"/>
                    </w:rPr>
                    <w:t>2</w:t>
                  </w:r>
                  <w:r>
                    <w:rPr>
                      <w:rFonts w:hint="eastAsia"/>
                      <w:color w:val="auto"/>
                      <w:szCs w:val="21"/>
                    </w:rPr>
                    <w:t>，</w:t>
                  </w:r>
                  <w:r>
                    <w:rPr>
                      <w:rFonts w:hint="eastAsia" w:hAnsi="宋体"/>
                      <w:color w:val="auto"/>
                      <w:szCs w:val="21"/>
                    </w:rPr>
                    <w:t>用于存放原料</w:t>
                  </w:r>
                </w:p>
              </w:tc>
              <w:tc>
                <w:tcPr>
                  <w:tcW w:w="1335" w:type="pct"/>
                  <w:shd w:val="clear" w:color="auto" w:fill="auto"/>
                  <w:noWrap w:val="0"/>
                  <w:vAlign w:val="center"/>
                </w:tcPr>
                <w:p w14:paraId="6422B635">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1F，轻钢结构建筑面积1600</w:t>
                  </w:r>
                  <w:r>
                    <w:rPr>
                      <w:color w:val="auto"/>
                      <w:szCs w:val="21"/>
                    </w:rPr>
                    <w:t>m</w:t>
                  </w:r>
                  <w:r>
                    <w:rPr>
                      <w:color w:val="auto"/>
                      <w:szCs w:val="21"/>
                      <w:vertAlign w:val="superscript"/>
                    </w:rPr>
                    <w:t>2</w:t>
                  </w:r>
                  <w:r>
                    <w:rPr>
                      <w:rFonts w:hint="eastAsia"/>
                      <w:color w:val="auto"/>
                      <w:szCs w:val="21"/>
                    </w:rPr>
                    <w:t>，</w:t>
                  </w:r>
                  <w:r>
                    <w:rPr>
                      <w:rFonts w:hint="eastAsia" w:hAnsi="宋体"/>
                      <w:color w:val="auto"/>
                      <w:szCs w:val="21"/>
                    </w:rPr>
                    <w:t>用于</w:t>
                  </w:r>
                  <w:r>
                    <w:rPr>
                      <w:rFonts w:hint="eastAsia" w:ascii="Times New Roman" w:hAnsi="Times New Roman" w:eastAsia="Times New Roman" w:cs="Times New Roman"/>
                      <w:color w:val="auto"/>
                      <w:szCs w:val="21"/>
                    </w:rPr>
                    <w:t>存放</w:t>
                  </w:r>
                  <w:r>
                    <w:rPr>
                      <w:rFonts w:hint="eastAsia" w:hAnsi="宋体"/>
                      <w:color w:val="auto"/>
                      <w:szCs w:val="21"/>
                    </w:rPr>
                    <w:t>原料</w:t>
                  </w:r>
                </w:p>
              </w:tc>
              <w:tc>
                <w:tcPr>
                  <w:tcW w:w="919" w:type="pct"/>
                  <w:shd w:val="clear" w:color="auto" w:fill="auto"/>
                  <w:noWrap w:val="0"/>
                  <w:vAlign w:val="center"/>
                </w:tcPr>
                <w:p w14:paraId="375915E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624A5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restart"/>
                  <w:noWrap w:val="0"/>
                  <w:vAlign w:val="center"/>
                </w:tcPr>
                <w:p w14:paraId="363B88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辅助工程</w:t>
                  </w:r>
                </w:p>
              </w:tc>
              <w:tc>
                <w:tcPr>
                  <w:tcW w:w="960" w:type="pct"/>
                  <w:shd w:val="clear" w:color="auto" w:fill="auto"/>
                  <w:noWrap w:val="0"/>
                  <w:vAlign w:val="center"/>
                </w:tcPr>
                <w:p w14:paraId="4AF87042">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综合楼</w:t>
                  </w:r>
                </w:p>
              </w:tc>
              <w:tc>
                <w:tcPr>
                  <w:tcW w:w="1319" w:type="pct"/>
                  <w:noWrap w:val="0"/>
                  <w:vAlign w:val="center"/>
                </w:tcPr>
                <w:p w14:paraId="48B4154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cs="Times New Roman"/>
                      <w:snapToGrid w:val="0"/>
                      <w:color w:val="auto"/>
                      <w:sz w:val="21"/>
                      <w:szCs w:val="21"/>
                      <w:lang w:val="en-US" w:eastAsia="zh-CN"/>
                    </w:rPr>
                  </w:pPr>
                  <w:r>
                    <w:rPr>
                      <w:rFonts w:hint="eastAsia" w:eastAsia="宋体"/>
                      <w:color w:val="auto"/>
                      <w:szCs w:val="21"/>
                      <w:lang w:val="en-US" w:eastAsia="zh-CN"/>
                    </w:rPr>
                    <w:t>办公室，</w:t>
                  </w:r>
                  <w:r>
                    <w:rPr>
                      <w:rFonts w:hint="eastAsia"/>
                      <w:color w:val="auto"/>
                      <w:szCs w:val="21"/>
                    </w:rPr>
                    <w:t>3F，砖混结构，占地面积300</w:t>
                  </w:r>
                  <w:r>
                    <w:rPr>
                      <w:color w:val="auto"/>
                      <w:szCs w:val="21"/>
                    </w:rPr>
                    <w:t>m</w:t>
                  </w:r>
                  <w:r>
                    <w:rPr>
                      <w:color w:val="auto"/>
                      <w:szCs w:val="21"/>
                      <w:vertAlign w:val="superscript"/>
                    </w:rPr>
                    <w:t>2</w:t>
                  </w:r>
                </w:p>
              </w:tc>
              <w:tc>
                <w:tcPr>
                  <w:tcW w:w="1335" w:type="pct"/>
                  <w:shd w:val="clear" w:color="auto" w:fill="auto"/>
                  <w:noWrap w:val="0"/>
                  <w:vAlign w:val="center"/>
                </w:tcPr>
                <w:p w14:paraId="6171C6D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snapToGrid w:val="0"/>
                      <w:color w:val="auto"/>
                      <w:kern w:val="2"/>
                      <w:sz w:val="21"/>
                      <w:szCs w:val="21"/>
                      <w:lang w:val="en-US" w:eastAsia="zh-CN" w:bidi="ar-SA"/>
                    </w:rPr>
                  </w:pPr>
                  <w:r>
                    <w:rPr>
                      <w:rFonts w:hint="eastAsia" w:eastAsia="宋体"/>
                      <w:color w:val="auto"/>
                      <w:szCs w:val="21"/>
                      <w:lang w:val="en-US" w:eastAsia="zh-CN"/>
                    </w:rPr>
                    <w:t>办公室，</w:t>
                  </w:r>
                  <w:r>
                    <w:rPr>
                      <w:rFonts w:hint="eastAsia"/>
                      <w:color w:val="auto"/>
                      <w:szCs w:val="21"/>
                    </w:rPr>
                    <w:t>3F，砖混结构，占地面积300</w:t>
                  </w:r>
                  <w:r>
                    <w:rPr>
                      <w:color w:val="auto"/>
                      <w:szCs w:val="21"/>
                    </w:rPr>
                    <w:t>m</w:t>
                  </w:r>
                  <w:r>
                    <w:rPr>
                      <w:color w:val="auto"/>
                      <w:szCs w:val="21"/>
                      <w:vertAlign w:val="superscript"/>
                    </w:rPr>
                    <w:t>2</w:t>
                  </w:r>
                </w:p>
              </w:tc>
              <w:tc>
                <w:tcPr>
                  <w:tcW w:w="919" w:type="pct"/>
                  <w:shd w:val="clear" w:color="auto" w:fill="auto"/>
                  <w:noWrap w:val="0"/>
                  <w:vAlign w:val="center"/>
                </w:tcPr>
                <w:p w14:paraId="626D7A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3D381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6B8154C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snapToGrid w:val="0"/>
                      <w:color w:val="auto"/>
                      <w:sz w:val="21"/>
                      <w:szCs w:val="21"/>
                      <w:lang w:val="en-US" w:eastAsia="zh-CN"/>
                    </w:rPr>
                  </w:pPr>
                </w:p>
              </w:tc>
              <w:tc>
                <w:tcPr>
                  <w:tcW w:w="960" w:type="pct"/>
                  <w:shd w:val="clear" w:color="auto" w:fill="auto"/>
                  <w:noWrap w:val="0"/>
                  <w:vAlign w:val="center"/>
                </w:tcPr>
                <w:p w14:paraId="5E18C980">
                  <w:pPr>
                    <w:jc w:val="center"/>
                    <w:rPr>
                      <w:rFonts w:hint="default" w:ascii="Times New Roman" w:hAnsi="宋体" w:eastAsia="Times New Roman" w:cs="Times New Roman"/>
                      <w:color w:val="auto"/>
                      <w:kern w:val="2"/>
                      <w:sz w:val="21"/>
                      <w:szCs w:val="21"/>
                      <w:lang w:val="en-US" w:eastAsia="zh-CN" w:bidi="ar-SA"/>
                    </w:rPr>
                  </w:pPr>
                  <w:r>
                    <w:rPr>
                      <w:rFonts w:hAnsi="宋体"/>
                      <w:color w:val="auto"/>
                      <w:szCs w:val="21"/>
                    </w:rPr>
                    <w:t>循环水池</w:t>
                  </w:r>
                </w:p>
              </w:tc>
              <w:tc>
                <w:tcPr>
                  <w:tcW w:w="1319" w:type="pct"/>
                  <w:shd w:val="clear" w:color="auto" w:fill="auto"/>
                  <w:noWrap w:val="0"/>
                  <w:vAlign w:val="center"/>
                </w:tcPr>
                <w:p w14:paraId="44D3CEA1">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100m</w:t>
                  </w:r>
                  <w:r>
                    <w:rPr>
                      <w:rFonts w:hint="eastAsia"/>
                      <w:color w:val="auto"/>
                      <w:szCs w:val="21"/>
                      <w:vertAlign w:val="superscript"/>
                    </w:rPr>
                    <w:t>3</w:t>
                  </w:r>
                </w:p>
              </w:tc>
              <w:tc>
                <w:tcPr>
                  <w:tcW w:w="1335" w:type="pct"/>
                  <w:shd w:val="clear" w:color="auto" w:fill="auto"/>
                  <w:noWrap w:val="0"/>
                  <w:vAlign w:val="center"/>
                </w:tcPr>
                <w:p w14:paraId="4B29E4CF">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100m</w:t>
                  </w:r>
                  <w:r>
                    <w:rPr>
                      <w:rFonts w:hint="eastAsia"/>
                      <w:color w:val="auto"/>
                      <w:szCs w:val="21"/>
                      <w:vertAlign w:val="superscript"/>
                    </w:rPr>
                    <w:t>3</w:t>
                  </w:r>
                </w:p>
              </w:tc>
              <w:tc>
                <w:tcPr>
                  <w:tcW w:w="919" w:type="pct"/>
                  <w:shd w:val="clear" w:color="auto" w:fill="auto"/>
                  <w:noWrap w:val="0"/>
                  <w:vAlign w:val="center"/>
                </w:tcPr>
                <w:p w14:paraId="23AAA23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284B4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3E65021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snapToGrid w:val="0"/>
                      <w:color w:val="auto"/>
                      <w:sz w:val="21"/>
                      <w:szCs w:val="21"/>
                      <w:lang w:val="en-US" w:eastAsia="zh-CN"/>
                    </w:rPr>
                  </w:pPr>
                </w:p>
              </w:tc>
              <w:tc>
                <w:tcPr>
                  <w:tcW w:w="960" w:type="pct"/>
                  <w:shd w:val="clear" w:color="auto" w:fill="auto"/>
                  <w:noWrap w:val="0"/>
                  <w:vAlign w:val="center"/>
                </w:tcPr>
                <w:p w14:paraId="3F1569B8">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门卫房</w:t>
                  </w:r>
                </w:p>
              </w:tc>
              <w:tc>
                <w:tcPr>
                  <w:tcW w:w="1319" w:type="pct"/>
                  <w:shd w:val="clear" w:color="auto" w:fill="auto"/>
                  <w:noWrap w:val="0"/>
                  <w:vAlign w:val="center"/>
                </w:tcPr>
                <w:p w14:paraId="26C336B0">
                  <w:pPr>
                    <w:jc w:val="center"/>
                    <w:rPr>
                      <w:rFonts w:hint="eastAsia" w:ascii="Times New Roman" w:hAnsi="宋体" w:eastAsia="Times New Roman" w:cs="Times New Roman"/>
                      <w:color w:val="auto"/>
                      <w:kern w:val="2"/>
                      <w:sz w:val="21"/>
                      <w:szCs w:val="21"/>
                      <w:lang w:val="en-US" w:eastAsia="zh-CN" w:bidi="ar-SA"/>
                    </w:rPr>
                  </w:pPr>
                  <w:r>
                    <w:rPr>
                      <w:rFonts w:hint="eastAsia"/>
                      <w:color w:val="auto"/>
                      <w:szCs w:val="21"/>
                    </w:rPr>
                    <w:t>25</w:t>
                  </w:r>
                  <w:r>
                    <w:rPr>
                      <w:color w:val="auto"/>
                      <w:szCs w:val="21"/>
                    </w:rPr>
                    <w:t>m</w:t>
                  </w:r>
                  <w:r>
                    <w:rPr>
                      <w:color w:val="auto"/>
                      <w:szCs w:val="21"/>
                      <w:vertAlign w:val="superscript"/>
                    </w:rPr>
                    <w:t>2</w:t>
                  </w:r>
                </w:p>
              </w:tc>
              <w:tc>
                <w:tcPr>
                  <w:tcW w:w="1335" w:type="pct"/>
                  <w:shd w:val="clear" w:color="auto" w:fill="auto"/>
                  <w:noWrap w:val="0"/>
                  <w:vAlign w:val="center"/>
                </w:tcPr>
                <w:p w14:paraId="46AE5970">
                  <w:pPr>
                    <w:jc w:val="center"/>
                    <w:rPr>
                      <w:rFonts w:hint="eastAsia" w:ascii="Times New Roman" w:hAnsi="宋体" w:eastAsia="Times New Roman" w:cs="Times New Roman"/>
                      <w:color w:val="auto"/>
                      <w:kern w:val="2"/>
                      <w:sz w:val="21"/>
                      <w:szCs w:val="21"/>
                      <w:lang w:val="en-US" w:eastAsia="zh-CN" w:bidi="ar-SA"/>
                    </w:rPr>
                  </w:pPr>
                  <w:r>
                    <w:rPr>
                      <w:rFonts w:hint="eastAsia"/>
                      <w:color w:val="auto"/>
                      <w:szCs w:val="21"/>
                    </w:rPr>
                    <w:t>25</w:t>
                  </w:r>
                  <w:r>
                    <w:rPr>
                      <w:color w:val="auto"/>
                      <w:szCs w:val="21"/>
                    </w:rPr>
                    <w:t>m</w:t>
                  </w:r>
                  <w:r>
                    <w:rPr>
                      <w:color w:val="auto"/>
                      <w:szCs w:val="21"/>
                      <w:vertAlign w:val="superscript"/>
                    </w:rPr>
                    <w:t>2</w:t>
                  </w:r>
                </w:p>
              </w:tc>
              <w:tc>
                <w:tcPr>
                  <w:tcW w:w="919" w:type="pct"/>
                  <w:tcBorders>
                    <w:left w:val="single" w:color="000000" w:sz="2" w:space="0"/>
                  </w:tcBorders>
                  <w:shd w:val="clear" w:color="auto" w:fill="auto"/>
                  <w:noWrap w:val="0"/>
                  <w:vAlign w:val="center"/>
                </w:tcPr>
                <w:p w14:paraId="2D6F5B4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2F83F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restart"/>
                  <w:noWrap w:val="0"/>
                  <w:vAlign w:val="center"/>
                </w:tcPr>
                <w:p w14:paraId="648C156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r>
                    <w:rPr>
                      <w:rFonts w:hint="eastAsia"/>
                      <w:snapToGrid w:val="0"/>
                      <w:color w:val="auto"/>
                      <w:sz w:val="21"/>
                      <w:szCs w:val="21"/>
                    </w:rPr>
                    <w:t>公用工程</w:t>
                  </w:r>
                </w:p>
              </w:tc>
              <w:tc>
                <w:tcPr>
                  <w:tcW w:w="960" w:type="pct"/>
                  <w:shd w:val="clear" w:color="auto" w:fill="auto"/>
                  <w:noWrap w:val="0"/>
                  <w:vAlign w:val="center"/>
                </w:tcPr>
                <w:p w14:paraId="6982AD05">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供水</w:t>
                  </w:r>
                </w:p>
              </w:tc>
              <w:tc>
                <w:tcPr>
                  <w:tcW w:w="1319" w:type="pct"/>
                  <w:shd w:val="clear" w:color="auto" w:fill="auto"/>
                  <w:noWrap w:val="0"/>
                  <w:vAlign w:val="center"/>
                </w:tcPr>
                <w:p w14:paraId="46860F70">
                  <w:pPr>
                    <w:jc w:val="center"/>
                    <w:rPr>
                      <w:rFonts w:hint="default" w:ascii="Times New Roman" w:hAnsi="宋体" w:eastAsia="Times New Roman" w:cs="Times New Roman"/>
                      <w:color w:val="auto"/>
                      <w:kern w:val="2"/>
                      <w:sz w:val="21"/>
                      <w:szCs w:val="21"/>
                      <w:lang w:val="en-US" w:eastAsia="zh-CN" w:bidi="ar-SA"/>
                    </w:rPr>
                  </w:pPr>
                  <w:r>
                    <w:rPr>
                      <w:color w:val="auto"/>
                      <w:szCs w:val="21"/>
                    </w:rPr>
                    <w:t>来自永修云山经济开发区供水系统</w:t>
                  </w:r>
                </w:p>
              </w:tc>
              <w:tc>
                <w:tcPr>
                  <w:tcW w:w="1335" w:type="pct"/>
                  <w:shd w:val="clear" w:color="auto" w:fill="auto"/>
                  <w:noWrap w:val="0"/>
                  <w:vAlign w:val="center"/>
                </w:tcPr>
                <w:p w14:paraId="6A9819E0">
                  <w:pPr>
                    <w:jc w:val="center"/>
                    <w:rPr>
                      <w:rFonts w:hint="default" w:ascii="Times New Roman" w:hAnsi="宋体" w:eastAsia="Times New Roman" w:cs="Times New Roman"/>
                      <w:color w:val="auto"/>
                      <w:kern w:val="2"/>
                      <w:sz w:val="21"/>
                      <w:szCs w:val="21"/>
                      <w:lang w:val="en-US" w:eastAsia="zh-CN" w:bidi="ar-SA"/>
                    </w:rPr>
                  </w:pPr>
                  <w:r>
                    <w:rPr>
                      <w:color w:val="auto"/>
                      <w:szCs w:val="21"/>
                    </w:rPr>
                    <w:t>来自永修云山经济开发区供水系统</w:t>
                  </w:r>
                </w:p>
              </w:tc>
              <w:tc>
                <w:tcPr>
                  <w:tcW w:w="919" w:type="pct"/>
                  <w:shd w:val="clear" w:color="auto" w:fill="auto"/>
                  <w:noWrap w:val="0"/>
                  <w:vAlign w:val="center"/>
                </w:tcPr>
                <w:p w14:paraId="5FB5036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799E0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2EE6883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shd w:val="clear" w:color="auto" w:fill="auto"/>
                  <w:noWrap w:val="0"/>
                  <w:vAlign w:val="center"/>
                </w:tcPr>
                <w:p w14:paraId="6B78DFE9">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供电</w:t>
                  </w:r>
                </w:p>
              </w:tc>
              <w:tc>
                <w:tcPr>
                  <w:tcW w:w="1319" w:type="pct"/>
                  <w:shd w:val="clear" w:color="auto" w:fill="auto"/>
                  <w:noWrap w:val="0"/>
                  <w:vAlign w:val="center"/>
                </w:tcPr>
                <w:p w14:paraId="075E4CDA">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市政供电</w:t>
                  </w:r>
                </w:p>
              </w:tc>
              <w:tc>
                <w:tcPr>
                  <w:tcW w:w="1335" w:type="pct"/>
                  <w:shd w:val="clear" w:color="auto" w:fill="auto"/>
                  <w:noWrap w:val="0"/>
                  <w:vAlign w:val="center"/>
                </w:tcPr>
                <w:p w14:paraId="582E0C99">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市政供电</w:t>
                  </w:r>
                </w:p>
              </w:tc>
              <w:tc>
                <w:tcPr>
                  <w:tcW w:w="919" w:type="pct"/>
                  <w:shd w:val="clear" w:color="auto" w:fill="auto"/>
                  <w:noWrap w:val="0"/>
                  <w:vAlign w:val="center"/>
                </w:tcPr>
                <w:p w14:paraId="6F22DE1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4A70C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37672BA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shd w:val="clear" w:color="auto" w:fill="auto"/>
                  <w:noWrap w:val="0"/>
                  <w:vAlign w:val="center"/>
                </w:tcPr>
                <w:p w14:paraId="42B95E6D">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制冷</w:t>
                  </w:r>
                </w:p>
              </w:tc>
              <w:tc>
                <w:tcPr>
                  <w:tcW w:w="1319" w:type="pct"/>
                  <w:shd w:val="clear" w:color="auto" w:fill="auto"/>
                  <w:noWrap w:val="0"/>
                  <w:vAlign w:val="center"/>
                </w:tcPr>
                <w:p w14:paraId="2A26FDC9">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设置4台0.5m</w:t>
                  </w:r>
                  <w:r>
                    <w:rPr>
                      <w:rFonts w:hint="eastAsia" w:hAnsi="宋体"/>
                      <w:color w:val="auto"/>
                      <w:szCs w:val="21"/>
                      <w:vertAlign w:val="superscript"/>
                    </w:rPr>
                    <w:t>3</w:t>
                  </w:r>
                  <w:r>
                    <w:rPr>
                      <w:rFonts w:hint="eastAsia" w:hAnsi="宋体"/>
                      <w:color w:val="auto"/>
                      <w:szCs w:val="21"/>
                    </w:rPr>
                    <w:t>/h冷却塔，提供冷却用水</w:t>
                  </w:r>
                </w:p>
              </w:tc>
              <w:tc>
                <w:tcPr>
                  <w:tcW w:w="1335" w:type="pct"/>
                  <w:shd w:val="clear" w:color="auto" w:fill="auto"/>
                  <w:noWrap w:val="0"/>
                  <w:vAlign w:val="center"/>
                </w:tcPr>
                <w:p w14:paraId="0506E030">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设置4台0.5m</w:t>
                  </w:r>
                  <w:r>
                    <w:rPr>
                      <w:rFonts w:hint="eastAsia" w:hAnsi="宋体"/>
                      <w:color w:val="auto"/>
                      <w:szCs w:val="21"/>
                      <w:vertAlign w:val="superscript"/>
                    </w:rPr>
                    <w:t>3</w:t>
                  </w:r>
                  <w:r>
                    <w:rPr>
                      <w:rFonts w:hint="eastAsia" w:hAnsi="宋体"/>
                      <w:color w:val="auto"/>
                      <w:szCs w:val="21"/>
                    </w:rPr>
                    <w:t>/h冷却塔，提供冷却用水</w:t>
                  </w:r>
                </w:p>
              </w:tc>
              <w:tc>
                <w:tcPr>
                  <w:tcW w:w="919" w:type="pct"/>
                  <w:shd w:val="clear" w:color="auto" w:fill="auto"/>
                  <w:noWrap w:val="0"/>
                  <w:vAlign w:val="center"/>
                </w:tcPr>
                <w:p w14:paraId="2430C28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74196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restart"/>
                  <w:noWrap w:val="0"/>
                  <w:vAlign w:val="center"/>
                </w:tcPr>
                <w:p w14:paraId="4ECDB3F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r>
                    <w:rPr>
                      <w:rFonts w:hint="eastAsia"/>
                      <w:snapToGrid w:val="0"/>
                      <w:color w:val="auto"/>
                      <w:sz w:val="21"/>
                      <w:szCs w:val="21"/>
                    </w:rPr>
                    <w:t>环保工程</w:t>
                  </w:r>
                </w:p>
              </w:tc>
              <w:tc>
                <w:tcPr>
                  <w:tcW w:w="960" w:type="pct"/>
                  <w:vMerge w:val="restart"/>
                  <w:noWrap w:val="0"/>
                  <w:vAlign w:val="center"/>
                </w:tcPr>
                <w:p w14:paraId="18A75E8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eastAsia="宋体"/>
                      <w:snapToGrid w:val="0"/>
                      <w:color w:val="auto"/>
                      <w:sz w:val="21"/>
                      <w:szCs w:val="21"/>
                      <w:lang w:val="en-US" w:eastAsia="zh-CN"/>
                    </w:rPr>
                  </w:pPr>
                  <w:r>
                    <w:rPr>
                      <w:rFonts w:hint="eastAsia" w:eastAsia="宋体"/>
                      <w:snapToGrid w:val="0"/>
                      <w:color w:val="auto"/>
                      <w:sz w:val="21"/>
                      <w:szCs w:val="21"/>
                      <w:lang w:val="en-US" w:eastAsia="zh-CN"/>
                    </w:rPr>
                    <w:t>废水</w:t>
                  </w:r>
                </w:p>
              </w:tc>
              <w:tc>
                <w:tcPr>
                  <w:tcW w:w="1319" w:type="pct"/>
                  <w:noWrap w:val="0"/>
                  <w:vAlign w:val="center"/>
                </w:tcPr>
                <w:p w14:paraId="3E1EC01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snapToGrid w:val="0"/>
                      <w:color w:val="auto"/>
                      <w:sz w:val="21"/>
                      <w:szCs w:val="21"/>
                    </w:rPr>
                  </w:pPr>
                  <w:r>
                    <w:rPr>
                      <w:rFonts w:hint="eastAsia" w:eastAsia="宋体"/>
                      <w:snapToGrid w:val="0"/>
                      <w:color w:val="auto"/>
                      <w:sz w:val="21"/>
                      <w:szCs w:val="21"/>
                      <w:lang w:val="en-US" w:eastAsia="zh-CN"/>
                    </w:rPr>
                    <w:t>生产废水</w:t>
                  </w:r>
                  <w:r>
                    <w:rPr>
                      <w:rFonts w:hint="eastAsia"/>
                      <w:snapToGrid w:val="0"/>
                      <w:color w:val="auto"/>
                      <w:sz w:val="21"/>
                      <w:szCs w:val="21"/>
                    </w:rPr>
                    <w:t>经过预处理后回用于生产不外排，处理能力 100m</w:t>
                  </w:r>
                  <w:r>
                    <w:rPr>
                      <w:rFonts w:hint="eastAsia"/>
                      <w:snapToGrid w:val="0"/>
                      <w:color w:val="auto"/>
                      <w:sz w:val="21"/>
                      <w:szCs w:val="21"/>
                      <w:vertAlign w:val="superscript"/>
                    </w:rPr>
                    <w:t>3</w:t>
                  </w:r>
                  <w:r>
                    <w:rPr>
                      <w:rFonts w:hint="eastAsia"/>
                      <w:snapToGrid w:val="0"/>
                      <w:color w:val="auto"/>
                      <w:sz w:val="21"/>
                      <w:szCs w:val="21"/>
                    </w:rPr>
                    <w:t>/d</w:t>
                  </w:r>
                </w:p>
              </w:tc>
              <w:tc>
                <w:tcPr>
                  <w:tcW w:w="1335" w:type="pct"/>
                  <w:shd w:val="clear" w:color="auto" w:fill="auto"/>
                  <w:noWrap w:val="0"/>
                  <w:vAlign w:val="center"/>
                </w:tcPr>
                <w:p w14:paraId="172A32A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Times New Roman" w:cs="Times New Roman"/>
                      <w:snapToGrid w:val="0"/>
                      <w:color w:val="auto"/>
                      <w:kern w:val="2"/>
                      <w:sz w:val="21"/>
                      <w:szCs w:val="21"/>
                      <w:lang w:val="en-US" w:eastAsia="zh-CN" w:bidi="ar-SA"/>
                    </w:rPr>
                  </w:pPr>
                  <w:r>
                    <w:rPr>
                      <w:rFonts w:hint="eastAsia" w:eastAsia="宋体"/>
                      <w:snapToGrid w:val="0"/>
                      <w:color w:val="auto"/>
                      <w:sz w:val="21"/>
                      <w:szCs w:val="21"/>
                      <w:lang w:val="en-US" w:eastAsia="zh-CN"/>
                    </w:rPr>
                    <w:t>生产废水</w:t>
                  </w:r>
                  <w:r>
                    <w:rPr>
                      <w:rFonts w:hint="eastAsia"/>
                      <w:snapToGrid w:val="0"/>
                      <w:color w:val="auto"/>
                      <w:sz w:val="21"/>
                      <w:szCs w:val="21"/>
                    </w:rPr>
                    <w:t>经过预处理后回用于生产不外排，处理能力 100m</w:t>
                  </w:r>
                  <w:r>
                    <w:rPr>
                      <w:rFonts w:hint="eastAsia"/>
                      <w:snapToGrid w:val="0"/>
                      <w:color w:val="auto"/>
                      <w:sz w:val="21"/>
                      <w:szCs w:val="21"/>
                      <w:vertAlign w:val="superscript"/>
                    </w:rPr>
                    <w:t>3</w:t>
                  </w:r>
                  <w:r>
                    <w:rPr>
                      <w:rFonts w:hint="eastAsia"/>
                      <w:snapToGrid w:val="0"/>
                      <w:color w:val="auto"/>
                      <w:sz w:val="21"/>
                      <w:szCs w:val="21"/>
                    </w:rPr>
                    <w:t>/d</w:t>
                  </w:r>
                </w:p>
              </w:tc>
              <w:tc>
                <w:tcPr>
                  <w:tcW w:w="919" w:type="pct"/>
                  <w:vMerge w:val="restart"/>
                  <w:shd w:val="clear" w:color="auto" w:fill="auto"/>
                  <w:noWrap w:val="0"/>
                  <w:vAlign w:val="center"/>
                </w:tcPr>
                <w:p w14:paraId="21839FE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
                      <w:sz w:val="21"/>
                      <w:szCs w:val="21"/>
                      <w:lang w:val="en-US" w:eastAsia="zh-CN" w:bidi="ar-SA"/>
                    </w:rPr>
                  </w:pPr>
                  <w:r>
                    <w:rPr>
                      <w:rFonts w:hint="eastAsia" w:eastAsia="宋体" w:cs="Times New Roman"/>
                      <w:snapToGrid w:val="0"/>
                      <w:color w:val="auto"/>
                      <w:kern w:val="2"/>
                      <w:sz w:val="21"/>
                      <w:szCs w:val="21"/>
                      <w:lang w:val="en-US" w:eastAsia="zh-CN" w:bidi="ar-SA"/>
                    </w:rPr>
                    <w:t>本次技改主要内容：生产废水经预处理后部分回用，少量清洗废水与生活污水一并排入星火工业园污水处理厂</w:t>
                  </w:r>
                </w:p>
              </w:tc>
            </w:tr>
            <w:tr w14:paraId="22F83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78CD75E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vMerge w:val="continue"/>
                  <w:noWrap w:val="0"/>
                  <w:vAlign w:val="center"/>
                </w:tcPr>
                <w:p w14:paraId="22F42EA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eastAsia="宋体"/>
                      <w:snapToGrid w:val="0"/>
                      <w:color w:val="auto"/>
                      <w:sz w:val="21"/>
                      <w:szCs w:val="21"/>
                      <w:lang w:val="en-US" w:eastAsia="zh-CN"/>
                    </w:rPr>
                  </w:pPr>
                </w:p>
              </w:tc>
              <w:tc>
                <w:tcPr>
                  <w:tcW w:w="1319" w:type="pct"/>
                  <w:noWrap w:val="0"/>
                  <w:vAlign w:val="center"/>
                </w:tcPr>
                <w:p w14:paraId="4F4A24E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生活污水经厂区内化粪池处理后用于厂区绿化施肥，不外排</w:t>
                  </w:r>
                </w:p>
              </w:tc>
              <w:tc>
                <w:tcPr>
                  <w:tcW w:w="1335" w:type="pct"/>
                  <w:shd w:val="clear" w:color="auto" w:fill="auto"/>
                  <w:noWrap w:val="0"/>
                  <w:vAlign w:val="center"/>
                </w:tcPr>
                <w:p w14:paraId="09D31FE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生活污水经厂区内化粪池处理后外排至园区污水处理厂</w:t>
                  </w:r>
                </w:p>
              </w:tc>
              <w:tc>
                <w:tcPr>
                  <w:tcW w:w="919" w:type="pct"/>
                  <w:vMerge w:val="continue"/>
                  <w:shd w:val="clear" w:color="auto" w:fill="auto"/>
                  <w:noWrap w:val="0"/>
                  <w:vAlign w:val="center"/>
                </w:tcPr>
                <w:p w14:paraId="2D6572E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p>
              </w:tc>
            </w:tr>
            <w:tr w14:paraId="3FF75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769DF61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vMerge w:val="restart"/>
                  <w:noWrap w:val="0"/>
                  <w:vAlign w:val="center"/>
                </w:tcPr>
                <w:p w14:paraId="27584EE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eastAsia="宋体"/>
                      <w:snapToGrid w:val="0"/>
                      <w:color w:val="auto"/>
                      <w:sz w:val="21"/>
                      <w:szCs w:val="21"/>
                      <w:lang w:val="en-US" w:eastAsia="zh-CN"/>
                    </w:rPr>
                  </w:pPr>
                  <w:r>
                    <w:rPr>
                      <w:rFonts w:hint="eastAsia" w:eastAsia="宋体"/>
                      <w:snapToGrid w:val="0"/>
                      <w:color w:val="auto"/>
                      <w:sz w:val="21"/>
                      <w:szCs w:val="21"/>
                      <w:lang w:val="en-US" w:eastAsia="zh-CN"/>
                    </w:rPr>
                    <w:t>废气</w:t>
                  </w:r>
                </w:p>
              </w:tc>
              <w:tc>
                <w:tcPr>
                  <w:tcW w:w="1319" w:type="pct"/>
                  <w:shd w:val="clear" w:color="auto" w:fill="auto"/>
                  <w:noWrap w:val="0"/>
                  <w:vAlign w:val="center"/>
                </w:tcPr>
                <w:p w14:paraId="75AE7178">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水浴除尘+高效静电+UV光解+活性炭吸附+15米1#高排气筒</w:t>
                  </w:r>
                </w:p>
              </w:tc>
              <w:tc>
                <w:tcPr>
                  <w:tcW w:w="1335" w:type="pct"/>
                  <w:shd w:val="clear" w:color="auto" w:fill="auto"/>
                  <w:noWrap w:val="0"/>
                  <w:vAlign w:val="center"/>
                </w:tcPr>
                <w:p w14:paraId="6A0902B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hAnsi="宋体"/>
                      <w:color w:val="auto"/>
                      <w:szCs w:val="21"/>
                    </w:rPr>
                    <w:t>水浴除尘+高效静电+UV光解+活性炭吸附+15米1#高排气筒</w:t>
                  </w:r>
                </w:p>
              </w:tc>
              <w:tc>
                <w:tcPr>
                  <w:tcW w:w="919" w:type="pct"/>
                  <w:shd w:val="clear" w:color="auto" w:fill="auto"/>
                  <w:noWrap w:val="0"/>
                  <w:vAlign w:val="center"/>
                </w:tcPr>
                <w:p w14:paraId="6872FA1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4C678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7D8E028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vMerge w:val="continue"/>
                  <w:noWrap w:val="0"/>
                  <w:vAlign w:val="center"/>
                </w:tcPr>
                <w:p w14:paraId="0FCBD0D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1319" w:type="pct"/>
                  <w:shd w:val="clear" w:color="auto" w:fill="auto"/>
                  <w:noWrap w:val="0"/>
                  <w:vAlign w:val="center"/>
                </w:tcPr>
                <w:p w14:paraId="7055A3BC">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15米高2#排气筒</w:t>
                  </w:r>
                </w:p>
              </w:tc>
              <w:tc>
                <w:tcPr>
                  <w:tcW w:w="1335" w:type="pct"/>
                  <w:shd w:val="clear" w:color="auto" w:fill="auto"/>
                  <w:noWrap w:val="0"/>
                  <w:vAlign w:val="center"/>
                </w:tcPr>
                <w:p w14:paraId="46CB99E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未建设</w:t>
                  </w:r>
                </w:p>
              </w:tc>
              <w:tc>
                <w:tcPr>
                  <w:tcW w:w="919" w:type="pct"/>
                  <w:shd w:val="clear" w:color="auto" w:fill="auto"/>
                  <w:noWrap w:val="0"/>
                  <w:vAlign w:val="center"/>
                </w:tcPr>
                <w:p w14:paraId="253CEFC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一期不生产燃料棒</w:t>
                  </w:r>
                </w:p>
              </w:tc>
            </w:tr>
            <w:tr w14:paraId="4B217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62B4A5D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vMerge w:val="continue"/>
                  <w:noWrap w:val="0"/>
                  <w:vAlign w:val="center"/>
                </w:tcPr>
                <w:p w14:paraId="10407B8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1319" w:type="pct"/>
                  <w:shd w:val="clear" w:color="auto" w:fill="auto"/>
                  <w:noWrap w:val="0"/>
                  <w:vAlign w:val="center"/>
                </w:tcPr>
                <w:p w14:paraId="778E660D">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集气罩+布袋除尘器+15米高3#排气筒</w:t>
                  </w:r>
                </w:p>
              </w:tc>
              <w:tc>
                <w:tcPr>
                  <w:tcW w:w="1335" w:type="pct"/>
                  <w:shd w:val="clear" w:color="auto" w:fill="auto"/>
                  <w:noWrap w:val="0"/>
                  <w:vAlign w:val="center"/>
                </w:tcPr>
                <w:p w14:paraId="0990EAE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Times New Roman" w:cs="Times New Roman"/>
                      <w:color w:val="auto"/>
                      <w:kern w:val="2"/>
                      <w:sz w:val="21"/>
                      <w:szCs w:val="21"/>
                      <w:lang w:val="en-US" w:eastAsia="zh-CN" w:bidi="ar-SA"/>
                    </w:rPr>
                    <w:t>未建设</w:t>
                  </w:r>
                </w:p>
              </w:tc>
              <w:tc>
                <w:tcPr>
                  <w:tcW w:w="919" w:type="pct"/>
                  <w:shd w:val="clear" w:color="auto" w:fill="auto"/>
                  <w:noWrap w:val="0"/>
                  <w:vAlign w:val="center"/>
                </w:tcPr>
                <w:p w14:paraId="3389A6C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一期不生产燃料棒</w:t>
                  </w:r>
                </w:p>
              </w:tc>
            </w:tr>
            <w:tr w14:paraId="5E12F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7BAB42F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noWrap w:val="0"/>
                  <w:vAlign w:val="center"/>
                </w:tcPr>
                <w:p w14:paraId="3FD8A36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eastAsia="宋体"/>
                      <w:snapToGrid w:val="0"/>
                      <w:color w:val="auto"/>
                      <w:sz w:val="21"/>
                      <w:szCs w:val="21"/>
                      <w:lang w:val="en-US" w:eastAsia="zh-CN"/>
                    </w:rPr>
                  </w:pPr>
                  <w:r>
                    <w:rPr>
                      <w:rFonts w:hint="eastAsia" w:eastAsia="宋体"/>
                      <w:snapToGrid w:val="0"/>
                      <w:color w:val="auto"/>
                      <w:sz w:val="21"/>
                      <w:szCs w:val="21"/>
                      <w:lang w:val="en-US" w:eastAsia="zh-CN"/>
                    </w:rPr>
                    <w:t>噪声</w:t>
                  </w:r>
                </w:p>
              </w:tc>
              <w:tc>
                <w:tcPr>
                  <w:tcW w:w="1319" w:type="pct"/>
                  <w:shd w:val="clear" w:color="auto" w:fill="auto"/>
                  <w:noWrap w:val="0"/>
                  <w:vAlign w:val="center"/>
                </w:tcPr>
                <w:p w14:paraId="137C6739">
                  <w:pPr>
                    <w:jc w:val="center"/>
                    <w:rPr>
                      <w:rFonts w:hint="default" w:ascii="Times New Roman" w:hAnsi="Times New Roman" w:eastAsia="Times New Roman" w:cs="Times New Roman"/>
                      <w:color w:val="auto"/>
                      <w:kern w:val="2"/>
                      <w:sz w:val="21"/>
                      <w:szCs w:val="21"/>
                      <w:lang w:val="en-US" w:eastAsia="zh-CN" w:bidi="ar-SA"/>
                    </w:rPr>
                  </w:pPr>
                  <w:r>
                    <w:rPr>
                      <w:rFonts w:hAnsi="宋体"/>
                      <w:color w:val="auto"/>
                      <w:szCs w:val="21"/>
                    </w:rPr>
                    <w:t>加大减振基础，安装减振装置，部分设备设置在室内</w:t>
                  </w:r>
                </w:p>
              </w:tc>
              <w:tc>
                <w:tcPr>
                  <w:tcW w:w="1335" w:type="pct"/>
                  <w:noWrap w:val="0"/>
                  <w:vAlign w:val="center"/>
                </w:tcPr>
                <w:p w14:paraId="3A0D7C9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安装了减振装置，部分设备设置在室内</w:t>
                  </w:r>
                </w:p>
              </w:tc>
              <w:tc>
                <w:tcPr>
                  <w:tcW w:w="919" w:type="pct"/>
                  <w:shd w:val="clear" w:color="auto" w:fill="auto"/>
                  <w:noWrap w:val="0"/>
                  <w:vAlign w:val="center"/>
                </w:tcPr>
                <w:p w14:paraId="247E876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28A11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1F00456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noWrap w:val="0"/>
                  <w:vAlign w:val="center"/>
                </w:tcPr>
                <w:p w14:paraId="681CD1E1">
                  <w:pPr>
                    <w:jc w:val="center"/>
                    <w:rPr>
                      <w:rFonts w:hint="default" w:eastAsia="宋体"/>
                      <w:snapToGrid w:val="0"/>
                      <w:color w:val="auto"/>
                      <w:sz w:val="21"/>
                      <w:szCs w:val="21"/>
                      <w:lang w:val="en-US" w:eastAsia="zh-CN"/>
                    </w:rPr>
                  </w:pPr>
                  <w:r>
                    <w:rPr>
                      <w:rFonts w:hint="eastAsia" w:hAnsi="宋体"/>
                      <w:color w:val="auto"/>
                      <w:szCs w:val="21"/>
                    </w:rPr>
                    <w:t>一般固废贮存</w:t>
                  </w:r>
                </w:p>
              </w:tc>
              <w:tc>
                <w:tcPr>
                  <w:tcW w:w="1319" w:type="pct"/>
                  <w:shd w:val="clear" w:color="auto" w:fill="auto"/>
                  <w:noWrap w:val="0"/>
                  <w:vAlign w:val="center"/>
                </w:tcPr>
                <w:p w14:paraId="3FED9693">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100</w:t>
                  </w:r>
                  <w:r>
                    <w:rPr>
                      <w:color w:val="auto"/>
                      <w:szCs w:val="21"/>
                    </w:rPr>
                    <w:t>m</w:t>
                  </w:r>
                  <w:r>
                    <w:rPr>
                      <w:color w:val="auto"/>
                      <w:szCs w:val="21"/>
                      <w:vertAlign w:val="superscript"/>
                    </w:rPr>
                    <w:t>2</w:t>
                  </w:r>
                </w:p>
              </w:tc>
              <w:tc>
                <w:tcPr>
                  <w:tcW w:w="1335" w:type="pct"/>
                  <w:shd w:val="clear" w:color="auto" w:fill="auto"/>
                  <w:noWrap w:val="0"/>
                  <w:vAlign w:val="center"/>
                </w:tcPr>
                <w:p w14:paraId="72A65720">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100</w:t>
                  </w:r>
                  <w:r>
                    <w:rPr>
                      <w:color w:val="auto"/>
                      <w:szCs w:val="21"/>
                    </w:rPr>
                    <w:t>m</w:t>
                  </w:r>
                  <w:r>
                    <w:rPr>
                      <w:color w:val="auto"/>
                      <w:szCs w:val="21"/>
                      <w:vertAlign w:val="superscript"/>
                    </w:rPr>
                    <w:t>2</w:t>
                  </w:r>
                </w:p>
              </w:tc>
              <w:tc>
                <w:tcPr>
                  <w:tcW w:w="919" w:type="pct"/>
                  <w:shd w:val="clear" w:color="auto" w:fill="auto"/>
                  <w:noWrap w:val="0"/>
                  <w:vAlign w:val="center"/>
                </w:tcPr>
                <w:p w14:paraId="07E89E6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452E6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0C4A5BC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noWrap w:val="0"/>
                  <w:vAlign w:val="center"/>
                </w:tcPr>
                <w:p w14:paraId="182B8F64">
                  <w:pPr>
                    <w:jc w:val="center"/>
                    <w:rPr>
                      <w:rFonts w:hint="default" w:eastAsia="宋体"/>
                      <w:snapToGrid w:val="0"/>
                      <w:color w:val="auto"/>
                      <w:sz w:val="21"/>
                      <w:szCs w:val="21"/>
                      <w:lang w:val="en-US" w:eastAsia="zh-CN"/>
                    </w:rPr>
                  </w:pPr>
                  <w:r>
                    <w:rPr>
                      <w:rFonts w:hint="eastAsia" w:hAnsi="宋体"/>
                      <w:color w:val="auto"/>
                      <w:szCs w:val="21"/>
                    </w:rPr>
                    <w:t>危废贮存</w:t>
                  </w:r>
                </w:p>
              </w:tc>
              <w:tc>
                <w:tcPr>
                  <w:tcW w:w="1319" w:type="pct"/>
                  <w:shd w:val="clear" w:color="auto" w:fill="auto"/>
                  <w:noWrap w:val="0"/>
                  <w:vAlign w:val="center"/>
                </w:tcPr>
                <w:p w14:paraId="2D903C53">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10</w:t>
                  </w:r>
                  <w:r>
                    <w:rPr>
                      <w:color w:val="auto"/>
                      <w:szCs w:val="21"/>
                    </w:rPr>
                    <w:t>m</w:t>
                  </w:r>
                  <w:r>
                    <w:rPr>
                      <w:color w:val="auto"/>
                      <w:szCs w:val="21"/>
                      <w:vertAlign w:val="superscript"/>
                    </w:rPr>
                    <w:t>2</w:t>
                  </w:r>
                </w:p>
              </w:tc>
              <w:tc>
                <w:tcPr>
                  <w:tcW w:w="1335" w:type="pct"/>
                  <w:shd w:val="clear" w:color="auto" w:fill="auto"/>
                  <w:noWrap w:val="0"/>
                  <w:vAlign w:val="center"/>
                </w:tcPr>
                <w:p w14:paraId="0BE6BDF4">
                  <w:pPr>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Cs w:val="21"/>
                    </w:rPr>
                    <w:t>10</w:t>
                  </w:r>
                  <w:r>
                    <w:rPr>
                      <w:color w:val="auto"/>
                      <w:szCs w:val="21"/>
                    </w:rPr>
                    <w:t>m</w:t>
                  </w:r>
                  <w:r>
                    <w:rPr>
                      <w:color w:val="auto"/>
                      <w:szCs w:val="21"/>
                      <w:vertAlign w:val="superscript"/>
                    </w:rPr>
                    <w:t>2</w:t>
                  </w:r>
                </w:p>
              </w:tc>
              <w:tc>
                <w:tcPr>
                  <w:tcW w:w="919" w:type="pct"/>
                  <w:shd w:val="clear" w:color="auto" w:fill="auto"/>
                  <w:noWrap w:val="0"/>
                  <w:vAlign w:val="center"/>
                </w:tcPr>
                <w:p w14:paraId="66ACAFD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r w14:paraId="2C5B2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pct"/>
                  <w:vMerge w:val="continue"/>
                  <w:noWrap w:val="0"/>
                  <w:vAlign w:val="center"/>
                </w:tcPr>
                <w:p w14:paraId="518920D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snapToGrid w:val="0"/>
                      <w:color w:val="auto"/>
                      <w:sz w:val="21"/>
                      <w:szCs w:val="21"/>
                    </w:rPr>
                  </w:pPr>
                </w:p>
              </w:tc>
              <w:tc>
                <w:tcPr>
                  <w:tcW w:w="960" w:type="pct"/>
                  <w:noWrap w:val="0"/>
                  <w:vAlign w:val="center"/>
                </w:tcPr>
                <w:p w14:paraId="6F19B5B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eastAsia="宋体"/>
                      <w:snapToGrid w:val="0"/>
                      <w:color w:val="auto"/>
                      <w:sz w:val="21"/>
                      <w:szCs w:val="21"/>
                      <w:lang w:eastAsia="zh-CN"/>
                    </w:rPr>
                  </w:pPr>
                  <w:r>
                    <w:rPr>
                      <w:rFonts w:hint="eastAsia" w:eastAsia="宋体"/>
                      <w:snapToGrid w:val="0"/>
                      <w:color w:val="auto"/>
                      <w:sz w:val="21"/>
                      <w:szCs w:val="21"/>
                      <w:lang w:val="en-US" w:eastAsia="zh-CN"/>
                    </w:rPr>
                    <w:t>环境风险</w:t>
                  </w:r>
                </w:p>
              </w:tc>
              <w:tc>
                <w:tcPr>
                  <w:tcW w:w="1319" w:type="pct"/>
                  <w:noWrap w:val="0"/>
                  <w:vAlign w:val="center"/>
                </w:tcPr>
                <w:p w14:paraId="19C28AB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olor w:val="auto"/>
                      <w:szCs w:val="21"/>
                    </w:rPr>
                    <w:t>200m</w:t>
                  </w:r>
                  <w:r>
                    <w:rPr>
                      <w:rFonts w:hint="eastAsia"/>
                      <w:color w:val="auto"/>
                      <w:szCs w:val="21"/>
                      <w:vertAlign w:val="superscript"/>
                    </w:rPr>
                    <w:t>3</w:t>
                  </w:r>
                </w:p>
              </w:tc>
              <w:tc>
                <w:tcPr>
                  <w:tcW w:w="1335" w:type="pct"/>
                  <w:shd w:val="clear" w:color="auto" w:fill="auto"/>
                  <w:noWrap w:val="0"/>
                  <w:vAlign w:val="center"/>
                </w:tcPr>
                <w:p w14:paraId="367BC6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200m</w:t>
                  </w:r>
                  <w:r>
                    <w:rPr>
                      <w:rFonts w:hint="eastAsia"/>
                      <w:color w:val="auto"/>
                      <w:szCs w:val="21"/>
                      <w:vertAlign w:val="superscript"/>
                    </w:rPr>
                    <w:t>3</w:t>
                  </w:r>
                </w:p>
              </w:tc>
              <w:tc>
                <w:tcPr>
                  <w:tcW w:w="919" w:type="pct"/>
                  <w:shd w:val="clear" w:color="auto" w:fill="auto"/>
                  <w:noWrap w:val="0"/>
                  <w:vAlign w:val="center"/>
                </w:tcPr>
                <w:p w14:paraId="16772EA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rPr>
                      <w:rFonts w:hint="eastAsia" w:ascii="Times New Roman" w:hAnsi="Times New Roman" w:eastAsia="宋体" w:cs="Times New Roman"/>
                      <w:snapToGrid w:val="0"/>
                      <w:color w:val="auto"/>
                      <w:kern w:val="2"/>
                      <w:sz w:val="21"/>
                      <w:szCs w:val="21"/>
                      <w:lang w:val="en-US" w:eastAsia="zh-CN" w:bidi="ar-SA"/>
                    </w:rPr>
                  </w:pPr>
                  <w:r>
                    <w:rPr>
                      <w:rFonts w:hint="eastAsia" w:eastAsia="宋体"/>
                      <w:snapToGrid w:val="0"/>
                      <w:color w:val="auto"/>
                      <w:sz w:val="21"/>
                      <w:szCs w:val="21"/>
                      <w:lang w:val="en-US" w:eastAsia="zh-CN"/>
                    </w:rPr>
                    <w:t>依托原有</w:t>
                  </w:r>
                </w:p>
              </w:tc>
            </w:tr>
          </w:tbl>
          <w:p w14:paraId="7194FB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主要产品及产能</w:t>
            </w:r>
          </w:p>
          <w:p w14:paraId="4F97DE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本项目（一期）产品情况见下表。</w:t>
            </w:r>
          </w:p>
          <w:p w14:paraId="0EF50D30">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b/>
                <w:bCs/>
                <w:color w:val="auto"/>
                <w:sz w:val="21"/>
                <w:szCs w:val="21"/>
                <w:lang w:val="zh-CN"/>
              </w:rPr>
            </w:pPr>
            <w:r>
              <w:rPr>
                <w:b/>
                <w:bCs/>
                <w:color w:val="auto"/>
                <w:sz w:val="21"/>
                <w:szCs w:val="21"/>
                <w:lang w:val="zh-CN"/>
              </w:rPr>
              <w:t>表</w:t>
            </w:r>
            <w:r>
              <w:rPr>
                <w:rFonts w:hint="eastAsia"/>
                <w:b/>
                <w:bCs/>
                <w:color w:val="auto"/>
                <w:sz w:val="21"/>
                <w:szCs w:val="21"/>
                <w:lang w:val="en-US" w:eastAsia="zh-CN"/>
              </w:rPr>
              <w:t>2-2    项目</w:t>
            </w:r>
            <w:r>
              <w:rPr>
                <w:b/>
                <w:bCs/>
                <w:color w:val="auto"/>
                <w:sz w:val="21"/>
                <w:szCs w:val="21"/>
                <w:lang w:val="zh-CN"/>
              </w:rPr>
              <w:t>主要产品方案一览表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687"/>
              <w:gridCol w:w="1524"/>
              <w:gridCol w:w="1065"/>
              <w:gridCol w:w="1515"/>
              <w:gridCol w:w="1470"/>
              <w:gridCol w:w="1264"/>
            </w:tblGrid>
            <w:tr w14:paraId="267E0AA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82" w:hRule="atLeast"/>
                <w:tblHeader/>
              </w:trPr>
              <w:tc>
                <w:tcPr>
                  <w:tcW w:w="456" w:type="pct"/>
                  <w:tcBorders>
                    <w:tl2br w:val="nil"/>
                    <w:tr2bl w:val="nil"/>
                  </w:tcBorders>
                  <w:noWrap w:val="0"/>
                  <w:vAlign w:val="center"/>
                </w:tcPr>
                <w:p w14:paraId="160AF2D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b/>
                      <w:color w:val="auto"/>
                      <w:sz w:val="21"/>
                      <w:szCs w:val="21"/>
                    </w:rPr>
                  </w:pPr>
                  <w:r>
                    <w:rPr>
                      <w:b/>
                      <w:color w:val="auto"/>
                      <w:sz w:val="21"/>
                      <w:szCs w:val="21"/>
                    </w:rPr>
                    <w:t>序号</w:t>
                  </w:r>
                </w:p>
              </w:tc>
              <w:tc>
                <w:tcPr>
                  <w:tcW w:w="1012" w:type="pct"/>
                  <w:tcBorders>
                    <w:right w:val="single" w:color="000000" w:sz="2" w:space="0"/>
                    <w:tl2br w:val="nil"/>
                    <w:tr2bl w:val="nil"/>
                  </w:tcBorders>
                  <w:noWrap w:val="0"/>
                  <w:vAlign w:val="center"/>
                </w:tcPr>
                <w:p w14:paraId="002978AD">
                  <w:pPr>
                    <w:pStyle w:val="40"/>
                    <w:keepNext w:val="0"/>
                    <w:keepLines w:val="0"/>
                    <w:pageBreakBefore w:val="0"/>
                    <w:widowControl/>
                    <w:tabs>
                      <w:tab w:val="right" w:leader="dot" w:pos="8302"/>
                    </w:tabs>
                    <w:kinsoku/>
                    <w:wordWrap/>
                    <w:overflowPunct/>
                    <w:topLinePunct w:val="0"/>
                    <w:autoSpaceDE/>
                    <w:autoSpaceDN/>
                    <w:bidi w:val="0"/>
                    <w:adjustRightInd/>
                    <w:snapToGrid/>
                    <w:spacing w:beforeLines="0" w:beforeAutospacing="0" w:afterLines="0" w:afterAutospacing="0" w:line="240" w:lineRule="auto"/>
                    <w:ind w:left="420" w:leftChars="0" w:right="0" w:rightChars="0"/>
                    <w:jc w:val="center"/>
                    <w:textAlignment w:val="auto"/>
                    <w:rPr>
                      <w:b/>
                      <w:color w:val="auto"/>
                      <w:sz w:val="21"/>
                      <w:szCs w:val="21"/>
                    </w:rPr>
                  </w:pPr>
                  <w:r>
                    <w:rPr>
                      <w:b/>
                      <w:bCs/>
                      <w:color w:val="auto"/>
                      <w:sz w:val="21"/>
                      <w:szCs w:val="21"/>
                    </w:rPr>
                    <w:t>产品名称</w:t>
                  </w:r>
                </w:p>
              </w:tc>
              <w:tc>
                <w:tcPr>
                  <w:tcW w:w="707" w:type="pct"/>
                  <w:tcBorders>
                    <w:left w:val="single" w:color="000000" w:sz="2" w:space="0"/>
                    <w:tl2br w:val="nil"/>
                    <w:tr2bl w:val="nil"/>
                  </w:tcBorders>
                  <w:noWrap w:val="0"/>
                  <w:vAlign w:val="center"/>
                </w:tcPr>
                <w:p w14:paraId="7B941880">
                  <w:pPr>
                    <w:pStyle w:val="40"/>
                    <w:keepNext w:val="0"/>
                    <w:keepLines w:val="0"/>
                    <w:pageBreakBefore w:val="0"/>
                    <w:widowControl/>
                    <w:tabs>
                      <w:tab w:val="right" w:leader="dot" w:pos="8302"/>
                    </w:tabs>
                    <w:kinsoku/>
                    <w:wordWrap/>
                    <w:overflowPunct/>
                    <w:topLinePunct w:val="0"/>
                    <w:autoSpaceDE/>
                    <w:autoSpaceDN/>
                    <w:bidi w:val="0"/>
                    <w:adjustRightInd/>
                    <w:snapToGrid/>
                    <w:spacing w:beforeLines="0" w:beforeAutospacing="0" w:afterLines="0" w:afterAutospacing="0" w:line="240" w:lineRule="auto"/>
                    <w:ind w:left="420" w:leftChars="0" w:right="0" w:rightChars="0"/>
                    <w:jc w:val="center"/>
                    <w:textAlignment w:val="auto"/>
                    <w:rPr>
                      <w:rFonts w:hint="default"/>
                      <w:b/>
                      <w:bCs/>
                      <w:color w:val="auto"/>
                      <w:sz w:val="21"/>
                      <w:szCs w:val="21"/>
                      <w:lang w:val="en-US" w:eastAsia="zh-CN"/>
                    </w:rPr>
                  </w:pPr>
                  <w:r>
                    <w:rPr>
                      <w:rFonts w:hint="eastAsia"/>
                      <w:b/>
                      <w:bCs/>
                      <w:color w:val="auto"/>
                      <w:sz w:val="21"/>
                      <w:szCs w:val="21"/>
                      <w:lang w:val="en-US" w:eastAsia="zh-CN"/>
                    </w:rPr>
                    <w:t>规格</w:t>
                  </w:r>
                </w:p>
              </w:tc>
              <w:tc>
                <w:tcPr>
                  <w:tcW w:w="1006" w:type="pct"/>
                  <w:tcBorders>
                    <w:left w:val="single" w:color="000000" w:sz="2" w:space="0"/>
                    <w:tl2br w:val="nil"/>
                    <w:tr2bl w:val="nil"/>
                  </w:tcBorders>
                  <w:noWrap w:val="0"/>
                  <w:vAlign w:val="center"/>
                </w:tcPr>
                <w:p w14:paraId="5B4A2A90">
                  <w:pPr>
                    <w:pStyle w:val="40"/>
                    <w:keepNext w:val="0"/>
                    <w:keepLines w:val="0"/>
                    <w:pageBreakBefore w:val="0"/>
                    <w:widowControl/>
                    <w:tabs>
                      <w:tab w:val="right" w:leader="dot" w:pos="8302"/>
                    </w:tabs>
                    <w:kinsoku/>
                    <w:wordWrap/>
                    <w:overflowPunct/>
                    <w:topLinePunct w:val="0"/>
                    <w:autoSpaceDE/>
                    <w:autoSpaceDN/>
                    <w:bidi w:val="0"/>
                    <w:adjustRightInd/>
                    <w:snapToGrid/>
                    <w:spacing w:beforeLines="0" w:beforeAutospacing="0" w:afterLines="0" w:afterAutospacing="0" w:line="240" w:lineRule="auto"/>
                    <w:ind w:right="0" w:rightChars="0"/>
                    <w:jc w:val="center"/>
                    <w:textAlignment w:val="auto"/>
                    <w:rPr>
                      <w:rFonts w:hint="eastAsia" w:eastAsia="宋体"/>
                      <w:b/>
                      <w:bCs/>
                      <w:color w:val="auto"/>
                      <w:sz w:val="21"/>
                      <w:szCs w:val="21"/>
                      <w:lang w:eastAsia="zh-CN"/>
                    </w:rPr>
                  </w:pPr>
                  <w:r>
                    <w:rPr>
                      <w:rFonts w:hint="eastAsia"/>
                      <w:b/>
                      <w:bCs/>
                      <w:color w:val="auto"/>
                      <w:sz w:val="21"/>
                      <w:szCs w:val="21"/>
                      <w:lang w:val="en-US" w:eastAsia="zh-CN"/>
                    </w:rPr>
                    <w:t>现有</w:t>
                  </w:r>
                  <w:r>
                    <w:rPr>
                      <w:rFonts w:hint="eastAsia"/>
                      <w:b/>
                      <w:bCs/>
                      <w:color w:val="auto"/>
                      <w:sz w:val="21"/>
                      <w:szCs w:val="21"/>
                      <w:lang w:eastAsia="zh-CN"/>
                    </w:rPr>
                    <w:t>年产量</w:t>
                  </w:r>
                </w:p>
              </w:tc>
              <w:tc>
                <w:tcPr>
                  <w:tcW w:w="976" w:type="pct"/>
                  <w:tcBorders>
                    <w:tl2br w:val="nil"/>
                    <w:tr2bl w:val="nil"/>
                  </w:tcBorders>
                  <w:noWrap w:val="0"/>
                  <w:vAlign w:val="center"/>
                </w:tcPr>
                <w:p w14:paraId="1CEC280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b/>
                      <w:color w:val="auto"/>
                      <w:sz w:val="21"/>
                      <w:szCs w:val="21"/>
                      <w:lang w:val="en-US" w:eastAsia="zh-CN"/>
                    </w:rPr>
                  </w:pPr>
                  <w:r>
                    <w:rPr>
                      <w:rFonts w:hint="eastAsia"/>
                      <w:b/>
                      <w:color w:val="auto"/>
                      <w:sz w:val="21"/>
                      <w:szCs w:val="21"/>
                      <w:highlight w:val="none"/>
                      <w:lang w:val="en-US" w:eastAsia="zh-CN"/>
                    </w:rPr>
                    <w:t>技改后产量</w:t>
                  </w:r>
                </w:p>
              </w:tc>
              <w:tc>
                <w:tcPr>
                  <w:tcW w:w="839" w:type="pct"/>
                  <w:tcBorders>
                    <w:tl2br w:val="nil"/>
                    <w:tr2bl w:val="nil"/>
                  </w:tcBorders>
                  <w:noWrap w:val="0"/>
                  <w:vAlign w:val="center"/>
                </w:tcPr>
                <w:p w14:paraId="6188B55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eastAsia="宋体"/>
                      <w:b/>
                      <w:color w:val="auto"/>
                      <w:sz w:val="21"/>
                      <w:szCs w:val="21"/>
                      <w:lang w:val="en-US" w:eastAsia="zh-CN"/>
                    </w:rPr>
                  </w:pPr>
                  <w:r>
                    <w:rPr>
                      <w:rFonts w:hint="eastAsia"/>
                      <w:b/>
                      <w:color w:val="auto"/>
                      <w:sz w:val="21"/>
                      <w:szCs w:val="21"/>
                      <w:lang w:val="en-US" w:eastAsia="zh-CN"/>
                    </w:rPr>
                    <w:t>变化量</w:t>
                  </w:r>
                </w:p>
              </w:tc>
            </w:tr>
            <w:tr w14:paraId="5FA829B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45" w:hRule="atLeast"/>
                <w:tblHeader/>
              </w:trPr>
              <w:tc>
                <w:tcPr>
                  <w:tcW w:w="456" w:type="pct"/>
                  <w:tcBorders>
                    <w:tl2br w:val="nil"/>
                    <w:tr2bl w:val="nil"/>
                  </w:tcBorders>
                  <w:noWrap w:val="0"/>
                  <w:vAlign w:val="center"/>
                </w:tcPr>
                <w:p w14:paraId="399ABE15">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color w:val="auto"/>
                      <w:sz w:val="21"/>
                      <w:szCs w:val="21"/>
                    </w:rPr>
                  </w:pPr>
                  <w:r>
                    <w:rPr>
                      <w:color w:val="auto"/>
                      <w:sz w:val="21"/>
                      <w:szCs w:val="21"/>
                    </w:rPr>
                    <w:t>1</w:t>
                  </w:r>
                </w:p>
              </w:tc>
              <w:tc>
                <w:tcPr>
                  <w:tcW w:w="1012" w:type="pct"/>
                  <w:tcBorders>
                    <w:right w:val="single" w:color="000000" w:sz="2" w:space="0"/>
                    <w:tl2br w:val="nil"/>
                    <w:tr2bl w:val="nil"/>
                  </w:tcBorders>
                  <w:noWrap w:val="0"/>
                  <w:vAlign w:val="center"/>
                </w:tcPr>
                <w:p w14:paraId="08C028B9">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再生塑料粒子</w:t>
                  </w:r>
                </w:p>
              </w:tc>
              <w:tc>
                <w:tcPr>
                  <w:tcW w:w="707" w:type="pct"/>
                  <w:tcBorders>
                    <w:left w:val="single" w:color="000000" w:sz="2" w:space="0"/>
                    <w:tl2br w:val="nil"/>
                    <w:tr2bl w:val="nil"/>
                  </w:tcBorders>
                  <w:noWrap w:val="0"/>
                  <w:vAlign w:val="center"/>
                </w:tcPr>
                <w:p w14:paraId="53220D4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3-5mm</w:t>
                  </w:r>
                </w:p>
              </w:tc>
              <w:tc>
                <w:tcPr>
                  <w:tcW w:w="1006" w:type="pct"/>
                  <w:tcBorders>
                    <w:left w:val="single" w:color="000000" w:sz="2" w:space="0"/>
                    <w:tl2br w:val="nil"/>
                    <w:tr2bl w:val="nil"/>
                  </w:tcBorders>
                  <w:noWrap w:val="0"/>
                  <w:vAlign w:val="center"/>
                </w:tcPr>
                <w:p w14:paraId="0162902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1万</w:t>
                  </w:r>
                </w:p>
              </w:tc>
              <w:tc>
                <w:tcPr>
                  <w:tcW w:w="976" w:type="pct"/>
                  <w:tcBorders>
                    <w:tl2br w:val="nil"/>
                    <w:tr2bl w:val="nil"/>
                  </w:tcBorders>
                  <w:noWrap w:val="0"/>
                  <w:vAlign w:val="center"/>
                </w:tcPr>
                <w:p w14:paraId="559F4D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1万</w:t>
                  </w:r>
                </w:p>
              </w:tc>
              <w:tc>
                <w:tcPr>
                  <w:tcW w:w="839" w:type="pct"/>
                  <w:tcBorders>
                    <w:tl2br w:val="nil"/>
                    <w:tr2bl w:val="nil"/>
                  </w:tcBorders>
                  <w:noWrap w:val="0"/>
                  <w:vAlign w:val="center"/>
                </w:tcPr>
                <w:p w14:paraId="5DA9389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不变</w:t>
                  </w:r>
                </w:p>
              </w:tc>
            </w:tr>
          </w:tbl>
          <w:p w14:paraId="1FFBAC9C">
            <w:pPr>
              <w:pStyle w:val="27"/>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hAnsi="宋体" w:cs="宋体"/>
                <w:color w:val="auto"/>
                <w:sz w:val="24"/>
                <w:szCs w:val="24"/>
                <w:lang w:val="en-US" w:eastAsia="zh-CN"/>
              </w:rPr>
              <w:t>再生塑料颗粒产品质量执行</w:t>
            </w:r>
            <w:r>
              <w:rPr>
                <w:rFonts w:ascii="宋体" w:hAnsi="宋体" w:eastAsia="宋体" w:cs="宋体"/>
                <w:color w:val="auto"/>
                <w:sz w:val="24"/>
                <w:szCs w:val="24"/>
              </w:rPr>
              <w:t>《塑料再生塑料第2部分：聚乙烯（PE）材料》（GB/T 40006.2-2021）、《塑料再生塑料第3部分：聚丙烯（PP）材料》（GB/T 40006.3-2021）</w:t>
            </w:r>
            <w:r>
              <w:rPr>
                <w:rFonts w:hint="eastAsia" w:hAnsi="宋体" w:cs="宋体"/>
                <w:color w:val="auto"/>
                <w:sz w:val="24"/>
                <w:szCs w:val="24"/>
                <w:lang w:eastAsia="zh-CN"/>
              </w:rPr>
              <w:t>、</w:t>
            </w:r>
            <w:r>
              <w:rPr>
                <w:rFonts w:ascii="宋体" w:hAnsi="宋体" w:eastAsia="宋体" w:cs="宋体"/>
                <w:color w:val="auto"/>
                <w:sz w:val="24"/>
                <w:szCs w:val="24"/>
              </w:rPr>
              <w:t>《塑料再生塑料第</w:t>
            </w:r>
            <w:r>
              <w:rPr>
                <w:rFonts w:hint="eastAsia" w:ascii="宋体" w:hAnsi="宋体" w:eastAsia="宋体" w:cs="宋体"/>
                <w:color w:val="auto"/>
                <w:sz w:val="24"/>
                <w:szCs w:val="24"/>
                <w:lang w:val="en-US" w:eastAsia="zh-CN"/>
              </w:rPr>
              <w:t>5</w:t>
            </w:r>
            <w:r>
              <w:rPr>
                <w:rFonts w:ascii="宋体" w:hAnsi="宋体" w:eastAsia="宋体" w:cs="宋体"/>
                <w:color w:val="auto"/>
                <w:sz w:val="24"/>
                <w:szCs w:val="24"/>
              </w:rPr>
              <w:t>部分：</w:t>
            </w:r>
            <w:r>
              <w:rPr>
                <w:rFonts w:hint="eastAsia" w:ascii="宋体" w:hAnsi="宋体" w:eastAsia="宋体" w:cs="宋体"/>
                <w:color w:val="auto"/>
                <w:sz w:val="24"/>
                <w:szCs w:val="24"/>
                <w:lang w:val="en-US" w:eastAsia="zh-CN"/>
              </w:rPr>
              <w:t>丙烯晴-丁二烯-苯乙烯</w:t>
            </w:r>
            <w:r>
              <w:rPr>
                <w:rFonts w:ascii="宋体" w:hAnsi="宋体" w:eastAsia="宋体" w:cs="宋体"/>
                <w:color w:val="auto"/>
                <w:sz w:val="24"/>
                <w:szCs w:val="24"/>
              </w:rPr>
              <w:t>（</w:t>
            </w:r>
            <w:r>
              <w:rPr>
                <w:rFonts w:hint="eastAsia" w:ascii="宋体" w:hAnsi="宋体" w:eastAsia="宋体" w:cs="宋体"/>
                <w:color w:val="auto"/>
                <w:sz w:val="24"/>
                <w:szCs w:val="24"/>
                <w:lang w:val="en-US" w:eastAsia="zh-CN"/>
              </w:rPr>
              <w:t>ABS</w:t>
            </w:r>
            <w:r>
              <w:rPr>
                <w:rFonts w:ascii="宋体" w:hAnsi="宋体" w:eastAsia="宋体" w:cs="宋体"/>
                <w:color w:val="auto"/>
                <w:sz w:val="24"/>
                <w:szCs w:val="24"/>
              </w:rPr>
              <w:t>）材料》（GB/T 40006.</w:t>
            </w:r>
            <w:r>
              <w:rPr>
                <w:rFonts w:hint="eastAsia" w:ascii="宋体" w:hAnsi="宋体" w:eastAsia="宋体" w:cs="宋体"/>
                <w:color w:val="auto"/>
                <w:sz w:val="24"/>
                <w:szCs w:val="24"/>
                <w:lang w:val="en-US" w:eastAsia="zh-CN"/>
              </w:rPr>
              <w:t>5</w:t>
            </w:r>
            <w:r>
              <w:rPr>
                <w:rFonts w:ascii="宋体" w:hAnsi="宋体" w:eastAsia="宋体" w:cs="宋体"/>
                <w:color w:val="auto"/>
                <w:sz w:val="24"/>
                <w:szCs w:val="24"/>
              </w:rPr>
              <w:t>-2021）等相关要求</w:t>
            </w:r>
            <w:r>
              <w:rPr>
                <w:rFonts w:hint="eastAsia" w:ascii="宋体" w:hAnsi="宋体" w:eastAsia="宋体" w:cs="宋体"/>
                <w:color w:val="auto"/>
                <w:sz w:val="24"/>
                <w:szCs w:val="24"/>
                <w:lang w:eastAsia="zh-CN"/>
              </w:rPr>
              <w:t>。</w:t>
            </w:r>
          </w:p>
          <w:p w14:paraId="76BBB69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color w:val="auto"/>
                <w:sz w:val="24"/>
                <w:szCs w:val="24"/>
              </w:rPr>
              <w:t>本项目再生塑料颗粒产品主要用于生产包装水果用的水果筐、水果篮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电瓶车配件</w:t>
            </w:r>
            <w:r>
              <w:rPr>
                <w:rFonts w:hint="eastAsia" w:ascii="宋体" w:hAnsi="宋体" w:eastAsia="宋体" w:cs="宋体"/>
                <w:color w:val="auto"/>
                <w:sz w:val="24"/>
                <w:szCs w:val="24"/>
              </w:rPr>
              <w:t>等，不用于制作直接接触食品的包装、制品或材料。本评价要求建设单位在项目运行过程中加强生产管理，严格控制产品去向，以保证产品去向安全、可靠</w:t>
            </w:r>
            <w:r>
              <w:rPr>
                <w:rFonts w:hint="eastAsia" w:ascii="宋体" w:hAnsi="宋体" w:eastAsia="宋体" w:cs="宋体"/>
                <w:b w:val="0"/>
                <w:bCs w:val="0"/>
                <w:color w:val="auto"/>
                <w:spacing w:val="4"/>
                <w:kern w:val="18"/>
                <w:sz w:val="24"/>
                <w:szCs w:val="24"/>
                <w:lang w:val="en-US" w:eastAsia="zh-CN" w:bidi="ar-SA"/>
              </w:rPr>
              <w:t>。</w:t>
            </w:r>
          </w:p>
          <w:p w14:paraId="3BB225B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right="0" w:rightChars="0"/>
              <w:textAlignment w:val="auto"/>
              <w:outlineLvl w:val="9"/>
              <w:rPr>
                <w:rFonts w:hint="eastAsia" w:cs="Times New Roman"/>
                <w:b/>
                <w:color w:val="auto"/>
                <w:sz w:val="24"/>
                <w:szCs w:val="24"/>
                <w:lang w:val="en-US" w:eastAsia="zh-CN"/>
              </w:rPr>
            </w:pPr>
          </w:p>
          <w:p w14:paraId="1EF3474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right="0" w:rightChars="0"/>
              <w:textAlignment w:val="auto"/>
              <w:outlineLvl w:val="9"/>
              <w:rPr>
                <w:rFonts w:hint="eastAsia" w:cs="Times New Roman"/>
                <w:b/>
                <w:color w:val="auto"/>
                <w:sz w:val="24"/>
                <w:szCs w:val="24"/>
                <w:lang w:val="en-US" w:eastAsia="zh-CN"/>
              </w:rPr>
            </w:pPr>
          </w:p>
          <w:p w14:paraId="37D7A38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right="0" w:rightChars="0"/>
              <w:textAlignment w:val="auto"/>
              <w:outlineLvl w:val="9"/>
              <w:rPr>
                <w:rFonts w:hint="default" w:ascii="Times New Roman" w:hAnsi="Times New Roman" w:eastAsia="宋体" w:cs="Times New Roman"/>
                <w:b/>
                <w:color w:val="auto"/>
                <w:sz w:val="24"/>
                <w:szCs w:val="24"/>
                <w:lang w:val="en-US" w:eastAsia="zh-CN"/>
              </w:rPr>
            </w:pPr>
            <w:r>
              <w:rPr>
                <w:rFonts w:hint="eastAsia" w:cs="Times New Roman"/>
                <w:b/>
                <w:color w:val="auto"/>
                <w:sz w:val="24"/>
                <w:szCs w:val="24"/>
                <w:lang w:val="en-US" w:eastAsia="zh-CN"/>
              </w:rPr>
              <w:t>5、</w:t>
            </w:r>
            <w:r>
              <w:rPr>
                <w:rFonts w:hint="default" w:ascii="Times New Roman" w:hAnsi="Times New Roman" w:eastAsia="宋体" w:cs="Times New Roman"/>
                <w:b/>
                <w:color w:val="auto"/>
                <w:sz w:val="24"/>
                <w:szCs w:val="24"/>
                <w:lang w:val="en-US" w:eastAsia="zh-CN"/>
              </w:rPr>
              <w:t>主要设备</w:t>
            </w:r>
          </w:p>
          <w:p w14:paraId="6C6A5AE4">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olor w:val="auto"/>
                <w:lang w:val="en-US" w:eastAsia="zh-CN"/>
              </w:rPr>
            </w:pPr>
            <w:r>
              <w:rPr>
                <w:rFonts w:hint="eastAsia" w:cs="Times New Roman"/>
                <w:color w:val="auto"/>
                <w:sz w:val="24"/>
                <w:szCs w:val="24"/>
                <w:highlight w:val="none"/>
                <w:shd w:val="clear" w:color="auto" w:fill="auto"/>
                <w:lang w:val="en-US" w:eastAsia="zh-CN"/>
              </w:rPr>
              <w:t>技改前</w:t>
            </w:r>
            <w:r>
              <w:rPr>
                <w:rFonts w:hint="eastAsia" w:ascii="Times New Roman" w:hAnsi="Times New Roman" w:cs="Times New Roman"/>
                <w:color w:val="auto"/>
                <w:sz w:val="24"/>
                <w:szCs w:val="24"/>
                <w:highlight w:val="none"/>
                <w:shd w:val="clear" w:color="auto" w:fill="auto"/>
                <w:lang w:val="en-US" w:eastAsia="zh-CN"/>
              </w:rPr>
              <w:t>后</w:t>
            </w:r>
            <w:r>
              <w:rPr>
                <w:rFonts w:hint="eastAsia" w:cs="Times New Roman"/>
                <w:color w:val="auto"/>
                <w:sz w:val="24"/>
                <w:szCs w:val="24"/>
                <w:highlight w:val="none"/>
                <w:shd w:val="clear" w:color="auto" w:fill="auto"/>
                <w:lang w:val="en-US" w:eastAsia="zh-CN"/>
              </w:rPr>
              <w:t>（一期）</w:t>
            </w:r>
            <w:r>
              <w:rPr>
                <w:rFonts w:hint="eastAsia" w:ascii="Times New Roman" w:hAnsi="Times New Roman" w:cs="Times New Roman"/>
                <w:color w:val="auto"/>
                <w:sz w:val="24"/>
                <w:szCs w:val="24"/>
                <w:highlight w:val="none"/>
                <w:shd w:val="clear" w:color="auto" w:fill="auto"/>
                <w:lang w:val="en-US" w:eastAsia="zh-CN"/>
              </w:rPr>
              <w:t>项目主要设备情况详见下表。</w:t>
            </w:r>
          </w:p>
          <w:p w14:paraId="7CDDA58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b/>
                <w:color w:val="auto"/>
                <w:sz w:val="21"/>
                <w:szCs w:val="21"/>
                <w:lang w:eastAsia="zh-CN"/>
              </w:rPr>
            </w:pPr>
            <w:r>
              <w:rPr>
                <w:b/>
                <w:color w:val="auto"/>
                <w:sz w:val="21"/>
                <w:szCs w:val="21"/>
              </w:rPr>
              <w:t>表</w:t>
            </w:r>
            <w:r>
              <w:rPr>
                <w:rFonts w:hint="eastAsia"/>
                <w:b/>
                <w:color w:val="auto"/>
                <w:sz w:val="21"/>
                <w:szCs w:val="21"/>
                <w:lang w:val="en-US" w:eastAsia="zh-CN"/>
              </w:rPr>
              <w:t>2-3</w:t>
            </w:r>
            <w:r>
              <w:rPr>
                <w:b/>
                <w:color w:val="auto"/>
                <w:sz w:val="21"/>
                <w:szCs w:val="21"/>
              </w:rPr>
              <w:t xml:space="preserve">  </w:t>
            </w:r>
            <w:r>
              <w:rPr>
                <w:rFonts w:hint="eastAsia"/>
                <w:b/>
                <w:color w:val="auto"/>
                <w:sz w:val="21"/>
                <w:szCs w:val="21"/>
                <w:lang w:val="en-US" w:eastAsia="zh-CN"/>
              </w:rPr>
              <w:t xml:space="preserve"> </w:t>
            </w:r>
            <w:r>
              <w:rPr>
                <w:b/>
                <w:color w:val="auto"/>
                <w:sz w:val="21"/>
                <w:szCs w:val="21"/>
              </w:rPr>
              <w:t xml:space="preserve"> </w:t>
            </w:r>
            <w:r>
              <w:rPr>
                <w:rFonts w:hint="eastAsia"/>
                <w:b/>
                <w:color w:val="auto"/>
                <w:sz w:val="21"/>
                <w:szCs w:val="21"/>
                <w:lang w:eastAsia="zh-CN"/>
              </w:rPr>
              <w:t>项目主要设备一览表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407"/>
              <w:gridCol w:w="1917"/>
              <w:gridCol w:w="1977"/>
              <w:gridCol w:w="1521"/>
              <w:gridCol w:w="1701"/>
            </w:tblGrid>
            <w:tr w14:paraId="6BF5E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noWrap w:val="0"/>
                  <w:vAlign w:val="center"/>
                </w:tcPr>
                <w:p w14:paraId="0023A19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274" w:type="pct"/>
                  <w:tcBorders>
                    <w:tl2br w:val="nil"/>
                    <w:tr2bl w:val="nil"/>
                  </w:tcBorders>
                  <w:noWrap w:val="0"/>
                  <w:vAlign w:val="center"/>
                </w:tcPr>
                <w:p w14:paraId="1BC489B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名称</w:t>
                  </w:r>
                </w:p>
              </w:tc>
              <w:tc>
                <w:tcPr>
                  <w:tcW w:w="1314" w:type="pct"/>
                  <w:tcBorders>
                    <w:tl2br w:val="nil"/>
                    <w:tr2bl w:val="nil"/>
                  </w:tcBorders>
                  <w:noWrap w:val="0"/>
                  <w:vAlign w:val="center"/>
                </w:tcPr>
                <w:p w14:paraId="53E50A44">
                  <w:pPr>
                    <w:widowControl/>
                    <w:spacing w:line="240" w:lineRule="auto"/>
                    <w:jc w:val="center"/>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kern w:val="0"/>
                      <w:szCs w:val="21"/>
                      <w:lang w:eastAsia="zh-CN"/>
                    </w:rPr>
                    <w:t>技改前数量</w:t>
                  </w:r>
                </w:p>
              </w:tc>
              <w:tc>
                <w:tcPr>
                  <w:tcW w:w="1010" w:type="pct"/>
                  <w:tcBorders>
                    <w:tl2br w:val="nil"/>
                    <w:tr2bl w:val="nil"/>
                  </w:tcBorders>
                  <w:noWrap w:val="0"/>
                  <w:vAlign w:val="center"/>
                </w:tcPr>
                <w:p w14:paraId="49E73C13">
                  <w:pPr>
                    <w:widowControl/>
                    <w:spacing w:line="24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kern w:val="0"/>
                      <w:szCs w:val="21"/>
                      <w:lang w:eastAsia="zh-CN"/>
                    </w:rPr>
                    <w:t>技改后数量</w:t>
                  </w:r>
                </w:p>
              </w:tc>
              <w:tc>
                <w:tcPr>
                  <w:tcW w:w="1130" w:type="pct"/>
                  <w:tcBorders>
                    <w:tl2br w:val="nil"/>
                    <w:tr2bl w:val="nil"/>
                  </w:tcBorders>
                  <w:noWrap w:val="0"/>
                  <w:vAlign w:val="center"/>
                </w:tcPr>
                <w:p w14:paraId="1E2F643F">
                  <w:pPr>
                    <w:widowControl/>
                    <w:spacing w:line="240" w:lineRule="auto"/>
                    <w:jc w:val="center"/>
                    <w:rPr>
                      <w:rFonts w:hint="default" w:ascii="Times New Roman" w:hAnsi="Times New Roman" w:eastAsia="宋体" w:cs="Times New Roman"/>
                      <w:b/>
                      <w:bCs/>
                      <w:color w:val="auto"/>
                      <w:sz w:val="21"/>
                      <w:szCs w:val="21"/>
                      <w:lang w:val="en-US" w:eastAsia="zh-CN"/>
                    </w:rPr>
                  </w:pPr>
                  <w:r>
                    <w:rPr>
                      <w:rFonts w:hint="eastAsia"/>
                      <w:b/>
                      <w:bCs/>
                      <w:color w:val="auto"/>
                      <w:kern w:val="0"/>
                      <w:szCs w:val="21"/>
                      <w:lang w:eastAsia="zh-CN"/>
                    </w:rPr>
                    <w:t>技改前后增减量</w:t>
                  </w:r>
                </w:p>
              </w:tc>
            </w:tr>
            <w:tr w14:paraId="4F0FE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noWrap w:val="0"/>
                  <w:vAlign w:val="center"/>
                </w:tcPr>
                <w:p w14:paraId="1C5493F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1</w:t>
                  </w:r>
                </w:p>
              </w:tc>
              <w:tc>
                <w:tcPr>
                  <w:tcW w:w="1274" w:type="pct"/>
                  <w:tcBorders>
                    <w:tl2br w:val="nil"/>
                    <w:tr2bl w:val="nil"/>
                  </w:tcBorders>
                  <w:shd w:val="clear" w:color="auto" w:fill="auto"/>
                  <w:noWrap w:val="0"/>
                  <w:vAlign w:val="center"/>
                </w:tcPr>
                <w:p w14:paraId="5D8A298F">
                  <w:pPr>
                    <w:pStyle w:val="52"/>
                    <w:rPr>
                      <w:rFonts w:hint="default" w:ascii="Times New Roman" w:hAnsi="Times New Roman" w:eastAsia="Times New Roman" w:cs="Times New Roman"/>
                      <w:color w:val="auto"/>
                      <w:kern w:val="2"/>
                      <w:sz w:val="21"/>
                      <w:szCs w:val="24"/>
                      <w:lang w:val="en-US" w:eastAsia="zh-CN" w:bidi="ar-SA"/>
                    </w:rPr>
                  </w:pPr>
                  <w:r>
                    <w:rPr>
                      <w:color w:val="auto"/>
                    </w:rPr>
                    <w:t>清水机</w:t>
                  </w:r>
                </w:p>
              </w:tc>
              <w:tc>
                <w:tcPr>
                  <w:tcW w:w="1314" w:type="pct"/>
                  <w:tcBorders>
                    <w:tl2br w:val="nil"/>
                    <w:tr2bl w:val="nil"/>
                  </w:tcBorders>
                  <w:shd w:val="clear" w:color="auto" w:fill="auto"/>
                  <w:noWrap w:val="0"/>
                  <w:vAlign w:val="center"/>
                </w:tcPr>
                <w:p w14:paraId="2C4B4BEE">
                  <w:pPr>
                    <w:pStyle w:val="52"/>
                    <w:rPr>
                      <w:rFonts w:hint="default" w:ascii="Times New Roman" w:hAnsi="Times New Roman" w:eastAsia="宋体" w:cs="Times New Roman"/>
                      <w:color w:val="auto"/>
                      <w:kern w:val="2"/>
                      <w:sz w:val="21"/>
                      <w:szCs w:val="24"/>
                      <w:lang w:val="en-US" w:eastAsia="zh-CN" w:bidi="ar-SA"/>
                    </w:rPr>
                  </w:pPr>
                  <w:r>
                    <w:rPr>
                      <w:rFonts w:hint="eastAsia" w:eastAsia="宋体"/>
                      <w:color w:val="auto"/>
                      <w:lang w:val="en-US" w:eastAsia="zh-CN"/>
                    </w:rPr>
                    <w:t>4台</w:t>
                  </w:r>
                </w:p>
              </w:tc>
              <w:tc>
                <w:tcPr>
                  <w:tcW w:w="1010" w:type="pct"/>
                  <w:tcBorders>
                    <w:tl2br w:val="nil"/>
                    <w:tr2bl w:val="nil"/>
                  </w:tcBorders>
                  <w:noWrap w:val="0"/>
                  <w:vAlign w:val="center"/>
                </w:tcPr>
                <w:p w14:paraId="40F72CD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eastAsia="宋体"/>
                      <w:color w:val="auto"/>
                      <w:lang w:val="en-US" w:eastAsia="zh-CN"/>
                    </w:rPr>
                    <w:t>4台</w:t>
                  </w:r>
                </w:p>
              </w:tc>
              <w:tc>
                <w:tcPr>
                  <w:tcW w:w="1130" w:type="pct"/>
                  <w:tcBorders>
                    <w:tl2br w:val="nil"/>
                    <w:tr2bl w:val="nil"/>
                  </w:tcBorders>
                  <w:noWrap w:val="0"/>
                  <w:vAlign w:val="center"/>
                </w:tcPr>
                <w:p w14:paraId="5536FAE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olor w:val="auto"/>
                      <w:lang w:val="en-US" w:eastAsia="zh-CN"/>
                    </w:rPr>
                    <w:t>0</w:t>
                  </w:r>
                </w:p>
              </w:tc>
            </w:tr>
            <w:tr w14:paraId="20342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noWrap w:val="0"/>
                  <w:vAlign w:val="center"/>
                </w:tcPr>
                <w:p w14:paraId="365512E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w:t>
                  </w:r>
                </w:p>
              </w:tc>
              <w:tc>
                <w:tcPr>
                  <w:tcW w:w="1274" w:type="pct"/>
                  <w:tcBorders>
                    <w:tl2br w:val="nil"/>
                    <w:tr2bl w:val="nil"/>
                  </w:tcBorders>
                  <w:shd w:val="clear" w:color="auto" w:fill="auto"/>
                  <w:noWrap w:val="0"/>
                  <w:vAlign w:val="center"/>
                </w:tcPr>
                <w:p w14:paraId="602220C0">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撕碎机</w:t>
                  </w:r>
                </w:p>
              </w:tc>
              <w:tc>
                <w:tcPr>
                  <w:tcW w:w="1314" w:type="pct"/>
                  <w:tcBorders>
                    <w:tl2br w:val="nil"/>
                    <w:tr2bl w:val="nil"/>
                  </w:tcBorders>
                  <w:shd w:val="clear" w:color="auto" w:fill="auto"/>
                  <w:noWrap w:val="0"/>
                  <w:vAlign w:val="center"/>
                </w:tcPr>
                <w:p w14:paraId="19BF388B">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010" w:type="pct"/>
                  <w:tcBorders>
                    <w:tl2br w:val="nil"/>
                    <w:tr2bl w:val="nil"/>
                  </w:tcBorders>
                  <w:noWrap w:val="0"/>
                  <w:vAlign w:val="center"/>
                </w:tcPr>
                <w:p w14:paraId="09C5B0E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p>
              </w:tc>
              <w:tc>
                <w:tcPr>
                  <w:tcW w:w="1130" w:type="pct"/>
                  <w:tcBorders>
                    <w:tl2br w:val="nil"/>
                    <w:tr2bl w:val="nil"/>
                  </w:tcBorders>
                  <w:noWrap w:val="0"/>
                  <w:vAlign w:val="center"/>
                </w:tcPr>
                <w:p w14:paraId="3B98D81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w:t>
                  </w:r>
                  <w:r>
                    <w:rPr>
                      <w:rFonts w:hint="eastAsia" w:eastAsia="宋体"/>
                      <w:color w:val="auto"/>
                      <w:lang w:val="en-US" w:eastAsia="zh-CN"/>
                    </w:rPr>
                    <w:t>台</w:t>
                  </w:r>
                </w:p>
              </w:tc>
            </w:tr>
            <w:tr w14:paraId="48BE2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noWrap w:val="0"/>
                  <w:vAlign w:val="center"/>
                </w:tcPr>
                <w:p w14:paraId="4AD3D2D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274" w:type="pct"/>
                  <w:tcBorders>
                    <w:tl2br w:val="nil"/>
                    <w:tr2bl w:val="nil"/>
                  </w:tcBorders>
                  <w:shd w:val="clear" w:color="auto" w:fill="auto"/>
                  <w:noWrap w:val="0"/>
                  <w:vAlign w:val="center"/>
                </w:tcPr>
                <w:p w14:paraId="3AC193A5">
                  <w:pPr>
                    <w:pStyle w:val="52"/>
                    <w:rPr>
                      <w:rFonts w:hint="default" w:ascii="Times New Roman" w:hAnsi="Times New Roman" w:eastAsia="Times New Roman" w:cs="Times New Roman"/>
                      <w:color w:val="auto"/>
                      <w:kern w:val="2"/>
                      <w:sz w:val="21"/>
                      <w:szCs w:val="24"/>
                      <w:lang w:val="en-US" w:eastAsia="zh-CN" w:bidi="ar-SA"/>
                    </w:rPr>
                  </w:pPr>
                  <w:r>
                    <w:rPr>
                      <w:color w:val="auto"/>
                    </w:rPr>
                    <w:t>自动上料机</w:t>
                  </w:r>
                </w:p>
              </w:tc>
              <w:tc>
                <w:tcPr>
                  <w:tcW w:w="1314" w:type="pct"/>
                  <w:tcBorders>
                    <w:tl2br w:val="nil"/>
                    <w:tr2bl w:val="nil"/>
                  </w:tcBorders>
                  <w:shd w:val="clear" w:color="auto" w:fill="auto"/>
                  <w:noWrap w:val="0"/>
                  <w:vAlign w:val="center"/>
                </w:tcPr>
                <w:p w14:paraId="15099651">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4</w:t>
                  </w:r>
                  <w:r>
                    <w:rPr>
                      <w:rFonts w:hint="eastAsia" w:eastAsia="宋体"/>
                      <w:color w:val="auto"/>
                      <w:lang w:val="en-US" w:eastAsia="zh-CN"/>
                    </w:rPr>
                    <w:t>台</w:t>
                  </w:r>
                </w:p>
              </w:tc>
              <w:tc>
                <w:tcPr>
                  <w:tcW w:w="1010" w:type="pct"/>
                  <w:tcBorders>
                    <w:tl2br w:val="nil"/>
                    <w:tr2bl w:val="nil"/>
                  </w:tcBorders>
                  <w:shd w:val="clear" w:color="auto" w:fill="auto"/>
                  <w:noWrap w:val="0"/>
                  <w:vAlign w:val="center"/>
                </w:tcPr>
                <w:p w14:paraId="04D32B0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rPr>
                    <w:t>4</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0D76FCC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3FD77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1A231D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1274" w:type="pct"/>
                  <w:tcBorders>
                    <w:tl2br w:val="nil"/>
                    <w:tr2bl w:val="nil"/>
                  </w:tcBorders>
                  <w:shd w:val="clear" w:color="auto" w:fill="auto"/>
                  <w:noWrap w:val="0"/>
                  <w:vAlign w:val="center"/>
                </w:tcPr>
                <w:p w14:paraId="4A2F9D30">
                  <w:pPr>
                    <w:pStyle w:val="52"/>
                    <w:rPr>
                      <w:rFonts w:hint="eastAsia" w:ascii="Times New Roman" w:hAnsi="Times New Roman" w:eastAsia="Times New Roman" w:cs="Times New Roman"/>
                      <w:color w:val="auto"/>
                      <w:kern w:val="2"/>
                      <w:sz w:val="21"/>
                      <w:szCs w:val="24"/>
                      <w:lang w:val="en-US" w:eastAsia="zh-CN" w:bidi="ar-SA"/>
                    </w:rPr>
                  </w:pPr>
                  <w:r>
                    <w:rPr>
                      <w:color w:val="auto"/>
                    </w:rPr>
                    <w:t>造粒机</w:t>
                  </w:r>
                </w:p>
              </w:tc>
              <w:tc>
                <w:tcPr>
                  <w:tcW w:w="1314" w:type="pct"/>
                  <w:tcBorders>
                    <w:tl2br w:val="nil"/>
                    <w:tr2bl w:val="nil"/>
                  </w:tcBorders>
                  <w:shd w:val="clear" w:color="auto" w:fill="auto"/>
                  <w:noWrap w:val="0"/>
                  <w:vAlign w:val="center"/>
                </w:tcPr>
                <w:p w14:paraId="746477E1">
                  <w:pPr>
                    <w:pStyle w:val="52"/>
                    <w:rPr>
                      <w:rFonts w:hint="default"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8台</w:t>
                  </w:r>
                </w:p>
              </w:tc>
              <w:tc>
                <w:tcPr>
                  <w:tcW w:w="1010" w:type="pct"/>
                  <w:tcBorders>
                    <w:tl2br w:val="nil"/>
                    <w:tr2bl w:val="nil"/>
                  </w:tcBorders>
                  <w:noWrap w:val="0"/>
                  <w:vAlign w:val="center"/>
                </w:tcPr>
                <w:p w14:paraId="0885CA5C">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s="Times New Roman"/>
                      <w:color w:val="auto"/>
                      <w:sz w:val="21"/>
                      <w:szCs w:val="21"/>
                      <w:lang w:val="en-US" w:eastAsia="zh-CN"/>
                    </w:rPr>
                  </w:pPr>
                  <w:r>
                    <w:rPr>
                      <w:rFonts w:hint="eastAsia" w:cs="Times New Roman"/>
                      <w:color w:val="auto"/>
                      <w:sz w:val="21"/>
                      <w:szCs w:val="21"/>
                      <w:lang w:val="en-US" w:eastAsia="zh-CN"/>
                    </w:rPr>
                    <w:t>12</w:t>
                  </w:r>
                  <w:r>
                    <w:rPr>
                      <w:rFonts w:hint="eastAsia" w:eastAsia="宋体"/>
                      <w:color w:val="auto"/>
                      <w:lang w:val="en-US" w:eastAsia="zh-CN"/>
                    </w:rPr>
                    <w:t>台</w:t>
                  </w:r>
                </w:p>
              </w:tc>
              <w:tc>
                <w:tcPr>
                  <w:tcW w:w="1130" w:type="pct"/>
                  <w:tcBorders>
                    <w:tl2br w:val="nil"/>
                    <w:tr2bl w:val="nil"/>
                  </w:tcBorders>
                  <w:noWrap w:val="0"/>
                  <w:vAlign w:val="center"/>
                </w:tcPr>
                <w:p w14:paraId="7BD36F1A">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r>
                    <w:rPr>
                      <w:rFonts w:hint="eastAsia" w:eastAsia="宋体"/>
                      <w:color w:val="auto"/>
                      <w:lang w:val="en-US" w:eastAsia="zh-CN"/>
                    </w:rPr>
                    <w:t>台</w:t>
                  </w:r>
                </w:p>
              </w:tc>
            </w:tr>
            <w:tr w14:paraId="6FBF2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2AC6ED2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1274" w:type="pct"/>
                  <w:tcBorders>
                    <w:tl2br w:val="nil"/>
                    <w:tr2bl w:val="nil"/>
                  </w:tcBorders>
                  <w:shd w:val="clear" w:color="auto" w:fill="auto"/>
                  <w:noWrap w:val="0"/>
                  <w:vAlign w:val="center"/>
                </w:tcPr>
                <w:p w14:paraId="4E3E47D7">
                  <w:pPr>
                    <w:pStyle w:val="52"/>
                    <w:rPr>
                      <w:rFonts w:hint="default" w:ascii="Times New Roman" w:hAnsi="Times New Roman" w:eastAsia="Times New Roman" w:cs="Times New Roman"/>
                      <w:color w:val="auto"/>
                      <w:kern w:val="2"/>
                      <w:sz w:val="21"/>
                      <w:szCs w:val="24"/>
                      <w:lang w:val="en-US" w:eastAsia="zh-CN" w:bidi="ar-SA"/>
                    </w:rPr>
                  </w:pPr>
                  <w:r>
                    <w:rPr>
                      <w:color w:val="auto"/>
                    </w:rPr>
                    <w:t>电磁加温器</w:t>
                  </w:r>
                </w:p>
              </w:tc>
              <w:tc>
                <w:tcPr>
                  <w:tcW w:w="1314" w:type="pct"/>
                  <w:tcBorders>
                    <w:tl2br w:val="nil"/>
                    <w:tr2bl w:val="nil"/>
                  </w:tcBorders>
                  <w:shd w:val="clear" w:color="auto" w:fill="auto"/>
                  <w:noWrap w:val="0"/>
                  <w:vAlign w:val="center"/>
                </w:tcPr>
                <w:p w14:paraId="0C61DA85">
                  <w:pPr>
                    <w:pStyle w:val="52"/>
                    <w:rPr>
                      <w:rFonts w:hint="default"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3台</w:t>
                  </w:r>
                </w:p>
              </w:tc>
              <w:tc>
                <w:tcPr>
                  <w:tcW w:w="1010" w:type="pct"/>
                  <w:tcBorders>
                    <w:tl2br w:val="nil"/>
                    <w:tr2bl w:val="nil"/>
                  </w:tcBorders>
                  <w:noWrap w:val="0"/>
                  <w:vAlign w:val="center"/>
                </w:tcPr>
                <w:p w14:paraId="1E20BD66">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eastAsia="宋体"/>
                      <w:color w:val="auto"/>
                      <w:lang w:val="en-US" w:eastAsia="zh-CN"/>
                    </w:rPr>
                    <w:t>台</w:t>
                  </w:r>
                </w:p>
              </w:tc>
              <w:tc>
                <w:tcPr>
                  <w:tcW w:w="1130" w:type="pct"/>
                  <w:tcBorders>
                    <w:tl2br w:val="nil"/>
                    <w:tr2bl w:val="nil"/>
                  </w:tcBorders>
                  <w:noWrap w:val="0"/>
                  <w:vAlign w:val="center"/>
                </w:tcPr>
                <w:p w14:paraId="187EF2E4">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eastAsia" w:eastAsia="宋体"/>
                      <w:color w:val="auto"/>
                      <w:lang w:val="en-US" w:eastAsia="zh-CN"/>
                    </w:rPr>
                    <w:t>台</w:t>
                  </w:r>
                </w:p>
              </w:tc>
            </w:tr>
            <w:tr w14:paraId="48E9D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757A518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74" w:type="pct"/>
                  <w:tcBorders>
                    <w:tl2br w:val="nil"/>
                    <w:tr2bl w:val="nil"/>
                  </w:tcBorders>
                  <w:shd w:val="clear" w:color="auto" w:fill="auto"/>
                  <w:noWrap w:val="0"/>
                  <w:vAlign w:val="center"/>
                </w:tcPr>
                <w:p w14:paraId="33549A24">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挤出机</w:t>
                  </w:r>
                </w:p>
              </w:tc>
              <w:tc>
                <w:tcPr>
                  <w:tcW w:w="1314" w:type="pct"/>
                  <w:tcBorders>
                    <w:tl2br w:val="nil"/>
                    <w:tr2bl w:val="nil"/>
                  </w:tcBorders>
                  <w:shd w:val="clear" w:color="auto" w:fill="auto"/>
                  <w:noWrap w:val="0"/>
                  <w:vAlign w:val="center"/>
                </w:tcPr>
                <w:p w14:paraId="00C94EA8">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4</w:t>
                  </w:r>
                  <w:r>
                    <w:rPr>
                      <w:rFonts w:hint="eastAsia" w:eastAsia="宋体"/>
                      <w:color w:val="auto"/>
                      <w:lang w:val="en-US" w:eastAsia="zh-CN"/>
                    </w:rPr>
                    <w:t>台</w:t>
                  </w:r>
                </w:p>
              </w:tc>
              <w:tc>
                <w:tcPr>
                  <w:tcW w:w="1010" w:type="pct"/>
                  <w:tcBorders>
                    <w:tl2br w:val="nil"/>
                    <w:tr2bl w:val="nil"/>
                  </w:tcBorders>
                  <w:noWrap w:val="0"/>
                  <w:vAlign w:val="center"/>
                </w:tcPr>
                <w:p w14:paraId="1CA46EC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eastAsia="宋体"/>
                      <w:color w:val="auto"/>
                      <w:lang w:val="en-US" w:eastAsia="zh-CN"/>
                    </w:rPr>
                    <w:t>台</w:t>
                  </w:r>
                </w:p>
              </w:tc>
              <w:tc>
                <w:tcPr>
                  <w:tcW w:w="1130" w:type="pct"/>
                  <w:tcBorders>
                    <w:tl2br w:val="nil"/>
                    <w:tr2bl w:val="nil"/>
                  </w:tcBorders>
                  <w:noWrap w:val="0"/>
                  <w:vAlign w:val="center"/>
                </w:tcPr>
                <w:p w14:paraId="71C416B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+8台</w:t>
                  </w:r>
                </w:p>
              </w:tc>
            </w:tr>
            <w:tr w14:paraId="1530C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5DD5FF6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1274" w:type="pct"/>
                  <w:tcBorders>
                    <w:tl2br w:val="nil"/>
                    <w:tr2bl w:val="nil"/>
                  </w:tcBorders>
                  <w:shd w:val="clear" w:color="auto" w:fill="auto"/>
                  <w:noWrap w:val="0"/>
                  <w:vAlign w:val="center"/>
                </w:tcPr>
                <w:p w14:paraId="16CA07EE">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脱浆机</w:t>
                  </w:r>
                </w:p>
              </w:tc>
              <w:tc>
                <w:tcPr>
                  <w:tcW w:w="1314" w:type="pct"/>
                  <w:tcBorders>
                    <w:tl2br w:val="nil"/>
                    <w:tr2bl w:val="nil"/>
                  </w:tcBorders>
                  <w:shd w:val="clear" w:color="auto" w:fill="auto"/>
                  <w:noWrap w:val="0"/>
                  <w:vAlign w:val="center"/>
                </w:tcPr>
                <w:p w14:paraId="08135F3D">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010" w:type="pct"/>
                  <w:tcBorders>
                    <w:tl2br w:val="nil"/>
                    <w:tr2bl w:val="nil"/>
                  </w:tcBorders>
                  <w:shd w:val="clear" w:color="auto" w:fill="auto"/>
                  <w:noWrap w:val="0"/>
                  <w:vAlign w:val="center"/>
                </w:tcPr>
                <w:p w14:paraId="093685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rPr>
                    <w:t>1</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303E19D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149D9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4BAABD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1274" w:type="pct"/>
                  <w:tcBorders>
                    <w:tl2br w:val="nil"/>
                    <w:tr2bl w:val="nil"/>
                  </w:tcBorders>
                  <w:shd w:val="clear" w:color="auto" w:fill="auto"/>
                  <w:noWrap w:val="0"/>
                  <w:vAlign w:val="center"/>
                </w:tcPr>
                <w:p w14:paraId="41C675F6">
                  <w:pPr>
                    <w:pStyle w:val="52"/>
                    <w:rPr>
                      <w:rFonts w:hint="default" w:ascii="Times New Roman" w:hAnsi="Times New Roman" w:eastAsia="Times New Roman" w:cs="Times New Roman"/>
                      <w:color w:val="auto"/>
                      <w:kern w:val="2"/>
                      <w:sz w:val="21"/>
                      <w:szCs w:val="24"/>
                      <w:lang w:val="en-US" w:eastAsia="zh-CN" w:bidi="ar-SA"/>
                    </w:rPr>
                  </w:pPr>
                  <w:r>
                    <w:rPr>
                      <w:color w:val="auto"/>
                    </w:rPr>
                    <w:t>切粒机</w:t>
                  </w:r>
                </w:p>
              </w:tc>
              <w:tc>
                <w:tcPr>
                  <w:tcW w:w="1314" w:type="pct"/>
                  <w:tcBorders>
                    <w:tl2br w:val="nil"/>
                    <w:tr2bl w:val="nil"/>
                  </w:tcBorders>
                  <w:shd w:val="clear" w:color="auto" w:fill="auto"/>
                  <w:noWrap w:val="0"/>
                  <w:vAlign w:val="center"/>
                </w:tcPr>
                <w:p w14:paraId="6745F787">
                  <w:pPr>
                    <w:pStyle w:val="52"/>
                    <w:rPr>
                      <w:rFonts w:hint="default"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3台</w:t>
                  </w:r>
                </w:p>
              </w:tc>
              <w:tc>
                <w:tcPr>
                  <w:tcW w:w="1010" w:type="pct"/>
                  <w:tcBorders>
                    <w:tl2br w:val="nil"/>
                    <w:tr2bl w:val="nil"/>
                  </w:tcBorders>
                  <w:noWrap w:val="0"/>
                  <w:vAlign w:val="center"/>
                </w:tcPr>
                <w:p w14:paraId="1DB03A2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eastAsia="宋体"/>
                      <w:color w:val="auto"/>
                      <w:lang w:val="en-US" w:eastAsia="zh-CN"/>
                    </w:rPr>
                    <w:t>台</w:t>
                  </w:r>
                </w:p>
              </w:tc>
              <w:tc>
                <w:tcPr>
                  <w:tcW w:w="1130" w:type="pct"/>
                  <w:tcBorders>
                    <w:tl2br w:val="nil"/>
                    <w:tr2bl w:val="nil"/>
                  </w:tcBorders>
                  <w:noWrap w:val="0"/>
                  <w:vAlign w:val="center"/>
                </w:tcPr>
                <w:p w14:paraId="5B0D97C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eastAsia" w:eastAsia="宋体"/>
                      <w:color w:val="auto"/>
                      <w:lang w:val="en-US" w:eastAsia="zh-CN"/>
                    </w:rPr>
                    <w:t>台</w:t>
                  </w:r>
                </w:p>
              </w:tc>
            </w:tr>
            <w:tr w14:paraId="01369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7C11783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1274" w:type="pct"/>
                  <w:tcBorders>
                    <w:tl2br w:val="nil"/>
                    <w:tr2bl w:val="nil"/>
                  </w:tcBorders>
                  <w:shd w:val="clear" w:color="auto" w:fill="auto"/>
                  <w:noWrap w:val="0"/>
                  <w:vAlign w:val="center"/>
                </w:tcPr>
                <w:p w14:paraId="4F3A2034">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链板式输送带</w:t>
                  </w:r>
                </w:p>
              </w:tc>
              <w:tc>
                <w:tcPr>
                  <w:tcW w:w="1314" w:type="pct"/>
                  <w:tcBorders>
                    <w:tl2br w:val="nil"/>
                    <w:tr2bl w:val="nil"/>
                  </w:tcBorders>
                  <w:shd w:val="clear" w:color="auto" w:fill="auto"/>
                  <w:noWrap w:val="0"/>
                  <w:vAlign w:val="center"/>
                </w:tcPr>
                <w:p w14:paraId="3E879639">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1010" w:type="pct"/>
                  <w:tcBorders>
                    <w:tl2br w:val="nil"/>
                    <w:tr2bl w:val="nil"/>
                  </w:tcBorders>
                  <w:shd w:val="clear" w:color="auto" w:fill="auto"/>
                  <w:noWrap w:val="0"/>
                  <w:vAlign w:val="center"/>
                </w:tcPr>
                <w:p w14:paraId="3A2E3B6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rPr>
                    <w:t>2</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15E8A5F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332FF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0FC29E0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1274" w:type="pct"/>
                  <w:tcBorders>
                    <w:tl2br w:val="nil"/>
                    <w:tr2bl w:val="nil"/>
                  </w:tcBorders>
                  <w:shd w:val="clear" w:color="auto" w:fill="auto"/>
                  <w:noWrap w:val="0"/>
                  <w:vAlign w:val="center"/>
                </w:tcPr>
                <w:p w14:paraId="1D3DE7EB">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金属分选机</w:t>
                  </w:r>
                </w:p>
              </w:tc>
              <w:tc>
                <w:tcPr>
                  <w:tcW w:w="1314" w:type="pct"/>
                  <w:tcBorders>
                    <w:tl2br w:val="nil"/>
                    <w:tr2bl w:val="nil"/>
                  </w:tcBorders>
                  <w:shd w:val="clear" w:color="auto" w:fill="auto"/>
                  <w:noWrap w:val="0"/>
                  <w:vAlign w:val="center"/>
                </w:tcPr>
                <w:p w14:paraId="55D16D96">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010" w:type="pct"/>
                  <w:tcBorders>
                    <w:tl2br w:val="nil"/>
                    <w:tr2bl w:val="nil"/>
                  </w:tcBorders>
                  <w:noWrap w:val="0"/>
                  <w:vAlign w:val="center"/>
                </w:tcPr>
                <w:p w14:paraId="1EB7F3A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2台</w:t>
                  </w:r>
                </w:p>
              </w:tc>
              <w:tc>
                <w:tcPr>
                  <w:tcW w:w="1130" w:type="pct"/>
                  <w:tcBorders>
                    <w:tl2br w:val="nil"/>
                    <w:tr2bl w:val="nil"/>
                  </w:tcBorders>
                  <w:noWrap w:val="0"/>
                  <w:vAlign w:val="center"/>
                </w:tcPr>
                <w:p w14:paraId="3677CA7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+1台</w:t>
                  </w:r>
                </w:p>
              </w:tc>
            </w:tr>
            <w:tr w14:paraId="087D3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72FB2B9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1274" w:type="pct"/>
                  <w:tcBorders>
                    <w:tl2br w:val="nil"/>
                    <w:tr2bl w:val="nil"/>
                  </w:tcBorders>
                  <w:shd w:val="clear" w:color="auto" w:fill="auto"/>
                  <w:noWrap w:val="0"/>
                  <w:vAlign w:val="center"/>
                </w:tcPr>
                <w:p w14:paraId="01D96FC4">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圆池初处理</w:t>
                  </w:r>
                </w:p>
              </w:tc>
              <w:tc>
                <w:tcPr>
                  <w:tcW w:w="1314" w:type="pct"/>
                  <w:tcBorders>
                    <w:tl2br w:val="nil"/>
                    <w:tr2bl w:val="nil"/>
                  </w:tcBorders>
                  <w:shd w:val="clear" w:color="auto" w:fill="auto"/>
                  <w:noWrap w:val="0"/>
                  <w:vAlign w:val="center"/>
                </w:tcPr>
                <w:p w14:paraId="599A95AE">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0F1E00BE">
                  <w:pPr>
                    <w:pStyle w:val="52"/>
                    <w:rPr>
                      <w:rFonts w:hint="default" w:ascii="Times New Roman" w:hAnsi="Times New Roman" w:eastAsia="宋体" w:cs="Times New Roman"/>
                      <w:color w:val="auto"/>
                      <w:kern w:val="2"/>
                      <w:sz w:val="21"/>
                      <w:szCs w:val="21"/>
                      <w:lang w:val="en-US" w:eastAsia="zh-CN" w:bidi="ar-SA"/>
                    </w:rPr>
                  </w:pPr>
                  <w:r>
                    <w:rPr>
                      <w:rFonts w:hint="eastAsia"/>
                      <w:color w:val="auto"/>
                    </w:rPr>
                    <w:t>2</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5D53DED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0B3EE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1A41CCD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w:t>
                  </w:r>
                </w:p>
              </w:tc>
              <w:tc>
                <w:tcPr>
                  <w:tcW w:w="1274" w:type="pct"/>
                  <w:tcBorders>
                    <w:tl2br w:val="nil"/>
                    <w:tr2bl w:val="nil"/>
                  </w:tcBorders>
                  <w:shd w:val="clear" w:color="auto" w:fill="auto"/>
                  <w:noWrap w:val="0"/>
                  <w:vAlign w:val="center"/>
                </w:tcPr>
                <w:p w14:paraId="25DBCD8F">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纸塑分离机</w:t>
                  </w:r>
                </w:p>
              </w:tc>
              <w:tc>
                <w:tcPr>
                  <w:tcW w:w="1314" w:type="pct"/>
                  <w:tcBorders>
                    <w:tl2br w:val="nil"/>
                    <w:tr2bl w:val="nil"/>
                  </w:tcBorders>
                  <w:shd w:val="clear" w:color="auto" w:fill="auto"/>
                  <w:noWrap w:val="0"/>
                  <w:vAlign w:val="center"/>
                </w:tcPr>
                <w:p w14:paraId="23645806">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08ECB394">
                  <w:pPr>
                    <w:pStyle w:val="52"/>
                    <w:rPr>
                      <w:rFonts w:hint="default" w:ascii="Times New Roman" w:hAnsi="Times New Roman" w:eastAsia="宋体" w:cs="Times New Roman"/>
                      <w:color w:val="auto"/>
                      <w:kern w:val="2"/>
                      <w:sz w:val="21"/>
                      <w:szCs w:val="21"/>
                      <w:lang w:val="en-US" w:eastAsia="zh-CN" w:bidi="ar-SA"/>
                    </w:rPr>
                  </w:pPr>
                  <w:r>
                    <w:rPr>
                      <w:rFonts w:hint="eastAsia"/>
                      <w:color w:val="auto"/>
                    </w:rPr>
                    <w:t>1</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6A3B4D1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0725A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7268238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w:t>
                  </w:r>
                </w:p>
              </w:tc>
              <w:tc>
                <w:tcPr>
                  <w:tcW w:w="1274" w:type="pct"/>
                  <w:tcBorders>
                    <w:tl2br w:val="nil"/>
                    <w:tr2bl w:val="nil"/>
                  </w:tcBorders>
                  <w:shd w:val="clear" w:color="auto" w:fill="auto"/>
                  <w:noWrap w:val="0"/>
                  <w:vAlign w:val="center"/>
                </w:tcPr>
                <w:p w14:paraId="2A2F2787">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槽型漂洗池</w:t>
                  </w:r>
                </w:p>
              </w:tc>
              <w:tc>
                <w:tcPr>
                  <w:tcW w:w="1314" w:type="pct"/>
                  <w:tcBorders>
                    <w:tl2br w:val="nil"/>
                    <w:tr2bl w:val="nil"/>
                  </w:tcBorders>
                  <w:shd w:val="clear" w:color="auto" w:fill="auto"/>
                  <w:noWrap w:val="0"/>
                  <w:vAlign w:val="center"/>
                </w:tcPr>
                <w:p w14:paraId="10CA0244">
                  <w:pPr>
                    <w:pStyle w:val="52"/>
                    <w:rPr>
                      <w:rFonts w:hint="default"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1台</w:t>
                  </w:r>
                </w:p>
              </w:tc>
              <w:tc>
                <w:tcPr>
                  <w:tcW w:w="1521" w:type="dxa"/>
                  <w:tcBorders>
                    <w:tl2br w:val="nil"/>
                    <w:tr2bl w:val="nil"/>
                  </w:tcBorders>
                  <w:shd w:val="clear" w:color="auto" w:fill="auto"/>
                  <w:noWrap w:val="0"/>
                  <w:vAlign w:val="center"/>
                </w:tcPr>
                <w:p w14:paraId="1B5EDD1B">
                  <w:pPr>
                    <w:pStyle w:val="52"/>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3台</w:t>
                  </w:r>
                </w:p>
              </w:tc>
              <w:tc>
                <w:tcPr>
                  <w:tcW w:w="1130" w:type="pct"/>
                  <w:tcBorders>
                    <w:tl2br w:val="nil"/>
                    <w:tr2bl w:val="nil"/>
                  </w:tcBorders>
                  <w:shd w:val="clear" w:color="auto" w:fill="auto"/>
                  <w:noWrap w:val="0"/>
                  <w:vAlign w:val="center"/>
                </w:tcPr>
                <w:p w14:paraId="481936A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w:t>
                  </w:r>
                  <w:r>
                    <w:rPr>
                      <w:rFonts w:hint="eastAsia" w:eastAsia="宋体"/>
                      <w:color w:val="auto"/>
                      <w:lang w:val="en-US" w:eastAsia="zh-CN"/>
                    </w:rPr>
                    <w:t>台</w:t>
                  </w:r>
                </w:p>
              </w:tc>
            </w:tr>
            <w:tr w14:paraId="058E2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587F8F2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1274" w:type="pct"/>
                  <w:tcBorders>
                    <w:tl2br w:val="nil"/>
                    <w:tr2bl w:val="nil"/>
                  </w:tcBorders>
                  <w:shd w:val="clear" w:color="auto" w:fill="auto"/>
                  <w:noWrap w:val="0"/>
                  <w:vAlign w:val="center"/>
                </w:tcPr>
                <w:p w14:paraId="73F76B9E">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纸塑分离机</w:t>
                  </w:r>
                </w:p>
              </w:tc>
              <w:tc>
                <w:tcPr>
                  <w:tcW w:w="1314" w:type="pct"/>
                  <w:tcBorders>
                    <w:tl2br w:val="nil"/>
                    <w:tr2bl w:val="nil"/>
                  </w:tcBorders>
                  <w:shd w:val="clear" w:color="auto" w:fill="auto"/>
                  <w:noWrap w:val="0"/>
                  <w:vAlign w:val="center"/>
                </w:tcPr>
                <w:p w14:paraId="5363790C">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0A895FB2">
                  <w:pPr>
                    <w:pStyle w:val="52"/>
                    <w:rPr>
                      <w:rFonts w:hint="default" w:ascii="Times New Roman" w:hAnsi="Times New Roman" w:eastAsia="宋体" w:cs="Times New Roman"/>
                      <w:color w:val="auto"/>
                      <w:kern w:val="2"/>
                      <w:sz w:val="21"/>
                      <w:szCs w:val="21"/>
                      <w:lang w:val="en-US" w:eastAsia="zh-CN" w:bidi="ar-SA"/>
                    </w:rPr>
                  </w:pPr>
                  <w:r>
                    <w:rPr>
                      <w:rFonts w:hint="eastAsia"/>
                      <w:color w:val="auto"/>
                    </w:rPr>
                    <w:t>1</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3F415A1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368AF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0F9A09D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1274" w:type="pct"/>
                  <w:tcBorders>
                    <w:tl2br w:val="nil"/>
                    <w:tr2bl w:val="nil"/>
                  </w:tcBorders>
                  <w:shd w:val="clear" w:color="auto" w:fill="auto"/>
                  <w:noWrap w:val="0"/>
                  <w:vAlign w:val="center"/>
                </w:tcPr>
                <w:p w14:paraId="4D652001">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橡带式输送带</w:t>
                  </w:r>
                </w:p>
              </w:tc>
              <w:tc>
                <w:tcPr>
                  <w:tcW w:w="1314" w:type="pct"/>
                  <w:tcBorders>
                    <w:tl2br w:val="nil"/>
                    <w:tr2bl w:val="nil"/>
                  </w:tcBorders>
                  <w:shd w:val="clear" w:color="auto" w:fill="auto"/>
                  <w:noWrap w:val="0"/>
                  <w:vAlign w:val="center"/>
                </w:tcPr>
                <w:p w14:paraId="156FE375">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7130A556">
                  <w:pPr>
                    <w:pStyle w:val="52"/>
                    <w:rPr>
                      <w:rFonts w:hint="default" w:ascii="Times New Roman" w:hAnsi="Times New Roman" w:eastAsia="宋体" w:cs="Times New Roman"/>
                      <w:color w:val="auto"/>
                      <w:kern w:val="2"/>
                      <w:sz w:val="21"/>
                      <w:szCs w:val="21"/>
                      <w:lang w:val="en-US" w:eastAsia="zh-CN" w:bidi="ar-SA"/>
                    </w:rPr>
                  </w:pPr>
                  <w:r>
                    <w:rPr>
                      <w:rFonts w:hint="eastAsia"/>
                      <w:color w:val="auto"/>
                    </w:rPr>
                    <w:t>1</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012F2B1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0E9A9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3FDA319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w:t>
                  </w:r>
                </w:p>
              </w:tc>
              <w:tc>
                <w:tcPr>
                  <w:tcW w:w="1274" w:type="pct"/>
                  <w:tcBorders>
                    <w:tl2br w:val="nil"/>
                    <w:tr2bl w:val="nil"/>
                  </w:tcBorders>
                  <w:shd w:val="clear" w:color="auto" w:fill="auto"/>
                  <w:noWrap w:val="0"/>
                  <w:vAlign w:val="center"/>
                </w:tcPr>
                <w:p w14:paraId="2FA27085">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液压打包机</w:t>
                  </w:r>
                </w:p>
              </w:tc>
              <w:tc>
                <w:tcPr>
                  <w:tcW w:w="1314" w:type="pct"/>
                  <w:tcBorders>
                    <w:tl2br w:val="nil"/>
                    <w:tr2bl w:val="nil"/>
                  </w:tcBorders>
                  <w:shd w:val="clear" w:color="auto" w:fill="auto"/>
                  <w:noWrap w:val="0"/>
                  <w:vAlign w:val="center"/>
                </w:tcPr>
                <w:p w14:paraId="7D4C11DF">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64A352E0">
                  <w:pPr>
                    <w:pStyle w:val="52"/>
                    <w:rPr>
                      <w:rFonts w:hint="default" w:ascii="Times New Roman" w:hAnsi="Times New Roman" w:eastAsia="宋体" w:cs="Times New Roman"/>
                      <w:color w:val="auto"/>
                      <w:kern w:val="2"/>
                      <w:sz w:val="21"/>
                      <w:szCs w:val="21"/>
                      <w:lang w:val="en-US" w:eastAsia="zh-CN" w:bidi="ar-SA"/>
                    </w:rPr>
                  </w:pPr>
                  <w:r>
                    <w:rPr>
                      <w:rFonts w:hint="eastAsia"/>
                      <w:color w:val="auto"/>
                    </w:rPr>
                    <w:t>2</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69731BB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71614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4E96C6A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1274" w:type="pct"/>
                  <w:tcBorders>
                    <w:tl2br w:val="nil"/>
                    <w:tr2bl w:val="nil"/>
                  </w:tcBorders>
                  <w:shd w:val="clear" w:color="auto" w:fill="auto"/>
                  <w:noWrap w:val="0"/>
                  <w:vAlign w:val="center"/>
                </w:tcPr>
                <w:p w14:paraId="6B19B4ED">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装载机</w:t>
                  </w:r>
                </w:p>
              </w:tc>
              <w:tc>
                <w:tcPr>
                  <w:tcW w:w="1314" w:type="pct"/>
                  <w:tcBorders>
                    <w:tl2br w:val="nil"/>
                    <w:tr2bl w:val="nil"/>
                  </w:tcBorders>
                  <w:shd w:val="clear" w:color="auto" w:fill="auto"/>
                  <w:noWrap w:val="0"/>
                  <w:vAlign w:val="center"/>
                </w:tcPr>
                <w:p w14:paraId="5BE7729C">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3676EAC5">
                  <w:pPr>
                    <w:pStyle w:val="52"/>
                    <w:rPr>
                      <w:rFonts w:hint="eastAsia" w:ascii="Times New Roman" w:hAnsi="Times New Roman" w:eastAsia="宋体" w:cs="Times New Roman"/>
                      <w:color w:val="auto"/>
                      <w:kern w:val="2"/>
                      <w:sz w:val="21"/>
                      <w:szCs w:val="21"/>
                      <w:lang w:val="en-US" w:eastAsia="zh-CN" w:bidi="ar-SA"/>
                    </w:rPr>
                  </w:pPr>
                  <w:r>
                    <w:rPr>
                      <w:rFonts w:hint="eastAsia"/>
                      <w:color w:val="auto"/>
                    </w:rPr>
                    <w:t>1</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3FA77FE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0D84E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57FD48F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1274" w:type="pct"/>
                  <w:tcBorders>
                    <w:tl2br w:val="nil"/>
                    <w:tr2bl w:val="nil"/>
                  </w:tcBorders>
                  <w:shd w:val="clear" w:color="auto" w:fill="auto"/>
                  <w:noWrap w:val="0"/>
                  <w:vAlign w:val="center"/>
                </w:tcPr>
                <w:p w14:paraId="0F72B486">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冷却塔</w:t>
                  </w:r>
                </w:p>
              </w:tc>
              <w:tc>
                <w:tcPr>
                  <w:tcW w:w="1314" w:type="pct"/>
                  <w:tcBorders>
                    <w:tl2br w:val="nil"/>
                    <w:tr2bl w:val="nil"/>
                  </w:tcBorders>
                  <w:shd w:val="clear" w:color="auto" w:fill="auto"/>
                  <w:noWrap w:val="0"/>
                  <w:vAlign w:val="center"/>
                </w:tcPr>
                <w:p w14:paraId="56211EE3">
                  <w:pPr>
                    <w:pStyle w:val="52"/>
                    <w:rPr>
                      <w:rFonts w:hint="default"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3台</w:t>
                  </w:r>
                </w:p>
              </w:tc>
              <w:tc>
                <w:tcPr>
                  <w:tcW w:w="1521" w:type="dxa"/>
                  <w:tcBorders>
                    <w:tl2br w:val="nil"/>
                    <w:tr2bl w:val="nil"/>
                  </w:tcBorders>
                  <w:shd w:val="clear" w:color="auto" w:fill="auto"/>
                  <w:noWrap w:val="0"/>
                  <w:vAlign w:val="center"/>
                </w:tcPr>
                <w:p w14:paraId="5FF0B0F5">
                  <w:pPr>
                    <w:pStyle w:val="52"/>
                    <w:rPr>
                      <w:rFonts w:hint="eastAsia" w:ascii="Times New Roman" w:hAnsi="Times New Roman" w:eastAsia="宋体" w:cs="Times New Roman"/>
                      <w:color w:val="auto"/>
                      <w:kern w:val="2"/>
                      <w:sz w:val="21"/>
                      <w:szCs w:val="21"/>
                      <w:lang w:val="en-US" w:eastAsia="zh-CN" w:bidi="ar-SA"/>
                    </w:rPr>
                  </w:pPr>
                  <w:r>
                    <w:rPr>
                      <w:rFonts w:hint="eastAsia" w:eastAsia="宋体"/>
                      <w:color w:val="auto"/>
                      <w:lang w:val="en-US" w:eastAsia="zh-CN"/>
                    </w:rPr>
                    <w:t>3台</w:t>
                  </w:r>
                </w:p>
              </w:tc>
              <w:tc>
                <w:tcPr>
                  <w:tcW w:w="1130" w:type="pct"/>
                  <w:tcBorders>
                    <w:tl2br w:val="nil"/>
                    <w:tr2bl w:val="nil"/>
                  </w:tcBorders>
                  <w:shd w:val="clear" w:color="auto" w:fill="auto"/>
                  <w:noWrap w:val="0"/>
                  <w:vAlign w:val="center"/>
                </w:tcPr>
                <w:p w14:paraId="70FA50E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3287A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617EB78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w:t>
                  </w:r>
                </w:p>
              </w:tc>
              <w:tc>
                <w:tcPr>
                  <w:tcW w:w="1274" w:type="pct"/>
                  <w:tcBorders>
                    <w:tl2br w:val="nil"/>
                    <w:tr2bl w:val="nil"/>
                  </w:tcBorders>
                  <w:shd w:val="clear" w:color="auto" w:fill="auto"/>
                  <w:noWrap w:val="0"/>
                  <w:vAlign w:val="center"/>
                </w:tcPr>
                <w:p w14:paraId="0E7E4DEB">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叉车</w:t>
                  </w:r>
                </w:p>
              </w:tc>
              <w:tc>
                <w:tcPr>
                  <w:tcW w:w="1314" w:type="pct"/>
                  <w:tcBorders>
                    <w:tl2br w:val="nil"/>
                    <w:tr2bl w:val="nil"/>
                  </w:tcBorders>
                  <w:shd w:val="clear" w:color="auto" w:fill="auto"/>
                  <w:noWrap w:val="0"/>
                  <w:vAlign w:val="center"/>
                </w:tcPr>
                <w:p w14:paraId="00D1C2EF">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6FE6152F">
                  <w:pPr>
                    <w:pStyle w:val="52"/>
                    <w:rPr>
                      <w:rFonts w:hint="default" w:ascii="Times New Roman" w:hAnsi="Times New Roman" w:eastAsia="宋体" w:cs="Times New Roman"/>
                      <w:color w:val="auto"/>
                      <w:kern w:val="2"/>
                      <w:sz w:val="21"/>
                      <w:szCs w:val="21"/>
                      <w:lang w:val="en-US" w:eastAsia="zh-CN" w:bidi="ar-SA"/>
                    </w:rPr>
                  </w:pPr>
                  <w:r>
                    <w:rPr>
                      <w:rFonts w:hint="eastAsia"/>
                      <w:color w:val="auto"/>
                    </w:rPr>
                    <w:t>2</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559E5A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124E9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0DC8133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274" w:type="pct"/>
                  <w:tcBorders>
                    <w:tl2br w:val="nil"/>
                    <w:tr2bl w:val="nil"/>
                  </w:tcBorders>
                  <w:shd w:val="clear" w:color="auto" w:fill="auto"/>
                  <w:noWrap w:val="0"/>
                  <w:vAlign w:val="center"/>
                </w:tcPr>
                <w:p w14:paraId="3ADDE3B9">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抱车</w:t>
                  </w:r>
                </w:p>
              </w:tc>
              <w:tc>
                <w:tcPr>
                  <w:tcW w:w="1314" w:type="pct"/>
                  <w:tcBorders>
                    <w:tl2br w:val="nil"/>
                    <w:tr2bl w:val="nil"/>
                  </w:tcBorders>
                  <w:shd w:val="clear" w:color="auto" w:fill="auto"/>
                  <w:noWrap w:val="0"/>
                  <w:vAlign w:val="center"/>
                </w:tcPr>
                <w:p w14:paraId="396040E5">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1521" w:type="dxa"/>
                  <w:tcBorders>
                    <w:tl2br w:val="nil"/>
                    <w:tr2bl w:val="nil"/>
                  </w:tcBorders>
                  <w:shd w:val="clear" w:color="auto" w:fill="auto"/>
                  <w:noWrap w:val="0"/>
                  <w:vAlign w:val="center"/>
                </w:tcPr>
                <w:p w14:paraId="45E8C00F">
                  <w:pPr>
                    <w:pStyle w:val="52"/>
                    <w:rPr>
                      <w:rFonts w:hint="default" w:ascii="Times New Roman" w:hAnsi="Times New Roman" w:eastAsia="宋体" w:cs="Times New Roman"/>
                      <w:color w:val="auto"/>
                      <w:kern w:val="2"/>
                      <w:sz w:val="21"/>
                      <w:szCs w:val="21"/>
                      <w:lang w:val="en-US" w:eastAsia="zh-CN" w:bidi="ar-SA"/>
                    </w:rPr>
                  </w:pPr>
                  <w:r>
                    <w:rPr>
                      <w:rFonts w:hint="eastAsia"/>
                      <w:color w:val="auto"/>
                    </w:rPr>
                    <w:t>1</w:t>
                  </w:r>
                  <w:r>
                    <w:rPr>
                      <w:rFonts w:hint="eastAsia" w:eastAsia="宋体"/>
                      <w:color w:val="auto"/>
                      <w:lang w:val="en-US" w:eastAsia="zh-CN"/>
                    </w:rPr>
                    <w:t>台</w:t>
                  </w:r>
                </w:p>
              </w:tc>
              <w:tc>
                <w:tcPr>
                  <w:tcW w:w="1130" w:type="pct"/>
                  <w:tcBorders>
                    <w:tl2br w:val="nil"/>
                    <w:tr2bl w:val="nil"/>
                  </w:tcBorders>
                  <w:shd w:val="clear" w:color="auto" w:fill="auto"/>
                  <w:noWrap w:val="0"/>
                  <w:vAlign w:val="center"/>
                </w:tcPr>
                <w:p w14:paraId="3DEE997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lang w:val="en-US" w:eastAsia="zh-CN"/>
                    </w:rPr>
                    <w:t>0</w:t>
                  </w:r>
                </w:p>
              </w:tc>
            </w:tr>
            <w:tr w14:paraId="0149A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7220CFB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21</w:t>
                  </w:r>
                </w:p>
              </w:tc>
              <w:tc>
                <w:tcPr>
                  <w:tcW w:w="1274" w:type="pct"/>
                  <w:tcBorders>
                    <w:tl2br w:val="nil"/>
                    <w:tr2bl w:val="nil"/>
                  </w:tcBorders>
                  <w:shd w:val="clear" w:color="auto" w:fill="auto"/>
                  <w:noWrap w:val="0"/>
                  <w:vAlign w:val="center"/>
                </w:tcPr>
                <w:p w14:paraId="0F51C1E6">
                  <w:pPr>
                    <w:pStyle w:val="52"/>
                    <w:rPr>
                      <w:rFonts w:hint="default" w:eastAsia="宋体"/>
                      <w:color w:val="auto"/>
                      <w:lang w:val="en-US" w:eastAsia="zh-CN"/>
                    </w:rPr>
                  </w:pPr>
                  <w:r>
                    <w:rPr>
                      <w:rFonts w:hint="eastAsia" w:eastAsia="宋体"/>
                      <w:color w:val="auto"/>
                      <w:lang w:val="en-US" w:eastAsia="zh-CN"/>
                    </w:rPr>
                    <w:t>磨料机</w:t>
                  </w:r>
                </w:p>
              </w:tc>
              <w:tc>
                <w:tcPr>
                  <w:tcW w:w="1314" w:type="pct"/>
                  <w:tcBorders>
                    <w:tl2br w:val="nil"/>
                    <w:tr2bl w:val="nil"/>
                  </w:tcBorders>
                  <w:shd w:val="clear" w:color="auto" w:fill="auto"/>
                  <w:noWrap w:val="0"/>
                  <w:vAlign w:val="center"/>
                </w:tcPr>
                <w:p w14:paraId="73C91B88">
                  <w:pPr>
                    <w:pStyle w:val="52"/>
                    <w:rPr>
                      <w:rFonts w:hint="default" w:eastAsia="宋体"/>
                      <w:color w:val="auto"/>
                      <w:lang w:val="en-US" w:eastAsia="zh-CN"/>
                    </w:rPr>
                  </w:pPr>
                  <w:r>
                    <w:rPr>
                      <w:rFonts w:hint="eastAsia" w:eastAsia="宋体"/>
                      <w:color w:val="auto"/>
                      <w:lang w:val="en-US" w:eastAsia="zh-CN"/>
                    </w:rPr>
                    <w:t>0</w:t>
                  </w:r>
                </w:p>
              </w:tc>
              <w:tc>
                <w:tcPr>
                  <w:tcW w:w="1010" w:type="pct"/>
                  <w:tcBorders>
                    <w:tl2br w:val="nil"/>
                    <w:tr2bl w:val="nil"/>
                  </w:tcBorders>
                  <w:shd w:val="clear" w:color="auto" w:fill="auto"/>
                  <w:noWrap w:val="0"/>
                  <w:vAlign w:val="center"/>
                </w:tcPr>
                <w:p w14:paraId="677A76F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1台</w:t>
                  </w:r>
                </w:p>
              </w:tc>
              <w:tc>
                <w:tcPr>
                  <w:tcW w:w="1130" w:type="pct"/>
                  <w:tcBorders>
                    <w:tl2br w:val="nil"/>
                    <w:tr2bl w:val="nil"/>
                  </w:tcBorders>
                  <w:shd w:val="clear" w:color="auto" w:fill="auto"/>
                  <w:noWrap w:val="0"/>
                  <w:vAlign w:val="center"/>
                </w:tcPr>
                <w:p w14:paraId="4683474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+1台</w:t>
                  </w:r>
                </w:p>
              </w:tc>
            </w:tr>
            <w:tr w14:paraId="1A864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1B0D61D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22</w:t>
                  </w:r>
                </w:p>
              </w:tc>
              <w:tc>
                <w:tcPr>
                  <w:tcW w:w="1274" w:type="pct"/>
                  <w:tcBorders>
                    <w:tl2br w:val="nil"/>
                    <w:tr2bl w:val="nil"/>
                  </w:tcBorders>
                  <w:shd w:val="clear" w:color="auto" w:fill="auto"/>
                  <w:noWrap w:val="0"/>
                  <w:vAlign w:val="center"/>
                </w:tcPr>
                <w:p w14:paraId="5DB14CDF">
                  <w:pPr>
                    <w:pStyle w:val="52"/>
                    <w:rPr>
                      <w:rFonts w:hint="default" w:eastAsia="宋体"/>
                      <w:color w:val="auto"/>
                      <w:lang w:val="en-US" w:eastAsia="zh-CN"/>
                    </w:rPr>
                  </w:pPr>
                  <w:r>
                    <w:rPr>
                      <w:rFonts w:hint="eastAsia" w:eastAsia="宋体"/>
                      <w:color w:val="auto"/>
                      <w:lang w:val="en-US" w:eastAsia="zh-CN"/>
                    </w:rPr>
                    <w:t>甩干机</w:t>
                  </w:r>
                </w:p>
              </w:tc>
              <w:tc>
                <w:tcPr>
                  <w:tcW w:w="1314" w:type="pct"/>
                  <w:tcBorders>
                    <w:tl2br w:val="nil"/>
                    <w:tr2bl w:val="nil"/>
                  </w:tcBorders>
                  <w:shd w:val="clear" w:color="auto" w:fill="auto"/>
                  <w:noWrap w:val="0"/>
                  <w:vAlign w:val="center"/>
                </w:tcPr>
                <w:p w14:paraId="618C15C7">
                  <w:pPr>
                    <w:pStyle w:val="52"/>
                    <w:rPr>
                      <w:rFonts w:hint="eastAsia" w:eastAsia="宋体"/>
                      <w:color w:val="auto"/>
                      <w:lang w:val="en-US" w:eastAsia="zh-CN"/>
                    </w:rPr>
                  </w:pPr>
                  <w:r>
                    <w:rPr>
                      <w:rFonts w:hint="eastAsia" w:eastAsia="宋体"/>
                      <w:color w:val="auto"/>
                      <w:lang w:val="en-US" w:eastAsia="zh-CN"/>
                    </w:rPr>
                    <w:t>0</w:t>
                  </w:r>
                </w:p>
              </w:tc>
              <w:tc>
                <w:tcPr>
                  <w:tcW w:w="1010" w:type="pct"/>
                  <w:tcBorders>
                    <w:tl2br w:val="nil"/>
                    <w:tr2bl w:val="nil"/>
                  </w:tcBorders>
                  <w:shd w:val="clear" w:color="auto" w:fill="auto"/>
                  <w:noWrap w:val="0"/>
                  <w:vAlign w:val="center"/>
                </w:tcPr>
                <w:p w14:paraId="7B9A1EC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olor w:val="auto"/>
                      <w:lang w:val="en-US" w:eastAsia="zh-CN"/>
                    </w:rPr>
                  </w:pPr>
                  <w:r>
                    <w:rPr>
                      <w:rFonts w:hint="eastAsia" w:eastAsia="宋体"/>
                      <w:color w:val="auto"/>
                      <w:lang w:val="en-US" w:eastAsia="zh-CN"/>
                    </w:rPr>
                    <w:t>2台</w:t>
                  </w:r>
                </w:p>
              </w:tc>
              <w:tc>
                <w:tcPr>
                  <w:tcW w:w="1130" w:type="pct"/>
                  <w:tcBorders>
                    <w:tl2br w:val="nil"/>
                    <w:tr2bl w:val="nil"/>
                  </w:tcBorders>
                  <w:shd w:val="clear" w:color="auto" w:fill="auto"/>
                  <w:noWrap w:val="0"/>
                  <w:vAlign w:val="center"/>
                </w:tcPr>
                <w:p w14:paraId="02752B2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olor w:val="auto"/>
                      <w:lang w:val="en-US" w:eastAsia="zh-CN"/>
                    </w:rPr>
                  </w:pPr>
                  <w:r>
                    <w:rPr>
                      <w:rFonts w:hint="eastAsia" w:eastAsia="宋体"/>
                      <w:color w:val="auto"/>
                      <w:lang w:val="en-US" w:eastAsia="zh-CN"/>
                    </w:rPr>
                    <w:t>+2台</w:t>
                  </w:r>
                </w:p>
              </w:tc>
            </w:tr>
            <w:tr w14:paraId="286DF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630F21C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23</w:t>
                  </w:r>
                </w:p>
              </w:tc>
              <w:tc>
                <w:tcPr>
                  <w:tcW w:w="1274" w:type="pct"/>
                  <w:tcBorders>
                    <w:tl2br w:val="nil"/>
                    <w:tr2bl w:val="nil"/>
                  </w:tcBorders>
                  <w:shd w:val="clear" w:color="auto" w:fill="auto"/>
                  <w:noWrap w:val="0"/>
                  <w:vAlign w:val="center"/>
                </w:tcPr>
                <w:p w14:paraId="727FA01B">
                  <w:pPr>
                    <w:pStyle w:val="52"/>
                    <w:rPr>
                      <w:rFonts w:hint="default" w:eastAsia="宋体"/>
                      <w:color w:val="auto"/>
                      <w:lang w:val="en-US" w:eastAsia="zh-CN"/>
                    </w:rPr>
                  </w:pPr>
                  <w:r>
                    <w:rPr>
                      <w:rFonts w:hint="eastAsia" w:eastAsia="宋体"/>
                      <w:color w:val="auto"/>
                      <w:lang w:val="en-US" w:eastAsia="zh-CN"/>
                    </w:rPr>
                    <w:t>色选机</w:t>
                  </w:r>
                </w:p>
              </w:tc>
              <w:tc>
                <w:tcPr>
                  <w:tcW w:w="1314" w:type="pct"/>
                  <w:tcBorders>
                    <w:tl2br w:val="nil"/>
                    <w:tr2bl w:val="nil"/>
                  </w:tcBorders>
                  <w:shd w:val="clear" w:color="auto" w:fill="auto"/>
                  <w:noWrap w:val="0"/>
                  <w:vAlign w:val="center"/>
                </w:tcPr>
                <w:p w14:paraId="4F483FD0">
                  <w:pPr>
                    <w:pStyle w:val="52"/>
                    <w:rPr>
                      <w:rFonts w:hint="eastAsia" w:eastAsia="宋体"/>
                      <w:color w:val="auto"/>
                      <w:lang w:val="en-US" w:eastAsia="zh-CN"/>
                    </w:rPr>
                  </w:pPr>
                  <w:r>
                    <w:rPr>
                      <w:rFonts w:hint="eastAsia" w:eastAsia="宋体"/>
                      <w:color w:val="auto"/>
                      <w:lang w:val="en-US" w:eastAsia="zh-CN"/>
                    </w:rPr>
                    <w:t>0</w:t>
                  </w:r>
                </w:p>
              </w:tc>
              <w:tc>
                <w:tcPr>
                  <w:tcW w:w="1010" w:type="pct"/>
                  <w:tcBorders>
                    <w:tl2br w:val="nil"/>
                    <w:tr2bl w:val="nil"/>
                  </w:tcBorders>
                  <w:shd w:val="clear" w:color="auto" w:fill="auto"/>
                  <w:noWrap w:val="0"/>
                  <w:vAlign w:val="center"/>
                </w:tcPr>
                <w:p w14:paraId="0264B0A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eastAsia="宋体"/>
                      <w:color w:val="auto"/>
                      <w:lang w:val="en-US" w:eastAsia="zh-CN"/>
                    </w:rPr>
                    <w:t>2台</w:t>
                  </w:r>
                </w:p>
              </w:tc>
              <w:tc>
                <w:tcPr>
                  <w:tcW w:w="1130" w:type="pct"/>
                  <w:tcBorders>
                    <w:tl2br w:val="nil"/>
                    <w:tr2bl w:val="nil"/>
                  </w:tcBorders>
                  <w:shd w:val="clear" w:color="auto" w:fill="auto"/>
                  <w:noWrap w:val="0"/>
                  <w:vAlign w:val="center"/>
                </w:tcPr>
                <w:p w14:paraId="2D509EB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+2台</w:t>
                  </w:r>
                </w:p>
              </w:tc>
            </w:tr>
            <w:tr w14:paraId="0DEB2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70" w:type="pct"/>
                  <w:tcBorders>
                    <w:tl2br w:val="nil"/>
                    <w:tr2bl w:val="nil"/>
                  </w:tcBorders>
                  <w:shd w:val="clear" w:color="auto" w:fill="auto"/>
                  <w:noWrap w:val="0"/>
                  <w:vAlign w:val="center"/>
                </w:tcPr>
                <w:p w14:paraId="347B0E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24</w:t>
                  </w:r>
                </w:p>
              </w:tc>
              <w:tc>
                <w:tcPr>
                  <w:tcW w:w="1274" w:type="pct"/>
                  <w:tcBorders>
                    <w:tl2br w:val="nil"/>
                    <w:tr2bl w:val="nil"/>
                  </w:tcBorders>
                  <w:shd w:val="clear" w:color="auto" w:fill="auto"/>
                  <w:noWrap w:val="0"/>
                  <w:vAlign w:val="center"/>
                </w:tcPr>
                <w:p w14:paraId="5D02414C">
                  <w:pPr>
                    <w:pStyle w:val="52"/>
                    <w:rPr>
                      <w:rFonts w:hint="default" w:eastAsia="宋体"/>
                      <w:color w:val="auto"/>
                      <w:lang w:val="en-US" w:eastAsia="zh-CN"/>
                    </w:rPr>
                  </w:pPr>
                  <w:r>
                    <w:rPr>
                      <w:rFonts w:hint="eastAsia" w:eastAsia="宋体"/>
                      <w:color w:val="auto"/>
                      <w:lang w:val="en-US" w:eastAsia="zh-CN"/>
                    </w:rPr>
                    <w:t>静电分选机</w:t>
                  </w:r>
                </w:p>
              </w:tc>
              <w:tc>
                <w:tcPr>
                  <w:tcW w:w="1314" w:type="pct"/>
                  <w:tcBorders>
                    <w:tl2br w:val="nil"/>
                    <w:tr2bl w:val="nil"/>
                  </w:tcBorders>
                  <w:shd w:val="clear" w:color="auto" w:fill="auto"/>
                  <w:noWrap w:val="0"/>
                  <w:vAlign w:val="center"/>
                </w:tcPr>
                <w:p w14:paraId="0F17A9A6">
                  <w:pPr>
                    <w:pStyle w:val="52"/>
                    <w:rPr>
                      <w:rFonts w:hint="eastAsia" w:eastAsia="宋体"/>
                      <w:color w:val="auto"/>
                      <w:lang w:val="en-US" w:eastAsia="zh-CN"/>
                    </w:rPr>
                  </w:pPr>
                  <w:r>
                    <w:rPr>
                      <w:rFonts w:hint="eastAsia" w:eastAsia="宋体"/>
                      <w:color w:val="auto"/>
                      <w:lang w:val="en-US" w:eastAsia="zh-CN"/>
                    </w:rPr>
                    <w:t>0</w:t>
                  </w:r>
                </w:p>
              </w:tc>
              <w:tc>
                <w:tcPr>
                  <w:tcW w:w="1010" w:type="pct"/>
                  <w:tcBorders>
                    <w:tl2br w:val="nil"/>
                    <w:tr2bl w:val="nil"/>
                  </w:tcBorders>
                  <w:shd w:val="clear" w:color="auto" w:fill="auto"/>
                  <w:noWrap w:val="0"/>
                  <w:vAlign w:val="center"/>
                </w:tcPr>
                <w:p w14:paraId="0493CA9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olor w:val="auto"/>
                      <w:lang w:val="en-US" w:eastAsia="zh-CN"/>
                    </w:rPr>
                  </w:pPr>
                  <w:r>
                    <w:rPr>
                      <w:rFonts w:hint="eastAsia" w:eastAsia="宋体"/>
                      <w:color w:val="auto"/>
                      <w:lang w:val="en-US" w:eastAsia="zh-CN"/>
                    </w:rPr>
                    <w:t>1台</w:t>
                  </w:r>
                </w:p>
              </w:tc>
              <w:tc>
                <w:tcPr>
                  <w:tcW w:w="1130" w:type="pct"/>
                  <w:tcBorders>
                    <w:tl2br w:val="nil"/>
                    <w:tr2bl w:val="nil"/>
                  </w:tcBorders>
                  <w:shd w:val="clear" w:color="auto" w:fill="auto"/>
                  <w:noWrap w:val="0"/>
                  <w:vAlign w:val="center"/>
                </w:tcPr>
                <w:p w14:paraId="77D3670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eastAsia="宋体"/>
                      <w:color w:val="auto"/>
                      <w:lang w:val="en-US" w:eastAsia="zh-CN"/>
                    </w:rPr>
                  </w:pPr>
                  <w:r>
                    <w:rPr>
                      <w:rFonts w:hint="eastAsia" w:eastAsia="宋体"/>
                      <w:color w:val="auto"/>
                      <w:lang w:val="en-US" w:eastAsia="zh-CN"/>
                    </w:rPr>
                    <w:t>+1台</w:t>
                  </w:r>
                </w:p>
              </w:tc>
            </w:tr>
          </w:tbl>
          <w:p w14:paraId="4DA310C9">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auto"/>
                <w:sz w:val="24"/>
                <w:szCs w:val="24"/>
                <w:lang w:val="en-US" w:eastAsia="zh-CN"/>
              </w:rPr>
            </w:pPr>
            <w:r>
              <w:rPr>
                <w:rFonts w:hint="eastAsia"/>
                <w:color w:val="auto"/>
                <w:sz w:val="24"/>
                <w:szCs w:val="24"/>
                <w:lang w:val="en-US" w:eastAsia="zh-CN"/>
              </w:rPr>
              <w:t>注：随着市场对再生塑料颗粒的质量种类要求越来约细致多样化，因此项目针对产品不同种类划分对应不同规格型号的造粒机。</w:t>
            </w:r>
            <w:r>
              <w:rPr>
                <w:rFonts w:hint="eastAsia" w:eastAsia="宋体" w:cs="Times New Roman"/>
                <w:b w:val="0"/>
                <w:bCs/>
                <w:color w:val="auto"/>
                <w:sz w:val="24"/>
                <w:szCs w:val="24"/>
                <w:lang w:val="en-US" w:eastAsia="zh-CN"/>
              </w:rPr>
              <w:t>项目技改后将设置12条造粒生产线，</w:t>
            </w:r>
            <w:r>
              <w:rPr>
                <w:rFonts w:hint="eastAsia" w:ascii="宋体" w:hAnsi="宋体" w:eastAsia="宋体" w:cs="宋体"/>
                <w:color w:val="auto"/>
                <w:kern w:val="0"/>
                <w:sz w:val="24"/>
                <w:szCs w:val="24"/>
                <w:lang w:val="en-US" w:eastAsia="zh-CN" w:bidi="ar"/>
              </w:rPr>
              <w:t>单条造粒生产线正常工作条件下产能约为4t/d，本项目年工作300天，</w:t>
            </w:r>
            <w:r>
              <w:rPr>
                <w:rFonts w:hint="eastAsia"/>
                <w:color w:val="auto"/>
                <w:sz w:val="24"/>
                <w:szCs w:val="24"/>
                <w:lang w:val="en-US" w:eastAsia="zh-CN"/>
              </w:rPr>
              <w:t>项目造粒机在实际生产中根据客户订单要求，仅部分生产线对应相应产品种类进行再生塑料粒子生产，项目实际产能为1万t，满足生产需求。</w:t>
            </w:r>
          </w:p>
          <w:p w14:paraId="208CCE5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200" w:right="0" w:rightChars="0"/>
              <w:textAlignment w:val="auto"/>
              <w:outlineLvl w:val="9"/>
              <w:rPr>
                <w:rFonts w:hint="default" w:ascii="Times New Roman" w:hAnsi="Times New Roman" w:eastAsia="宋体" w:cs="Times New Roman"/>
                <w:b/>
                <w:color w:val="auto"/>
                <w:sz w:val="24"/>
                <w:szCs w:val="24"/>
                <w:lang w:val="en-US" w:eastAsia="zh-CN"/>
              </w:rPr>
            </w:pPr>
            <w:r>
              <w:rPr>
                <w:rFonts w:hint="eastAsia" w:eastAsia="宋体" w:cs="Times New Roman"/>
                <w:b/>
                <w:color w:val="auto"/>
                <w:sz w:val="24"/>
                <w:szCs w:val="24"/>
                <w:lang w:val="en-US" w:eastAsia="zh-CN"/>
              </w:rPr>
              <w:t>6、</w:t>
            </w:r>
            <w:r>
              <w:rPr>
                <w:rFonts w:hint="default" w:ascii="Times New Roman" w:hAnsi="Times New Roman" w:eastAsia="宋体" w:cs="Times New Roman"/>
                <w:b/>
                <w:color w:val="auto"/>
                <w:sz w:val="24"/>
                <w:szCs w:val="24"/>
                <w:lang w:val="en-US" w:eastAsia="zh-CN"/>
              </w:rPr>
              <w:t>主要原辅材料</w:t>
            </w:r>
          </w:p>
          <w:p w14:paraId="38900E0E">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（1）根据建设单位提供资料，本项目主要原辅材料用量及来源具体见下表。</w:t>
            </w:r>
          </w:p>
          <w:p w14:paraId="10E1587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b/>
                <w:color w:val="auto"/>
                <w:sz w:val="21"/>
                <w:szCs w:val="21"/>
                <w:lang w:eastAsia="zh-CN"/>
              </w:rPr>
            </w:pPr>
            <w:r>
              <w:rPr>
                <w:b/>
                <w:color w:val="auto"/>
                <w:sz w:val="21"/>
                <w:szCs w:val="21"/>
              </w:rPr>
              <w:t>表</w:t>
            </w:r>
            <w:r>
              <w:rPr>
                <w:rFonts w:hint="eastAsia"/>
                <w:b/>
                <w:color w:val="auto"/>
                <w:sz w:val="21"/>
                <w:szCs w:val="21"/>
                <w:lang w:val="en-US" w:eastAsia="zh-CN"/>
              </w:rPr>
              <w:t>2-4</w:t>
            </w:r>
            <w:r>
              <w:rPr>
                <w:b/>
                <w:color w:val="auto"/>
                <w:sz w:val="21"/>
                <w:szCs w:val="21"/>
              </w:rPr>
              <w:t xml:space="preserve"> </w:t>
            </w:r>
            <w:r>
              <w:rPr>
                <w:rFonts w:hint="eastAsia"/>
                <w:b/>
                <w:color w:val="auto"/>
                <w:sz w:val="21"/>
                <w:szCs w:val="21"/>
                <w:lang w:val="en-US" w:eastAsia="zh-CN"/>
              </w:rPr>
              <w:t xml:space="preserve"> </w:t>
            </w:r>
            <w:r>
              <w:rPr>
                <w:b/>
                <w:color w:val="auto"/>
                <w:sz w:val="21"/>
                <w:szCs w:val="21"/>
              </w:rPr>
              <w:t xml:space="preserve">  </w:t>
            </w:r>
            <w:r>
              <w:rPr>
                <w:rFonts w:hint="eastAsia"/>
                <w:b/>
                <w:color w:val="auto"/>
                <w:sz w:val="21"/>
                <w:szCs w:val="21"/>
                <w:lang w:val="en-US" w:eastAsia="zh-CN"/>
              </w:rPr>
              <w:t>项目技改前后</w:t>
            </w:r>
            <w:r>
              <w:rPr>
                <w:rFonts w:hint="eastAsia"/>
                <w:b/>
                <w:color w:val="auto"/>
                <w:sz w:val="21"/>
                <w:szCs w:val="21"/>
                <w:lang w:eastAsia="zh-CN"/>
              </w:rPr>
              <w:t>主要原辅材料一览表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951"/>
              <w:gridCol w:w="1380"/>
              <w:gridCol w:w="1290"/>
              <w:gridCol w:w="1065"/>
              <w:gridCol w:w="1279"/>
            </w:tblGrid>
            <w:tr w14:paraId="368B5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371" w:type="pct"/>
                  <w:vMerge w:val="restart"/>
                  <w:noWrap w:val="0"/>
                  <w:vAlign w:val="center"/>
                </w:tcPr>
                <w:p w14:paraId="15306ED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b/>
                      <w:bCs/>
                      <w:color w:val="auto"/>
                      <w:sz w:val="21"/>
                      <w:szCs w:val="21"/>
                    </w:rPr>
                  </w:pPr>
                  <w:r>
                    <w:rPr>
                      <w:b/>
                      <w:bCs/>
                      <w:color w:val="auto"/>
                      <w:sz w:val="21"/>
                      <w:szCs w:val="21"/>
                    </w:rPr>
                    <w:t>类别</w:t>
                  </w:r>
                </w:p>
              </w:tc>
              <w:tc>
                <w:tcPr>
                  <w:tcW w:w="1297" w:type="pct"/>
                  <w:vMerge w:val="restart"/>
                  <w:noWrap w:val="0"/>
                  <w:vAlign w:val="center"/>
                </w:tcPr>
                <w:p w14:paraId="634FC2C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b/>
                      <w:bCs/>
                      <w:color w:val="auto"/>
                      <w:sz w:val="21"/>
                      <w:szCs w:val="21"/>
                    </w:rPr>
                  </w:pPr>
                  <w:r>
                    <w:rPr>
                      <w:b/>
                      <w:bCs/>
                      <w:color w:val="auto"/>
                      <w:sz w:val="21"/>
                      <w:szCs w:val="21"/>
                    </w:rPr>
                    <w:t>名称</w:t>
                  </w:r>
                </w:p>
              </w:tc>
              <w:tc>
                <w:tcPr>
                  <w:tcW w:w="1774" w:type="pct"/>
                  <w:gridSpan w:val="2"/>
                  <w:noWrap w:val="0"/>
                  <w:vAlign w:val="center"/>
                </w:tcPr>
                <w:p w14:paraId="73235737">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年用量</w:t>
                  </w:r>
                </w:p>
              </w:tc>
              <w:tc>
                <w:tcPr>
                  <w:tcW w:w="707" w:type="pct"/>
                  <w:vMerge w:val="restart"/>
                  <w:noWrap w:val="0"/>
                  <w:vAlign w:val="center"/>
                </w:tcPr>
                <w:p w14:paraId="697E22EA">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变化量</w:t>
                  </w:r>
                </w:p>
              </w:tc>
              <w:tc>
                <w:tcPr>
                  <w:tcW w:w="849" w:type="pct"/>
                  <w:vMerge w:val="restart"/>
                  <w:noWrap w:val="0"/>
                  <w:vAlign w:val="center"/>
                </w:tcPr>
                <w:p w14:paraId="6A0A91F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b/>
                      <w:bCs/>
                      <w:color w:val="auto"/>
                      <w:sz w:val="21"/>
                      <w:szCs w:val="21"/>
                      <w:lang w:eastAsia="zh-CN"/>
                    </w:rPr>
                  </w:pPr>
                  <w:r>
                    <w:rPr>
                      <w:rFonts w:hint="eastAsia"/>
                      <w:b/>
                      <w:bCs/>
                      <w:color w:val="auto"/>
                      <w:sz w:val="21"/>
                      <w:szCs w:val="21"/>
                      <w:lang w:eastAsia="zh-CN"/>
                    </w:rPr>
                    <w:t>备注</w:t>
                  </w:r>
                </w:p>
              </w:tc>
            </w:tr>
            <w:tr w14:paraId="72DCC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1" w:type="pct"/>
                  <w:vMerge w:val="continue"/>
                  <w:noWrap w:val="0"/>
                  <w:vAlign w:val="center"/>
                </w:tcPr>
                <w:p w14:paraId="24022FF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b/>
                      <w:bCs/>
                      <w:color w:val="auto"/>
                      <w:sz w:val="21"/>
                      <w:szCs w:val="21"/>
                    </w:rPr>
                  </w:pPr>
                </w:p>
              </w:tc>
              <w:tc>
                <w:tcPr>
                  <w:tcW w:w="1297" w:type="pct"/>
                  <w:vMerge w:val="continue"/>
                  <w:noWrap w:val="0"/>
                  <w:vAlign w:val="center"/>
                </w:tcPr>
                <w:p w14:paraId="4FFB85B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b/>
                      <w:bCs/>
                      <w:color w:val="auto"/>
                      <w:sz w:val="21"/>
                      <w:szCs w:val="21"/>
                    </w:rPr>
                  </w:pPr>
                </w:p>
              </w:tc>
              <w:tc>
                <w:tcPr>
                  <w:tcW w:w="916" w:type="pct"/>
                  <w:noWrap w:val="0"/>
                  <w:vAlign w:val="center"/>
                </w:tcPr>
                <w:p w14:paraId="6079E52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前</w:t>
                  </w:r>
                </w:p>
              </w:tc>
              <w:tc>
                <w:tcPr>
                  <w:tcW w:w="857" w:type="pct"/>
                  <w:noWrap w:val="0"/>
                  <w:vAlign w:val="center"/>
                </w:tcPr>
                <w:p w14:paraId="3741C96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后</w:t>
                  </w:r>
                </w:p>
              </w:tc>
              <w:tc>
                <w:tcPr>
                  <w:tcW w:w="707" w:type="pct"/>
                  <w:vMerge w:val="continue"/>
                  <w:noWrap w:val="0"/>
                  <w:vAlign w:val="center"/>
                </w:tcPr>
                <w:p w14:paraId="1593206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b/>
                      <w:bCs/>
                      <w:color w:val="auto"/>
                      <w:sz w:val="21"/>
                      <w:szCs w:val="21"/>
                      <w:lang w:eastAsia="zh-CN"/>
                    </w:rPr>
                  </w:pPr>
                </w:p>
              </w:tc>
              <w:tc>
                <w:tcPr>
                  <w:tcW w:w="849" w:type="pct"/>
                  <w:vMerge w:val="continue"/>
                  <w:noWrap w:val="0"/>
                  <w:vAlign w:val="center"/>
                </w:tcPr>
                <w:p w14:paraId="73161F1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b/>
                      <w:bCs/>
                      <w:color w:val="auto"/>
                      <w:sz w:val="21"/>
                      <w:szCs w:val="21"/>
                      <w:lang w:eastAsia="zh-CN"/>
                    </w:rPr>
                  </w:pPr>
                </w:p>
              </w:tc>
            </w:tr>
            <w:tr w14:paraId="6DF58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noWrap w:val="0"/>
                  <w:vAlign w:val="center"/>
                </w:tcPr>
                <w:p w14:paraId="7695B605">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kern w:val="0"/>
                      <w:sz w:val="21"/>
                      <w:szCs w:val="21"/>
                    </w:rPr>
                  </w:pPr>
                  <w:r>
                    <w:rPr>
                      <w:rFonts w:hint="eastAsia"/>
                      <w:color w:val="auto"/>
                      <w:sz w:val="21"/>
                      <w:szCs w:val="21"/>
                    </w:rPr>
                    <w:t>原辅料</w:t>
                  </w:r>
                </w:p>
              </w:tc>
              <w:tc>
                <w:tcPr>
                  <w:tcW w:w="1297" w:type="pct"/>
                  <w:shd w:val="clear" w:color="auto" w:fill="auto"/>
                  <w:noWrap w:val="0"/>
                  <w:vAlign w:val="center"/>
                </w:tcPr>
                <w:p w14:paraId="680FFF48">
                  <w:pPr>
                    <w:tabs>
                      <w:tab w:val="left" w:pos="2280"/>
                    </w:tabs>
                    <w:autoSpaceDE w:val="0"/>
                    <w:autoSpaceDN w:val="0"/>
                    <w:adjustRightInd w:val="0"/>
                    <w:jc w:val="center"/>
                    <w:rPr>
                      <w:rFonts w:hint="eastAsia" w:ascii="Times New Roman" w:hAnsi="Times New Roman" w:eastAsia="Times New Roman" w:cs="Times New Roman"/>
                      <w:color w:val="auto"/>
                      <w:kern w:val="0"/>
                      <w:sz w:val="21"/>
                      <w:szCs w:val="21"/>
                      <w:lang w:val="en-US" w:eastAsia="zh-CN" w:bidi="ar-SA"/>
                    </w:rPr>
                  </w:pPr>
                  <w:r>
                    <w:rPr>
                      <w:rFonts w:hint="eastAsia" w:hAnsi="宋体"/>
                      <w:color w:val="auto"/>
                      <w:kern w:val="0"/>
                      <w:szCs w:val="21"/>
                    </w:rPr>
                    <w:t>废PP塑料</w:t>
                  </w:r>
                </w:p>
              </w:tc>
              <w:tc>
                <w:tcPr>
                  <w:tcW w:w="916" w:type="pct"/>
                  <w:shd w:val="clear" w:color="auto" w:fill="auto"/>
                  <w:noWrap w:val="0"/>
                  <w:vAlign w:val="center"/>
                </w:tcPr>
                <w:p w14:paraId="1E36A408">
                  <w:pPr>
                    <w:tabs>
                      <w:tab w:val="left" w:pos="2280"/>
                    </w:tabs>
                    <w:autoSpaceDE w:val="0"/>
                    <w:autoSpaceDN w:val="0"/>
                    <w:adjustRightInd w:val="0"/>
                    <w:jc w:val="center"/>
                    <w:rPr>
                      <w:rFonts w:hint="eastAsia" w:ascii="Times New Roman" w:hAnsi="宋体" w:eastAsia="宋体" w:cs="Times New Roman"/>
                      <w:color w:val="auto"/>
                      <w:kern w:val="2"/>
                      <w:sz w:val="21"/>
                      <w:szCs w:val="21"/>
                      <w:lang w:val="en-US" w:eastAsia="zh-CN" w:bidi="ar-SA"/>
                    </w:rPr>
                  </w:pPr>
                  <w:r>
                    <w:rPr>
                      <w:rFonts w:hint="eastAsia" w:hAnsi="宋体"/>
                      <w:color w:val="auto"/>
                      <w:szCs w:val="21"/>
                    </w:rPr>
                    <w:t>6500</w:t>
                  </w:r>
                  <w:r>
                    <w:rPr>
                      <w:rFonts w:hint="eastAsia" w:hAnsi="宋体" w:eastAsia="宋体"/>
                      <w:color w:val="auto"/>
                      <w:szCs w:val="21"/>
                      <w:lang w:val="en-US" w:eastAsia="zh-CN"/>
                    </w:rPr>
                    <w:t>t</w:t>
                  </w:r>
                </w:p>
              </w:tc>
              <w:tc>
                <w:tcPr>
                  <w:tcW w:w="857" w:type="pct"/>
                  <w:shd w:val="clear" w:color="auto" w:fill="auto"/>
                  <w:noWrap w:val="0"/>
                  <w:vAlign w:val="center"/>
                </w:tcPr>
                <w:p w14:paraId="4A790511">
                  <w:pPr>
                    <w:tabs>
                      <w:tab w:val="left" w:pos="2280"/>
                    </w:tabs>
                    <w:autoSpaceDE w:val="0"/>
                    <w:autoSpaceDN w:val="0"/>
                    <w:adjustRightInd w:val="0"/>
                    <w:jc w:val="center"/>
                    <w:rPr>
                      <w:rFonts w:hint="eastAsia" w:ascii="Times New Roman" w:hAnsi="宋体" w:eastAsia="宋体" w:cs="Times New Roman"/>
                      <w:color w:val="auto"/>
                      <w:kern w:val="2"/>
                      <w:sz w:val="21"/>
                      <w:szCs w:val="21"/>
                      <w:lang w:val="en-US" w:eastAsia="zh-CN" w:bidi="ar-SA"/>
                    </w:rPr>
                  </w:pPr>
                  <w:r>
                    <w:rPr>
                      <w:rFonts w:hint="eastAsia" w:hAnsi="宋体" w:eastAsia="宋体"/>
                      <w:color w:val="auto"/>
                      <w:szCs w:val="21"/>
                      <w:lang w:val="en-US" w:eastAsia="zh-CN"/>
                    </w:rPr>
                    <w:t>56</w:t>
                  </w:r>
                  <w:r>
                    <w:rPr>
                      <w:rFonts w:hint="eastAsia" w:hAnsi="宋体"/>
                      <w:color w:val="auto"/>
                      <w:szCs w:val="21"/>
                    </w:rPr>
                    <w:t>00</w:t>
                  </w:r>
                  <w:r>
                    <w:rPr>
                      <w:rFonts w:hint="eastAsia" w:hAnsi="宋体" w:eastAsia="宋体"/>
                      <w:color w:val="auto"/>
                      <w:szCs w:val="21"/>
                      <w:lang w:val="en-US" w:eastAsia="zh-CN"/>
                    </w:rPr>
                    <w:t>t</w:t>
                  </w:r>
                </w:p>
              </w:tc>
              <w:tc>
                <w:tcPr>
                  <w:tcW w:w="707" w:type="pct"/>
                  <w:shd w:val="clear" w:color="auto" w:fill="auto"/>
                  <w:noWrap w:val="0"/>
                  <w:vAlign w:val="center"/>
                </w:tcPr>
                <w:p w14:paraId="5715A3C0">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-900</w:t>
                  </w:r>
                </w:p>
              </w:tc>
              <w:tc>
                <w:tcPr>
                  <w:tcW w:w="849" w:type="pct"/>
                  <w:shd w:val="clear" w:color="auto" w:fill="auto"/>
                  <w:noWrap w:val="0"/>
                  <w:vAlign w:val="center"/>
                </w:tcPr>
                <w:p w14:paraId="3D80987A">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zh-CN" w:eastAsia="zh-CN" w:bidi="ar-SA"/>
                    </w:rPr>
                  </w:pPr>
                  <w:r>
                    <w:rPr>
                      <w:rFonts w:hint="eastAsia" w:hAnsi="宋体"/>
                      <w:color w:val="auto"/>
                      <w:szCs w:val="21"/>
                      <w:lang w:val="zh-CN"/>
                    </w:rPr>
                    <w:t>外购汽运</w:t>
                  </w:r>
                </w:p>
              </w:tc>
            </w:tr>
            <w:tr w14:paraId="786FC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5890249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color w:val="auto"/>
                      <w:sz w:val="21"/>
                      <w:szCs w:val="21"/>
                    </w:rPr>
                  </w:pPr>
                </w:p>
              </w:tc>
              <w:tc>
                <w:tcPr>
                  <w:tcW w:w="1297" w:type="pct"/>
                  <w:shd w:val="clear" w:color="auto" w:fill="auto"/>
                  <w:noWrap w:val="0"/>
                  <w:vAlign w:val="center"/>
                </w:tcPr>
                <w:p w14:paraId="51BEC4EE">
                  <w:pPr>
                    <w:tabs>
                      <w:tab w:val="left" w:pos="2280"/>
                    </w:tabs>
                    <w:autoSpaceDE w:val="0"/>
                    <w:autoSpaceDN w:val="0"/>
                    <w:adjustRightInd w:val="0"/>
                    <w:jc w:val="center"/>
                    <w:rPr>
                      <w:rFonts w:hint="default" w:ascii="Times New Roman" w:hAnsi="宋体" w:eastAsia="Times New Roman" w:cs="Times New Roman"/>
                      <w:color w:val="auto"/>
                      <w:kern w:val="0"/>
                      <w:sz w:val="21"/>
                      <w:szCs w:val="21"/>
                      <w:lang w:val="en-US" w:eastAsia="zh-CN" w:bidi="ar-SA"/>
                    </w:rPr>
                  </w:pPr>
                  <w:r>
                    <w:rPr>
                      <w:rFonts w:hint="eastAsia" w:hAnsi="宋体"/>
                      <w:color w:val="auto"/>
                      <w:kern w:val="0"/>
                      <w:szCs w:val="21"/>
                    </w:rPr>
                    <w:t>废PE塑料</w:t>
                  </w:r>
                </w:p>
              </w:tc>
              <w:tc>
                <w:tcPr>
                  <w:tcW w:w="916" w:type="pct"/>
                  <w:shd w:val="clear" w:color="auto" w:fill="auto"/>
                  <w:noWrap w:val="0"/>
                  <w:vAlign w:val="center"/>
                </w:tcPr>
                <w:p w14:paraId="1B8B2E28">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6500</w:t>
                  </w:r>
                  <w:r>
                    <w:rPr>
                      <w:rFonts w:hint="eastAsia" w:hAnsi="宋体" w:eastAsia="宋体"/>
                      <w:color w:val="auto"/>
                      <w:szCs w:val="21"/>
                      <w:lang w:val="en-US" w:eastAsia="zh-CN"/>
                    </w:rPr>
                    <w:t>t</w:t>
                  </w:r>
                </w:p>
              </w:tc>
              <w:tc>
                <w:tcPr>
                  <w:tcW w:w="857" w:type="pct"/>
                  <w:shd w:val="clear" w:color="auto" w:fill="auto"/>
                  <w:noWrap w:val="0"/>
                  <w:vAlign w:val="center"/>
                </w:tcPr>
                <w:p w14:paraId="43753946">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eastAsia="宋体"/>
                      <w:color w:val="auto"/>
                      <w:szCs w:val="21"/>
                      <w:lang w:val="en-US" w:eastAsia="zh-CN"/>
                    </w:rPr>
                    <w:t>56</w:t>
                  </w:r>
                  <w:r>
                    <w:rPr>
                      <w:rFonts w:hint="eastAsia" w:hAnsi="宋体"/>
                      <w:color w:val="auto"/>
                      <w:szCs w:val="21"/>
                    </w:rPr>
                    <w:t>00</w:t>
                  </w:r>
                  <w:r>
                    <w:rPr>
                      <w:rFonts w:hint="eastAsia" w:hAnsi="宋体" w:eastAsia="宋体"/>
                      <w:color w:val="auto"/>
                      <w:szCs w:val="21"/>
                      <w:lang w:val="en-US" w:eastAsia="zh-CN"/>
                    </w:rPr>
                    <w:t>t</w:t>
                  </w:r>
                </w:p>
              </w:tc>
              <w:tc>
                <w:tcPr>
                  <w:tcW w:w="707" w:type="pct"/>
                  <w:shd w:val="clear" w:color="auto" w:fill="auto"/>
                  <w:noWrap w:val="0"/>
                  <w:vAlign w:val="center"/>
                </w:tcPr>
                <w:p w14:paraId="7D51DAA1">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-900</w:t>
                  </w:r>
                </w:p>
              </w:tc>
              <w:tc>
                <w:tcPr>
                  <w:tcW w:w="849" w:type="pct"/>
                  <w:shd w:val="clear" w:color="auto" w:fill="auto"/>
                  <w:noWrap w:val="0"/>
                  <w:vAlign w:val="center"/>
                </w:tcPr>
                <w:p w14:paraId="4C6A0EDA">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lang w:val="zh-CN"/>
                    </w:rPr>
                    <w:t>外购汽运</w:t>
                  </w:r>
                </w:p>
              </w:tc>
            </w:tr>
            <w:tr w14:paraId="0F00B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3DC9D7A9">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kern w:val="0"/>
                      <w:sz w:val="21"/>
                      <w:szCs w:val="21"/>
                    </w:rPr>
                  </w:pPr>
                </w:p>
              </w:tc>
              <w:tc>
                <w:tcPr>
                  <w:tcW w:w="1297" w:type="pct"/>
                  <w:shd w:val="clear" w:color="auto" w:fill="auto"/>
                  <w:noWrap w:val="0"/>
                  <w:vAlign w:val="center"/>
                </w:tcPr>
                <w:p w14:paraId="6FB5659F">
                  <w:pPr>
                    <w:tabs>
                      <w:tab w:val="left" w:pos="2280"/>
                    </w:tabs>
                    <w:autoSpaceDE w:val="0"/>
                    <w:autoSpaceDN w:val="0"/>
                    <w:adjustRightInd w:val="0"/>
                    <w:jc w:val="center"/>
                    <w:rPr>
                      <w:rFonts w:hint="default" w:hAnsi="宋体" w:eastAsia="宋体"/>
                      <w:color w:val="auto"/>
                      <w:kern w:val="0"/>
                      <w:szCs w:val="21"/>
                      <w:lang w:val="en-US" w:eastAsia="zh-CN"/>
                    </w:rPr>
                  </w:pPr>
                  <w:r>
                    <w:rPr>
                      <w:rFonts w:hint="eastAsia" w:hAnsi="宋体" w:eastAsia="宋体"/>
                      <w:color w:val="auto"/>
                      <w:kern w:val="0"/>
                      <w:szCs w:val="21"/>
                      <w:lang w:val="en-US" w:eastAsia="zh-CN"/>
                    </w:rPr>
                    <w:t>废ABS废塑料</w:t>
                  </w:r>
                </w:p>
              </w:tc>
              <w:tc>
                <w:tcPr>
                  <w:tcW w:w="916" w:type="pct"/>
                  <w:shd w:val="clear" w:color="auto" w:fill="auto"/>
                  <w:noWrap w:val="0"/>
                  <w:vAlign w:val="center"/>
                </w:tcPr>
                <w:p w14:paraId="4A42918E">
                  <w:pPr>
                    <w:tabs>
                      <w:tab w:val="left" w:pos="2280"/>
                    </w:tabs>
                    <w:autoSpaceDE w:val="0"/>
                    <w:autoSpaceDN w:val="0"/>
                    <w:adjustRightInd w:val="0"/>
                    <w:jc w:val="center"/>
                    <w:rPr>
                      <w:rFonts w:hint="eastAsia" w:hAnsi="宋体" w:eastAsia="宋体"/>
                      <w:color w:val="auto"/>
                      <w:szCs w:val="21"/>
                      <w:lang w:val="en-US" w:eastAsia="zh-CN"/>
                    </w:rPr>
                  </w:pPr>
                  <w:r>
                    <w:rPr>
                      <w:rFonts w:hint="eastAsia" w:hAnsi="宋体" w:eastAsia="宋体"/>
                      <w:color w:val="auto"/>
                      <w:szCs w:val="21"/>
                      <w:lang w:val="en-US" w:eastAsia="zh-CN"/>
                    </w:rPr>
                    <w:t>0</w:t>
                  </w:r>
                </w:p>
              </w:tc>
              <w:tc>
                <w:tcPr>
                  <w:tcW w:w="857" w:type="pct"/>
                  <w:shd w:val="clear" w:color="auto" w:fill="auto"/>
                  <w:noWrap w:val="0"/>
                  <w:vAlign w:val="center"/>
                </w:tcPr>
                <w:p w14:paraId="0974E125">
                  <w:pPr>
                    <w:tabs>
                      <w:tab w:val="left" w:pos="2280"/>
                    </w:tabs>
                    <w:autoSpaceDE w:val="0"/>
                    <w:autoSpaceDN w:val="0"/>
                    <w:adjustRightInd w:val="0"/>
                    <w:jc w:val="center"/>
                    <w:rPr>
                      <w:rFonts w:hint="default" w:hAnsi="宋体" w:eastAsia="宋体"/>
                      <w:color w:val="auto"/>
                      <w:szCs w:val="21"/>
                      <w:lang w:val="en-US" w:eastAsia="zh-CN"/>
                    </w:rPr>
                  </w:pPr>
                  <w:r>
                    <w:rPr>
                      <w:rFonts w:hint="eastAsia" w:hAnsi="宋体" w:eastAsia="宋体"/>
                      <w:color w:val="auto"/>
                      <w:szCs w:val="21"/>
                      <w:lang w:val="en-US" w:eastAsia="zh-CN"/>
                    </w:rPr>
                    <w:t>1300t</w:t>
                  </w:r>
                </w:p>
              </w:tc>
              <w:tc>
                <w:tcPr>
                  <w:tcW w:w="707" w:type="pct"/>
                  <w:shd w:val="clear" w:color="auto" w:fill="auto"/>
                  <w:noWrap w:val="0"/>
                  <w:vAlign w:val="center"/>
                </w:tcPr>
                <w:p w14:paraId="0E4D7DA1">
                  <w:pPr>
                    <w:tabs>
                      <w:tab w:val="left" w:pos="2280"/>
                    </w:tabs>
                    <w:autoSpaceDE w:val="0"/>
                    <w:autoSpaceDN w:val="0"/>
                    <w:adjustRightInd w:val="0"/>
                    <w:jc w:val="center"/>
                    <w:rPr>
                      <w:rFonts w:hint="eastAsia" w:hAnsi="宋体" w:cs="Times New Roman"/>
                      <w:color w:val="auto"/>
                      <w:kern w:val="2"/>
                      <w:sz w:val="21"/>
                      <w:szCs w:val="21"/>
                      <w:lang w:val="en-US" w:eastAsia="zh-CN" w:bidi="ar-SA"/>
                    </w:rPr>
                  </w:pPr>
                  <w:r>
                    <w:rPr>
                      <w:rFonts w:hint="eastAsia" w:hAnsi="宋体" w:eastAsia="宋体"/>
                      <w:color w:val="auto"/>
                      <w:szCs w:val="21"/>
                      <w:lang w:val="en-US" w:eastAsia="zh-CN"/>
                    </w:rPr>
                    <w:t>+1300t</w:t>
                  </w:r>
                </w:p>
              </w:tc>
              <w:tc>
                <w:tcPr>
                  <w:tcW w:w="849" w:type="pct"/>
                  <w:shd w:val="clear" w:color="auto" w:fill="auto"/>
                  <w:noWrap w:val="0"/>
                  <w:vAlign w:val="center"/>
                </w:tcPr>
                <w:p w14:paraId="17DF7ADE">
                  <w:pPr>
                    <w:tabs>
                      <w:tab w:val="left" w:pos="2280"/>
                    </w:tabs>
                    <w:autoSpaceDE w:val="0"/>
                    <w:autoSpaceDN w:val="0"/>
                    <w:adjustRightInd w:val="0"/>
                    <w:jc w:val="center"/>
                    <w:rPr>
                      <w:rFonts w:hint="eastAsia" w:hAnsi="宋体"/>
                      <w:color w:val="auto"/>
                      <w:szCs w:val="21"/>
                      <w:lang w:val="zh-CN"/>
                    </w:rPr>
                  </w:pPr>
                  <w:r>
                    <w:rPr>
                      <w:rFonts w:hint="eastAsia" w:hAnsi="宋体"/>
                      <w:color w:val="auto"/>
                      <w:szCs w:val="21"/>
                      <w:lang w:val="zh-CN"/>
                    </w:rPr>
                    <w:t>外购汽运</w:t>
                  </w:r>
                </w:p>
              </w:tc>
            </w:tr>
            <w:tr w14:paraId="05E17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78E7FB68">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kern w:val="0"/>
                      <w:sz w:val="21"/>
                      <w:szCs w:val="21"/>
                    </w:rPr>
                  </w:pPr>
                </w:p>
              </w:tc>
              <w:tc>
                <w:tcPr>
                  <w:tcW w:w="1297" w:type="pct"/>
                  <w:shd w:val="clear" w:color="auto" w:fill="auto"/>
                  <w:noWrap w:val="0"/>
                  <w:vAlign w:val="center"/>
                </w:tcPr>
                <w:p w14:paraId="51AF3596">
                  <w:pPr>
                    <w:tabs>
                      <w:tab w:val="left" w:pos="2280"/>
                    </w:tabs>
                    <w:autoSpaceDE w:val="0"/>
                    <w:autoSpaceDN w:val="0"/>
                    <w:adjustRightInd w:val="0"/>
                    <w:jc w:val="center"/>
                    <w:rPr>
                      <w:rFonts w:hint="eastAsia" w:ascii="Times New Roman" w:hAnsi="宋体" w:eastAsia="Times New Roman" w:cs="Times New Roman"/>
                      <w:color w:val="auto"/>
                      <w:kern w:val="0"/>
                      <w:sz w:val="21"/>
                      <w:szCs w:val="21"/>
                      <w:lang w:val="en-US" w:eastAsia="zh-CN" w:bidi="ar-SA"/>
                    </w:rPr>
                  </w:pPr>
                  <w:r>
                    <w:rPr>
                      <w:rFonts w:hint="eastAsia" w:hAnsi="宋体"/>
                      <w:color w:val="auto"/>
                      <w:kern w:val="0"/>
                      <w:szCs w:val="21"/>
                    </w:rPr>
                    <w:t>硅酸钙粉（添加剂）</w:t>
                  </w:r>
                </w:p>
              </w:tc>
              <w:tc>
                <w:tcPr>
                  <w:tcW w:w="916" w:type="pct"/>
                  <w:shd w:val="clear" w:color="auto" w:fill="auto"/>
                  <w:noWrap w:val="0"/>
                  <w:vAlign w:val="center"/>
                </w:tcPr>
                <w:p w14:paraId="794913B1">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50</w:t>
                  </w:r>
                  <w:r>
                    <w:rPr>
                      <w:rFonts w:hint="eastAsia" w:hAnsi="宋体" w:eastAsia="宋体"/>
                      <w:color w:val="auto"/>
                      <w:szCs w:val="21"/>
                      <w:lang w:val="en-US" w:eastAsia="zh-CN"/>
                    </w:rPr>
                    <w:t>t</w:t>
                  </w:r>
                </w:p>
              </w:tc>
              <w:tc>
                <w:tcPr>
                  <w:tcW w:w="857" w:type="pct"/>
                  <w:shd w:val="clear" w:color="auto" w:fill="auto"/>
                  <w:noWrap w:val="0"/>
                  <w:vAlign w:val="center"/>
                </w:tcPr>
                <w:p w14:paraId="58A726B5">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50</w:t>
                  </w:r>
                  <w:r>
                    <w:rPr>
                      <w:rFonts w:hint="eastAsia" w:hAnsi="宋体" w:eastAsia="宋体"/>
                      <w:color w:val="auto"/>
                      <w:szCs w:val="21"/>
                      <w:lang w:val="en-US" w:eastAsia="zh-CN"/>
                    </w:rPr>
                    <w:t>t</w:t>
                  </w:r>
                </w:p>
              </w:tc>
              <w:tc>
                <w:tcPr>
                  <w:tcW w:w="707" w:type="pct"/>
                  <w:shd w:val="clear" w:color="auto" w:fill="auto"/>
                  <w:noWrap w:val="0"/>
                  <w:vAlign w:val="center"/>
                </w:tcPr>
                <w:p w14:paraId="43A127C9">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w:t>
                  </w:r>
                </w:p>
              </w:tc>
              <w:tc>
                <w:tcPr>
                  <w:tcW w:w="849" w:type="pct"/>
                  <w:shd w:val="clear" w:color="auto" w:fill="auto"/>
                  <w:noWrap w:val="0"/>
                  <w:vAlign w:val="center"/>
                </w:tcPr>
                <w:p w14:paraId="3259AF13">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zh-CN" w:eastAsia="zh-CN" w:bidi="ar-SA"/>
                    </w:rPr>
                  </w:pPr>
                  <w:r>
                    <w:rPr>
                      <w:rFonts w:hint="eastAsia" w:hAnsi="宋体"/>
                      <w:color w:val="auto"/>
                      <w:szCs w:val="21"/>
                      <w:lang w:val="zh-CN"/>
                    </w:rPr>
                    <w:t>外购汽运</w:t>
                  </w:r>
                </w:p>
              </w:tc>
            </w:tr>
            <w:tr w14:paraId="7A414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4953C431">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kern w:val="0"/>
                      <w:sz w:val="21"/>
                      <w:szCs w:val="21"/>
                    </w:rPr>
                  </w:pPr>
                </w:p>
              </w:tc>
              <w:tc>
                <w:tcPr>
                  <w:tcW w:w="1297" w:type="pct"/>
                  <w:shd w:val="clear" w:color="auto" w:fill="auto"/>
                  <w:noWrap w:val="0"/>
                  <w:vAlign w:val="center"/>
                </w:tcPr>
                <w:p w14:paraId="69E81023">
                  <w:pPr>
                    <w:tabs>
                      <w:tab w:val="left" w:pos="2280"/>
                    </w:tabs>
                    <w:autoSpaceDE w:val="0"/>
                    <w:autoSpaceDN w:val="0"/>
                    <w:adjustRightInd w:val="0"/>
                    <w:jc w:val="center"/>
                    <w:rPr>
                      <w:rFonts w:hint="default" w:ascii="Times New Roman" w:hAnsi="宋体" w:eastAsia="Times New Roman"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工业盐</w:t>
                  </w:r>
                </w:p>
              </w:tc>
              <w:tc>
                <w:tcPr>
                  <w:tcW w:w="916" w:type="pct"/>
                  <w:shd w:val="clear" w:color="auto" w:fill="auto"/>
                  <w:noWrap w:val="0"/>
                  <w:vAlign w:val="center"/>
                </w:tcPr>
                <w:p w14:paraId="5D739338">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w:t>
                  </w:r>
                </w:p>
              </w:tc>
              <w:tc>
                <w:tcPr>
                  <w:tcW w:w="857" w:type="pct"/>
                  <w:shd w:val="clear" w:color="auto" w:fill="auto"/>
                  <w:noWrap w:val="0"/>
                  <w:vAlign w:val="center"/>
                </w:tcPr>
                <w:p w14:paraId="50881F9B">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0.5</w:t>
                  </w:r>
                  <w:r>
                    <w:rPr>
                      <w:rFonts w:hint="eastAsia" w:hAnsi="宋体" w:eastAsia="宋体"/>
                      <w:color w:val="auto"/>
                      <w:szCs w:val="21"/>
                      <w:lang w:val="en-US" w:eastAsia="zh-CN"/>
                    </w:rPr>
                    <w:t>t</w:t>
                  </w:r>
                </w:p>
              </w:tc>
              <w:tc>
                <w:tcPr>
                  <w:tcW w:w="707" w:type="pct"/>
                  <w:shd w:val="clear" w:color="auto" w:fill="auto"/>
                  <w:noWrap w:val="0"/>
                  <w:vAlign w:val="center"/>
                </w:tcPr>
                <w:p w14:paraId="674F54B0">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+0.5</w:t>
                  </w:r>
                  <w:r>
                    <w:rPr>
                      <w:rFonts w:hint="eastAsia" w:hAnsi="宋体" w:eastAsia="宋体"/>
                      <w:color w:val="auto"/>
                      <w:szCs w:val="21"/>
                      <w:lang w:val="en-US" w:eastAsia="zh-CN"/>
                    </w:rPr>
                    <w:t>t</w:t>
                  </w:r>
                </w:p>
              </w:tc>
              <w:tc>
                <w:tcPr>
                  <w:tcW w:w="849" w:type="pct"/>
                  <w:shd w:val="clear" w:color="auto" w:fill="auto"/>
                  <w:noWrap w:val="0"/>
                  <w:vAlign w:val="center"/>
                </w:tcPr>
                <w:p w14:paraId="734EBB72">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zh-CN" w:eastAsia="zh-CN" w:bidi="ar-SA"/>
                    </w:rPr>
                  </w:pPr>
                  <w:r>
                    <w:rPr>
                      <w:rFonts w:hint="eastAsia" w:hAnsi="宋体"/>
                      <w:color w:val="auto"/>
                      <w:szCs w:val="21"/>
                      <w:lang w:val="zh-CN"/>
                    </w:rPr>
                    <w:t>外购汽运</w:t>
                  </w:r>
                </w:p>
              </w:tc>
            </w:tr>
            <w:tr w14:paraId="7421B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7758BD16">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kern w:val="0"/>
                      <w:sz w:val="21"/>
                      <w:szCs w:val="21"/>
                    </w:rPr>
                  </w:pPr>
                </w:p>
              </w:tc>
              <w:tc>
                <w:tcPr>
                  <w:tcW w:w="1297" w:type="pct"/>
                  <w:shd w:val="clear" w:color="auto" w:fill="auto"/>
                  <w:noWrap w:val="0"/>
                  <w:vAlign w:val="center"/>
                </w:tcPr>
                <w:p w14:paraId="44D90CFA">
                  <w:pPr>
                    <w:ind w:left="-53" w:leftChars="-25" w:right="-53" w:rightChars="-25"/>
                    <w:jc w:val="center"/>
                    <w:rPr>
                      <w:rFonts w:hint="default" w:eastAsia="宋体"/>
                      <w:color w:val="auto"/>
                      <w:szCs w:val="21"/>
                      <w:lang w:val="en-US" w:eastAsia="zh-CN"/>
                    </w:rPr>
                  </w:pPr>
                  <w:r>
                    <w:rPr>
                      <w:rFonts w:hint="eastAsia" w:eastAsia="宋体"/>
                      <w:color w:val="auto"/>
                      <w:szCs w:val="21"/>
                      <w:lang w:val="en-US" w:eastAsia="zh-CN"/>
                    </w:rPr>
                    <w:t>白油</w:t>
                  </w:r>
                </w:p>
              </w:tc>
              <w:tc>
                <w:tcPr>
                  <w:tcW w:w="916" w:type="pct"/>
                  <w:shd w:val="clear" w:color="auto" w:fill="auto"/>
                  <w:noWrap w:val="0"/>
                  <w:vAlign w:val="center"/>
                </w:tcPr>
                <w:p w14:paraId="5088A77D">
                  <w:pPr>
                    <w:tabs>
                      <w:tab w:val="left" w:pos="2280"/>
                    </w:tabs>
                    <w:autoSpaceDE w:val="0"/>
                    <w:autoSpaceDN w:val="0"/>
                    <w:adjustRightInd w:val="0"/>
                    <w:jc w:val="center"/>
                    <w:rPr>
                      <w:rFonts w:hint="default"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w:t>
                  </w:r>
                </w:p>
              </w:tc>
              <w:tc>
                <w:tcPr>
                  <w:tcW w:w="857" w:type="pct"/>
                  <w:shd w:val="clear" w:color="auto" w:fill="auto"/>
                  <w:noWrap w:val="0"/>
                  <w:vAlign w:val="center"/>
                </w:tcPr>
                <w:p w14:paraId="20C8CD2D">
                  <w:pPr>
                    <w:tabs>
                      <w:tab w:val="left" w:pos="2280"/>
                    </w:tabs>
                    <w:autoSpaceDE w:val="0"/>
                    <w:autoSpaceDN w:val="0"/>
                    <w:adjustRightInd w:val="0"/>
                    <w:jc w:val="center"/>
                    <w:rPr>
                      <w:rFonts w:hint="default"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1</w:t>
                  </w:r>
                  <w:r>
                    <w:rPr>
                      <w:rFonts w:hint="eastAsia" w:hAnsi="宋体" w:eastAsia="宋体"/>
                      <w:color w:val="auto"/>
                      <w:szCs w:val="21"/>
                      <w:lang w:val="en-US" w:eastAsia="zh-CN"/>
                    </w:rPr>
                    <w:t>t</w:t>
                  </w:r>
                </w:p>
              </w:tc>
              <w:tc>
                <w:tcPr>
                  <w:tcW w:w="707" w:type="pct"/>
                  <w:shd w:val="clear" w:color="auto" w:fill="auto"/>
                  <w:noWrap w:val="0"/>
                  <w:vAlign w:val="center"/>
                </w:tcPr>
                <w:p w14:paraId="720AAD72">
                  <w:pPr>
                    <w:tabs>
                      <w:tab w:val="left" w:pos="2280"/>
                    </w:tabs>
                    <w:autoSpaceDE w:val="0"/>
                    <w:autoSpaceDN w:val="0"/>
                    <w:adjustRightInd w:val="0"/>
                    <w:jc w:val="center"/>
                    <w:rPr>
                      <w:rFonts w:hint="default" w:hAnsi="宋体"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+1</w:t>
                  </w:r>
                  <w:r>
                    <w:rPr>
                      <w:rFonts w:hint="eastAsia" w:hAnsi="宋体" w:eastAsia="宋体"/>
                      <w:color w:val="auto"/>
                      <w:szCs w:val="21"/>
                      <w:lang w:val="en-US" w:eastAsia="zh-CN"/>
                    </w:rPr>
                    <w:t>t</w:t>
                  </w:r>
                </w:p>
              </w:tc>
              <w:tc>
                <w:tcPr>
                  <w:tcW w:w="849" w:type="pct"/>
                  <w:shd w:val="clear" w:color="auto" w:fill="auto"/>
                  <w:noWrap w:val="0"/>
                  <w:vAlign w:val="center"/>
                </w:tcPr>
                <w:p w14:paraId="15E0EBAA">
                  <w:pPr>
                    <w:tabs>
                      <w:tab w:val="left" w:pos="2280"/>
                    </w:tabs>
                    <w:autoSpaceDE w:val="0"/>
                    <w:autoSpaceDN w:val="0"/>
                    <w:adjustRightInd w:val="0"/>
                    <w:jc w:val="center"/>
                    <w:rPr>
                      <w:rFonts w:hint="eastAsia" w:hAnsi="宋体" w:cs="Times New Roman"/>
                      <w:color w:val="auto"/>
                      <w:kern w:val="2"/>
                      <w:sz w:val="21"/>
                      <w:szCs w:val="21"/>
                      <w:lang w:val="en-US" w:eastAsia="zh-CN" w:bidi="ar-SA"/>
                    </w:rPr>
                  </w:pPr>
                  <w:r>
                    <w:rPr>
                      <w:rFonts w:hint="eastAsia" w:hAnsi="宋体"/>
                      <w:color w:val="auto"/>
                      <w:szCs w:val="21"/>
                      <w:lang w:val="zh-CN"/>
                    </w:rPr>
                    <w:t>外购汽运</w:t>
                  </w:r>
                </w:p>
              </w:tc>
            </w:tr>
            <w:tr w14:paraId="46515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24056290">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kern w:val="0"/>
                      <w:sz w:val="21"/>
                      <w:szCs w:val="21"/>
                    </w:rPr>
                  </w:pPr>
                </w:p>
              </w:tc>
              <w:tc>
                <w:tcPr>
                  <w:tcW w:w="1297" w:type="pct"/>
                  <w:shd w:val="clear" w:color="auto" w:fill="auto"/>
                  <w:noWrap w:val="0"/>
                  <w:vAlign w:val="center"/>
                </w:tcPr>
                <w:p w14:paraId="106B097D">
                  <w:pPr>
                    <w:ind w:left="-53" w:leftChars="-25" w:right="-53" w:rightChars="-25"/>
                    <w:jc w:val="center"/>
                    <w:rPr>
                      <w:rFonts w:hint="eastAsia" w:ascii="Times New Roman" w:hAnsi="Times New Roman" w:eastAsia="Times New Roman" w:cs="Times New Roman"/>
                      <w:color w:val="auto"/>
                      <w:kern w:val="2"/>
                      <w:sz w:val="21"/>
                      <w:szCs w:val="21"/>
                      <w:lang w:val="en-US" w:eastAsia="zh-CN" w:bidi="ar-SA"/>
                    </w:rPr>
                  </w:pPr>
                  <w:r>
                    <w:rPr>
                      <w:color w:val="auto"/>
                      <w:szCs w:val="21"/>
                    </w:rPr>
                    <w:t>聚合氯化铝（PAC）</w:t>
                  </w:r>
                </w:p>
              </w:tc>
              <w:tc>
                <w:tcPr>
                  <w:tcW w:w="916" w:type="pct"/>
                  <w:shd w:val="clear" w:color="auto" w:fill="auto"/>
                  <w:noWrap w:val="0"/>
                  <w:vAlign w:val="center"/>
                </w:tcPr>
                <w:p w14:paraId="668E8EA1">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w:t>
                  </w:r>
                </w:p>
              </w:tc>
              <w:tc>
                <w:tcPr>
                  <w:tcW w:w="857" w:type="pct"/>
                  <w:shd w:val="clear" w:color="auto" w:fill="auto"/>
                  <w:noWrap w:val="0"/>
                  <w:vAlign w:val="center"/>
                </w:tcPr>
                <w:p w14:paraId="651CF757">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1</w:t>
                  </w:r>
                  <w:r>
                    <w:rPr>
                      <w:rFonts w:hint="eastAsia" w:hAnsi="宋体" w:eastAsia="宋体"/>
                      <w:color w:val="auto"/>
                      <w:szCs w:val="21"/>
                      <w:lang w:val="en-US" w:eastAsia="zh-CN"/>
                    </w:rPr>
                    <w:t>t</w:t>
                  </w:r>
                </w:p>
              </w:tc>
              <w:tc>
                <w:tcPr>
                  <w:tcW w:w="707" w:type="pct"/>
                  <w:shd w:val="clear" w:color="auto" w:fill="auto"/>
                  <w:noWrap w:val="0"/>
                  <w:vAlign w:val="center"/>
                </w:tcPr>
                <w:p w14:paraId="1951E334">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+1</w:t>
                  </w:r>
                  <w:r>
                    <w:rPr>
                      <w:rFonts w:hint="eastAsia" w:hAnsi="宋体" w:eastAsia="宋体"/>
                      <w:color w:val="auto"/>
                      <w:szCs w:val="21"/>
                      <w:lang w:val="en-US" w:eastAsia="zh-CN"/>
                    </w:rPr>
                    <w:t>t</w:t>
                  </w:r>
                </w:p>
              </w:tc>
              <w:tc>
                <w:tcPr>
                  <w:tcW w:w="849" w:type="pct"/>
                  <w:shd w:val="clear" w:color="auto" w:fill="auto"/>
                  <w:noWrap w:val="0"/>
                  <w:vAlign w:val="center"/>
                </w:tcPr>
                <w:p w14:paraId="2EA3F512">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外购，废水处理用</w:t>
                  </w:r>
                </w:p>
              </w:tc>
            </w:tr>
            <w:tr w14:paraId="18CDD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444ED740">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kern w:val="0"/>
                      <w:sz w:val="21"/>
                      <w:szCs w:val="21"/>
                    </w:rPr>
                  </w:pPr>
                </w:p>
              </w:tc>
              <w:tc>
                <w:tcPr>
                  <w:tcW w:w="1297" w:type="pct"/>
                  <w:shd w:val="clear" w:color="auto" w:fill="auto"/>
                  <w:noWrap w:val="0"/>
                  <w:vAlign w:val="center"/>
                </w:tcPr>
                <w:p w14:paraId="2D050974">
                  <w:pPr>
                    <w:ind w:left="-53" w:leftChars="-25" w:right="-53" w:rightChars="-25"/>
                    <w:jc w:val="center"/>
                    <w:rPr>
                      <w:rFonts w:hint="eastAsia" w:ascii="Times New Roman" w:hAnsi="Times New Roman" w:eastAsia="Times New Roman" w:cs="Times New Roman"/>
                      <w:color w:val="auto"/>
                      <w:kern w:val="2"/>
                      <w:sz w:val="21"/>
                      <w:szCs w:val="21"/>
                      <w:lang w:val="en-US" w:eastAsia="zh-CN" w:bidi="ar-SA"/>
                    </w:rPr>
                  </w:pPr>
                  <w:r>
                    <w:rPr>
                      <w:color w:val="auto"/>
                      <w:szCs w:val="21"/>
                    </w:rPr>
                    <w:t>聚丙烯酰胺（PAM）</w:t>
                  </w:r>
                </w:p>
              </w:tc>
              <w:tc>
                <w:tcPr>
                  <w:tcW w:w="916" w:type="pct"/>
                  <w:shd w:val="clear" w:color="auto" w:fill="auto"/>
                  <w:noWrap w:val="0"/>
                  <w:vAlign w:val="center"/>
                </w:tcPr>
                <w:p w14:paraId="16AD633F">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w:t>
                  </w:r>
                </w:p>
              </w:tc>
              <w:tc>
                <w:tcPr>
                  <w:tcW w:w="857" w:type="pct"/>
                  <w:shd w:val="clear" w:color="auto" w:fill="auto"/>
                  <w:noWrap w:val="0"/>
                  <w:vAlign w:val="center"/>
                </w:tcPr>
                <w:p w14:paraId="252847BD">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0.5</w:t>
                  </w:r>
                  <w:r>
                    <w:rPr>
                      <w:rFonts w:hint="eastAsia" w:hAnsi="宋体" w:eastAsia="宋体"/>
                      <w:color w:val="auto"/>
                      <w:szCs w:val="21"/>
                      <w:lang w:val="en-US" w:eastAsia="zh-CN"/>
                    </w:rPr>
                    <w:t>t</w:t>
                  </w:r>
                </w:p>
              </w:tc>
              <w:tc>
                <w:tcPr>
                  <w:tcW w:w="707" w:type="pct"/>
                  <w:shd w:val="clear" w:color="auto" w:fill="auto"/>
                  <w:noWrap w:val="0"/>
                  <w:vAlign w:val="center"/>
                </w:tcPr>
                <w:p w14:paraId="675114FF">
                  <w:pPr>
                    <w:tabs>
                      <w:tab w:val="left" w:pos="2280"/>
                    </w:tabs>
                    <w:autoSpaceDE w:val="0"/>
                    <w:autoSpaceDN w:val="0"/>
                    <w:adjustRightInd w:val="0"/>
                    <w:jc w:val="center"/>
                    <w:rPr>
                      <w:rFonts w:hint="default" w:ascii="Times New Roman" w:hAnsi="宋体" w:eastAsia="Times New Roman" w:cs="Times New Roman"/>
                      <w:color w:val="auto"/>
                      <w:kern w:val="2"/>
                      <w:sz w:val="21"/>
                      <w:szCs w:val="21"/>
                      <w:lang w:val="en-US" w:eastAsia="zh-CN" w:bidi="ar-SA"/>
                    </w:rPr>
                  </w:pPr>
                  <w:r>
                    <w:rPr>
                      <w:rFonts w:hint="eastAsia" w:hAnsi="宋体" w:cs="Times New Roman"/>
                      <w:color w:val="auto"/>
                      <w:kern w:val="2"/>
                      <w:sz w:val="21"/>
                      <w:szCs w:val="21"/>
                      <w:lang w:val="en-US" w:eastAsia="zh-CN" w:bidi="ar-SA"/>
                    </w:rPr>
                    <w:t>+0.5</w:t>
                  </w:r>
                  <w:r>
                    <w:rPr>
                      <w:rFonts w:hint="eastAsia" w:hAnsi="宋体" w:eastAsia="宋体"/>
                      <w:color w:val="auto"/>
                      <w:szCs w:val="21"/>
                      <w:lang w:val="en-US" w:eastAsia="zh-CN"/>
                    </w:rPr>
                    <w:t>t</w:t>
                  </w:r>
                </w:p>
              </w:tc>
              <w:tc>
                <w:tcPr>
                  <w:tcW w:w="849" w:type="pct"/>
                  <w:shd w:val="clear" w:color="auto" w:fill="auto"/>
                  <w:noWrap w:val="0"/>
                  <w:vAlign w:val="center"/>
                </w:tcPr>
                <w:p w14:paraId="38833A27">
                  <w:pPr>
                    <w:tabs>
                      <w:tab w:val="left" w:pos="2280"/>
                    </w:tabs>
                    <w:autoSpaceDE w:val="0"/>
                    <w:autoSpaceDN w:val="0"/>
                    <w:adjustRightInd w:val="0"/>
                    <w:jc w:val="center"/>
                    <w:rPr>
                      <w:rFonts w:hint="eastAsia" w:ascii="Times New Roman" w:hAnsi="宋体" w:eastAsia="Times New Roman" w:cs="Times New Roman"/>
                      <w:color w:val="auto"/>
                      <w:kern w:val="2"/>
                      <w:sz w:val="21"/>
                      <w:szCs w:val="21"/>
                      <w:lang w:val="zh-CN" w:eastAsia="zh-CN" w:bidi="ar-SA"/>
                    </w:rPr>
                  </w:pPr>
                  <w:r>
                    <w:rPr>
                      <w:rFonts w:hint="eastAsia" w:hAnsi="宋体" w:cs="Times New Roman"/>
                      <w:color w:val="auto"/>
                      <w:kern w:val="2"/>
                      <w:sz w:val="21"/>
                      <w:szCs w:val="21"/>
                      <w:lang w:val="en-US" w:eastAsia="zh-CN" w:bidi="ar-SA"/>
                    </w:rPr>
                    <w:t>外购，废水处理用</w:t>
                  </w:r>
                </w:p>
              </w:tc>
            </w:tr>
            <w:tr w14:paraId="4AC8A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noWrap w:val="0"/>
                  <w:vAlign w:val="center"/>
                </w:tcPr>
                <w:p w14:paraId="4E522295">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能源</w:t>
                  </w:r>
                </w:p>
              </w:tc>
              <w:tc>
                <w:tcPr>
                  <w:tcW w:w="1297" w:type="pct"/>
                  <w:noWrap w:val="0"/>
                  <w:vAlign w:val="center"/>
                </w:tcPr>
                <w:p w14:paraId="109C759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sz w:val="21"/>
                      <w:szCs w:val="21"/>
                    </w:rPr>
                  </w:pPr>
                  <w:r>
                    <w:rPr>
                      <w:color w:val="auto"/>
                      <w:sz w:val="21"/>
                      <w:szCs w:val="21"/>
                    </w:rPr>
                    <w:t>电</w:t>
                  </w:r>
                </w:p>
              </w:tc>
              <w:tc>
                <w:tcPr>
                  <w:tcW w:w="916" w:type="pct"/>
                  <w:noWrap w:val="0"/>
                  <w:vAlign w:val="center"/>
                </w:tcPr>
                <w:p w14:paraId="20F38BF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10万kW·h</w:t>
                  </w:r>
                </w:p>
              </w:tc>
              <w:tc>
                <w:tcPr>
                  <w:tcW w:w="857" w:type="pct"/>
                  <w:shd w:val="clear" w:color="auto" w:fill="auto"/>
                  <w:noWrap w:val="0"/>
                  <w:vAlign w:val="center"/>
                </w:tcPr>
                <w:p w14:paraId="3DC382D2">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11万kW·h</w:t>
                  </w:r>
                </w:p>
              </w:tc>
              <w:tc>
                <w:tcPr>
                  <w:tcW w:w="707" w:type="pct"/>
                  <w:noWrap w:val="0"/>
                  <w:vAlign w:val="center"/>
                </w:tcPr>
                <w:p w14:paraId="766EEC2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+1万kW·</w:t>
                  </w:r>
                </w:p>
              </w:tc>
              <w:tc>
                <w:tcPr>
                  <w:tcW w:w="849" w:type="pct"/>
                  <w:shd w:val="clear" w:color="auto" w:fill="auto"/>
                  <w:noWrap w:val="0"/>
                  <w:vAlign w:val="center"/>
                </w:tcPr>
                <w:p w14:paraId="1D8FEB4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eastAsia="Times New Roman" w:cs="Times New Roman"/>
                      <w:color w:val="auto"/>
                      <w:kern w:val="2"/>
                      <w:sz w:val="21"/>
                      <w:szCs w:val="21"/>
                      <w:lang w:val="en-US" w:eastAsia="zh-CN" w:bidi="ar-SA"/>
                    </w:rPr>
                  </w:pPr>
                  <w:r>
                    <w:rPr>
                      <w:snapToGrid w:val="0"/>
                      <w:color w:val="auto"/>
                      <w:sz w:val="21"/>
                      <w:szCs w:val="21"/>
                    </w:rPr>
                    <w:t>市政供电</w:t>
                  </w:r>
                </w:p>
              </w:tc>
            </w:tr>
            <w:tr w14:paraId="2ABDB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noWrap w:val="0"/>
                  <w:vAlign w:val="center"/>
                </w:tcPr>
                <w:p w14:paraId="3CE2BD42">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color w:val="auto"/>
                      <w:sz w:val="21"/>
                      <w:szCs w:val="21"/>
                    </w:rPr>
                  </w:pPr>
                </w:p>
              </w:tc>
              <w:tc>
                <w:tcPr>
                  <w:tcW w:w="1297" w:type="pct"/>
                  <w:noWrap w:val="0"/>
                  <w:vAlign w:val="center"/>
                </w:tcPr>
                <w:p w14:paraId="5F03E6C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color w:val="auto"/>
                      <w:sz w:val="21"/>
                      <w:szCs w:val="21"/>
                    </w:rPr>
                  </w:pPr>
                  <w:r>
                    <w:rPr>
                      <w:color w:val="auto"/>
                      <w:sz w:val="21"/>
                      <w:szCs w:val="21"/>
                    </w:rPr>
                    <w:t>新鲜水</w:t>
                  </w:r>
                </w:p>
              </w:tc>
              <w:tc>
                <w:tcPr>
                  <w:tcW w:w="916" w:type="pct"/>
                  <w:noWrap w:val="0"/>
                  <w:vAlign w:val="center"/>
                </w:tcPr>
                <w:p w14:paraId="12562ED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2259m</w:t>
                  </w:r>
                  <w:r>
                    <w:rPr>
                      <w:rFonts w:hint="eastAsia" w:eastAsia="宋体"/>
                      <w:color w:val="auto"/>
                      <w:sz w:val="21"/>
                      <w:szCs w:val="21"/>
                      <w:vertAlign w:val="superscript"/>
                      <w:lang w:val="en-US" w:eastAsia="zh-CN"/>
                    </w:rPr>
                    <w:t>3</w:t>
                  </w:r>
                </w:p>
              </w:tc>
              <w:tc>
                <w:tcPr>
                  <w:tcW w:w="857" w:type="pct"/>
                  <w:shd w:val="clear" w:color="auto" w:fill="auto"/>
                  <w:noWrap w:val="0"/>
                  <w:vAlign w:val="center"/>
                </w:tcPr>
                <w:p w14:paraId="23D10156">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yellow"/>
                      <w:lang w:val="en-US" w:eastAsia="zh-CN" w:bidi="ar-SA"/>
                    </w:rPr>
                  </w:pPr>
                  <w:r>
                    <w:rPr>
                      <w:rFonts w:hint="eastAsia" w:eastAsia="宋体"/>
                      <w:color w:val="auto"/>
                      <w:sz w:val="21"/>
                      <w:szCs w:val="21"/>
                      <w:highlight w:val="none"/>
                      <w:lang w:val="en-US" w:eastAsia="zh-CN"/>
                    </w:rPr>
                    <w:t>2592m</w:t>
                  </w:r>
                  <w:r>
                    <w:rPr>
                      <w:rFonts w:hint="eastAsia" w:eastAsia="宋体"/>
                      <w:color w:val="auto"/>
                      <w:sz w:val="21"/>
                      <w:szCs w:val="21"/>
                      <w:highlight w:val="none"/>
                      <w:vertAlign w:val="superscript"/>
                      <w:lang w:val="en-US" w:eastAsia="zh-CN"/>
                    </w:rPr>
                    <w:t>3</w:t>
                  </w:r>
                </w:p>
              </w:tc>
              <w:tc>
                <w:tcPr>
                  <w:tcW w:w="707" w:type="pct"/>
                  <w:noWrap w:val="0"/>
                  <w:vAlign w:val="center"/>
                </w:tcPr>
                <w:p w14:paraId="69AF844A">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+333</w:t>
                  </w:r>
                </w:p>
              </w:tc>
              <w:tc>
                <w:tcPr>
                  <w:tcW w:w="849" w:type="pct"/>
                  <w:shd w:val="clear" w:color="auto" w:fill="auto"/>
                  <w:noWrap w:val="0"/>
                  <w:vAlign w:val="center"/>
                </w:tcPr>
                <w:p w14:paraId="18453C5A">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eastAsia="Times New Roman" w:cs="Times New Roman"/>
                      <w:color w:val="auto"/>
                      <w:kern w:val="2"/>
                      <w:sz w:val="21"/>
                      <w:szCs w:val="21"/>
                      <w:lang w:val="en-US" w:eastAsia="zh-CN" w:bidi="ar-SA"/>
                    </w:rPr>
                  </w:pPr>
                  <w:r>
                    <w:rPr>
                      <w:color w:val="auto"/>
                      <w:sz w:val="21"/>
                      <w:szCs w:val="21"/>
                    </w:rPr>
                    <w:t>市政供水</w:t>
                  </w:r>
                </w:p>
              </w:tc>
            </w:tr>
          </w:tbl>
          <w:p w14:paraId="36AB6250">
            <w:pPr>
              <w:pageBreakBefore w:val="0"/>
              <w:numPr>
                <w:ilvl w:val="0"/>
                <w:numId w:val="7"/>
              </w:numPr>
              <w:topLinePunct w:val="0"/>
              <w:bidi w:val="0"/>
              <w:adjustRightInd/>
              <w:snapToGrid/>
              <w:spacing w:beforeAutospacing="0" w:afterAutospacing="0" w:line="360" w:lineRule="auto"/>
              <w:ind w:left="0" w:leftChars="0" w:right="0" w:rightChars="0" w:firstLine="480" w:firstLineChars="20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废塑料来源控制：</w:t>
            </w:r>
          </w:p>
          <w:p w14:paraId="46DA2C65">
            <w:pPr>
              <w:spacing w:line="360" w:lineRule="auto"/>
              <w:ind w:firstLine="480"/>
              <w:rPr>
                <w:color w:val="auto"/>
                <w:sz w:val="24"/>
              </w:rPr>
            </w:pPr>
            <w:r>
              <w:rPr>
                <w:rFonts w:hint="eastAsia"/>
                <w:color w:val="auto"/>
                <w:sz w:val="24"/>
              </w:rPr>
              <w:t>根据《废塑料回收与再生利用污染控制技术规范》（HJT364-2007）要求：“废塑料的回收应按原料树脂种类进行分类回收，并严格区分废塑料来源和原用途。不得回收和再生利用属于医疗废物和危险废物的废塑料。含卤素废塑料的回收和再生利用应与其他废塑料分开进行。”</w:t>
            </w:r>
          </w:p>
          <w:p w14:paraId="31AD180C">
            <w:pPr>
              <w:spacing w:line="360" w:lineRule="auto"/>
              <w:ind w:firstLine="480"/>
              <w:rPr>
                <w:color w:val="auto"/>
                <w:sz w:val="24"/>
              </w:rPr>
            </w:pPr>
            <w:r>
              <w:rPr>
                <w:rFonts w:hint="eastAsia"/>
                <w:color w:val="auto"/>
                <w:sz w:val="24"/>
              </w:rPr>
              <w:t>项目再生造粒所用原料主要来源于</w:t>
            </w:r>
            <w:r>
              <w:rPr>
                <w:rFonts w:hint="eastAsia" w:eastAsia="宋体"/>
                <w:color w:val="auto"/>
                <w:sz w:val="24"/>
                <w:lang w:val="en-US" w:eastAsia="zh-CN"/>
              </w:rPr>
              <w:t>日用家电、玩具塑料件，</w:t>
            </w:r>
            <w:r>
              <w:rPr>
                <w:rFonts w:hint="eastAsia"/>
                <w:color w:val="auto"/>
                <w:sz w:val="24"/>
              </w:rPr>
              <w:t>造纸企业废纸和编织袋，</w:t>
            </w:r>
            <w:r>
              <w:rPr>
                <w:rFonts w:hint="eastAsia" w:ascii="宋体" w:cs="宋体"/>
                <w:color w:val="auto"/>
                <w:kern w:val="0"/>
                <w:sz w:val="24"/>
              </w:rPr>
              <w:t>汽车保险杠</w:t>
            </w:r>
            <w:r>
              <w:rPr>
                <w:rFonts w:hint="eastAsia"/>
                <w:color w:val="auto"/>
                <w:sz w:val="24"/>
              </w:rPr>
              <w:t>等，所用废塑料成份主要属于PP、PE</w:t>
            </w:r>
            <w:r>
              <w:rPr>
                <w:rFonts w:hint="eastAsia" w:eastAsia="宋体"/>
                <w:color w:val="auto"/>
                <w:sz w:val="24"/>
                <w:lang w:eastAsia="zh-CN"/>
              </w:rPr>
              <w:t>、</w:t>
            </w:r>
            <w:r>
              <w:rPr>
                <w:rFonts w:hint="eastAsia" w:eastAsia="宋体"/>
                <w:color w:val="auto"/>
                <w:sz w:val="24"/>
                <w:lang w:val="en-US" w:eastAsia="zh-CN"/>
              </w:rPr>
              <w:t>ABS</w:t>
            </w:r>
            <w:r>
              <w:rPr>
                <w:rFonts w:hint="eastAsia"/>
                <w:color w:val="auto"/>
                <w:sz w:val="24"/>
              </w:rPr>
              <w:t>，不采购涉及含卤素废塑料。不涉及采用进口废塑料，</w:t>
            </w:r>
            <w:r>
              <w:rPr>
                <w:rFonts w:hint="eastAsia" w:hAnsi="宋体"/>
                <w:bCs/>
                <w:color w:val="auto"/>
                <w:sz w:val="24"/>
              </w:rPr>
              <w:t>项目造粒生产</w:t>
            </w:r>
            <w:r>
              <w:rPr>
                <w:rFonts w:hint="eastAsia"/>
                <w:color w:val="auto"/>
                <w:sz w:val="24"/>
              </w:rPr>
              <w:t>不涉及使用废塑料类危险废物作为原料，包括被危险化学品、农药等污染的废弃塑料包装物，废弃的一次性医疗用塑料制品（如输液器、血袋），盛装农药、废燃料、强酸、强碱的废塑料等。项目按照PP、PE</w:t>
            </w:r>
            <w:r>
              <w:rPr>
                <w:rFonts w:hint="eastAsia" w:eastAsia="宋体"/>
                <w:color w:val="auto"/>
                <w:sz w:val="24"/>
                <w:lang w:eastAsia="zh-CN"/>
              </w:rPr>
              <w:t>、</w:t>
            </w:r>
            <w:r>
              <w:rPr>
                <w:rFonts w:hint="eastAsia" w:eastAsia="宋体"/>
                <w:color w:val="auto"/>
                <w:sz w:val="24"/>
                <w:lang w:val="en-US" w:eastAsia="zh-CN"/>
              </w:rPr>
              <w:t>ABS</w:t>
            </w:r>
            <w:r>
              <w:rPr>
                <w:rFonts w:hint="eastAsia"/>
                <w:color w:val="auto"/>
                <w:sz w:val="24"/>
              </w:rPr>
              <w:t>分类采购，对原材料的质量进行严格控制。</w:t>
            </w:r>
          </w:p>
          <w:p w14:paraId="2EEEB2D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rPr>
                <w:rFonts w:hint="eastAsia"/>
                <w:color w:val="auto"/>
                <w:sz w:val="24"/>
              </w:rPr>
            </w:pPr>
            <w:r>
              <w:rPr>
                <w:rFonts w:hint="eastAsia"/>
                <w:color w:val="auto"/>
                <w:sz w:val="24"/>
              </w:rPr>
              <w:t>综上所述，项目严控原料来源条件下，建设单位需对外购废塑料来源、储存、生产及产品去向进行严格控制并做好台账，保证全生产过程符合生产工艺及相关环保规范的要求。</w:t>
            </w:r>
          </w:p>
          <w:p w14:paraId="13B77F40">
            <w:pPr>
              <w:pageBreakBefore w:val="0"/>
              <w:topLinePunct w:val="0"/>
              <w:bidi w:val="0"/>
              <w:adjustRightInd/>
              <w:snapToGrid/>
              <w:spacing w:beforeAutospacing="0" w:afterAutospacing="0" w:line="360" w:lineRule="auto"/>
              <w:ind w:left="0" w:leftChars="0" w:right="0" w:rightChars="0" w:firstLine="480" w:firstLineChars="200"/>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3）</w:t>
            </w:r>
            <w:r>
              <w:rPr>
                <w:rFonts w:hint="eastAsia" w:asciiTheme="minorEastAsia" w:hAnsiTheme="minorEastAsia" w:eastAsiaTheme="minorEastAsia" w:cstheme="minorEastAsia"/>
                <w:b w:val="0"/>
                <w:bCs w:val="0"/>
                <w:color w:val="auto"/>
                <w:sz w:val="24"/>
                <w:szCs w:val="24"/>
                <w:lang w:eastAsia="zh-CN"/>
              </w:rPr>
              <w:t>主要原辅料理化性质：</w:t>
            </w:r>
          </w:p>
          <w:p w14:paraId="55A2688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cs="Times New Roman"/>
                <w:b/>
                <w:color w:val="auto"/>
                <w:sz w:val="21"/>
                <w:szCs w:val="21"/>
                <w:lang w:eastAsia="zh-CN"/>
              </w:rPr>
            </w:pPr>
            <w:r>
              <w:rPr>
                <w:rFonts w:hint="eastAsia"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2-</w:t>
            </w:r>
            <w:r>
              <w:rPr>
                <w:rFonts w:hint="eastAsia" w:cs="Times New Roman"/>
                <w:b/>
                <w:color w:val="auto"/>
                <w:sz w:val="21"/>
                <w:szCs w:val="21"/>
                <w:lang w:val="en-US" w:eastAsia="zh-CN"/>
              </w:rPr>
              <w:t>5</w:t>
            </w:r>
            <w:r>
              <w:rPr>
                <w:rFonts w:hint="eastAsia" w:ascii="Times New Roman" w:hAnsi="Times New Roman" w:eastAsia="宋体" w:cs="Times New Roman"/>
                <w:b/>
                <w:color w:val="auto"/>
                <w:sz w:val="21"/>
                <w:szCs w:val="21"/>
                <w:lang w:val="en-US" w:eastAsia="zh-CN"/>
              </w:rPr>
              <w:t xml:space="preserve">    </w:t>
            </w:r>
            <w:r>
              <w:rPr>
                <w:rFonts w:hint="eastAsia" w:cs="Times New Roman"/>
                <w:b/>
                <w:color w:val="auto"/>
                <w:sz w:val="21"/>
                <w:szCs w:val="21"/>
                <w:lang w:eastAsia="zh-CN"/>
              </w:rPr>
              <w:t>部分原辅料主要成分的理化性质</w:t>
            </w:r>
          </w:p>
          <w:tbl>
            <w:tblPr>
              <w:tblStyle w:val="22"/>
              <w:tblW w:w="752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6464"/>
            </w:tblGrid>
            <w:tr w14:paraId="035A2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tcBorders>
                    <w:tl2br w:val="nil"/>
                    <w:tr2bl w:val="nil"/>
                  </w:tcBorders>
                  <w:vAlign w:val="center"/>
                </w:tcPr>
                <w:p w14:paraId="16A7A1F2">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成分名称</w:t>
                  </w:r>
                </w:p>
              </w:tc>
              <w:tc>
                <w:tcPr>
                  <w:tcW w:w="6464" w:type="dxa"/>
                  <w:tcBorders>
                    <w:tl2br w:val="nil"/>
                    <w:tr2bl w:val="nil"/>
                  </w:tcBorders>
                  <w:vAlign w:val="center"/>
                </w:tcPr>
                <w:p w14:paraId="78CEE48A">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eastAsia" w:eastAsia="宋体"/>
                      <w:color w:val="auto"/>
                      <w:sz w:val="21"/>
                      <w:szCs w:val="21"/>
                      <w:vertAlign w:val="baseline"/>
                      <w:lang w:eastAsia="zh-CN"/>
                    </w:rPr>
                  </w:pPr>
                  <w:r>
                    <w:rPr>
                      <w:rFonts w:hint="eastAsia"/>
                      <w:color w:val="auto"/>
                      <w:sz w:val="21"/>
                      <w:szCs w:val="21"/>
                      <w:vertAlign w:val="baseline"/>
                      <w:lang w:eastAsia="zh-CN"/>
                    </w:rPr>
                    <w:t>理化性质</w:t>
                  </w:r>
                </w:p>
              </w:tc>
            </w:tr>
            <w:tr w14:paraId="0BFEE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tcBorders>
                    <w:tl2br w:val="nil"/>
                    <w:tr2bl w:val="nil"/>
                  </w:tcBorders>
                  <w:vAlign w:val="center"/>
                </w:tcPr>
                <w:p w14:paraId="7D83EC5A">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eastAsia" w:eastAsia="宋体"/>
                      <w:color w:val="auto"/>
                      <w:sz w:val="21"/>
                      <w:szCs w:val="21"/>
                      <w:vertAlign w:val="baseline"/>
                      <w:lang w:val="en-US" w:eastAsia="zh-CN"/>
                    </w:rPr>
                  </w:pPr>
                  <w:r>
                    <w:rPr>
                      <w:color w:val="auto"/>
                      <w:sz w:val="21"/>
                      <w:szCs w:val="21"/>
                    </w:rPr>
                    <w:t>PP</w:t>
                  </w:r>
                  <w:r>
                    <w:rPr>
                      <w:rFonts w:hint="eastAsia"/>
                      <w:color w:val="auto"/>
                      <w:sz w:val="21"/>
                      <w:szCs w:val="21"/>
                      <w:lang w:val="en-US" w:eastAsia="zh-CN"/>
                    </w:rPr>
                    <w:t>塑料</w:t>
                  </w:r>
                </w:p>
              </w:tc>
              <w:tc>
                <w:tcPr>
                  <w:tcW w:w="6464" w:type="dxa"/>
                  <w:tcBorders>
                    <w:tl2br w:val="nil"/>
                    <w:tr2bl w:val="nil"/>
                  </w:tcBorders>
                  <w:vAlign w:val="center"/>
                </w:tcPr>
                <w:p w14:paraId="2050028F">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both"/>
                    <w:textAlignment w:val="auto"/>
                    <w:rPr>
                      <w:rFonts w:hint="default" w:ascii="Times New Roman" w:hAnsi="Times New Roman" w:cs="Times New Roman"/>
                      <w:color w:val="auto"/>
                      <w:sz w:val="21"/>
                      <w:szCs w:val="21"/>
                      <w:vertAlign w:val="baseline"/>
                    </w:rPr>
                  </w:pPr>
                  <w:r>
                    <w:rPr>
                      <w:rFonts w:hint="eastAsia"/>
                      <w:color w:val="auto"/>
                      <w:kern w:val="0"/>
                      <w:sz w:val="21"/>
                      <w:szCs w:val="21"/>
                    </w:rPr>
                    <w:t>聚丙烯（polypropylene）简称PP，一种热塑性树脂，无色、无臭、无味，密度0.9</w:t>
                  </w:r>
                  <w:r>
                    <w:rPr>
                      <w:rFonts w:hAnsi="宋体"/>
                      <w:color w:val="auto"/>
                      <w:kern w:val="0"/>
                      <w:sz w:val="21"/>
                      <w:szCs w:val="21"/>
                    </w:rPr>
                    <w:t>～</w:t>
                  </w:r>
                  <w:r>
                    <w:rPr>
                      <w:rFonts w:hint="eastAsia" w:hAnsi="宋体"/>
                      <w:color w:val="auto"/>
                      <w:kern w:val="0"/>
                      <w:sz w:val="21"/>
                      <w:szCs w:val="21"/>
                    </w:rPr>
                    <w:t>0.91，耐热性高，使用温度范围-30</w:t>
                  </w:r>
                  <w:r>
                    <w:rPr>
                      <w:rFonts w:hAnsi="宋体"/>
                      <w:color w:val="auto"/>
                      <w:kern w:val="0"/>
                      <w:sz w:val="21"/>
                      <w:szCs w:val="21"/>
                    </w:rPr>
                    <w:t>～</w:t>
                  </w:r>
                  <w:r>
                    <w:rPr>
                      <w:rFonts w:hint="eastAsia" w:hAnsi="宋体"/>
                      <w:color w:val="auto"/>
                      <w:kern w:val="0"/>
                      <w:sz w:val="21"/>
                      <w:szCs w:val="21"/>
                    </w:rPr>
                    <w:t>1440℃。韧性和耐化学腐蚀性都很好。但耐低温冲击性差，较易老化，是一种通用塑料</w:t>
                  </w:r>
                  <w:r>
                    <w:rPr>
                      <w:rFonts w:hAnsi="宋体"/>
                      <w:color w:val="auto"/>
                      <w:kern w:val="0"/>
                      <w:sz w:val="21"/>
                      <w:szCs w:val="21"/>
                    </w:rPr>
                    <w:t>。</w:t>
                  </w:r>
                </w:p>
              </w:tc>
            </w:tr>
            <w:tr w14:paraId="1D172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tcBorders>
                    <w:tl2br w:val="nil"/>
                    <w:tr2bl w:val="nil"/>
                  </w:tcBorders>
                  <w:vAlign w:val="center"/>
                </w:tcPr>
                <w:p w14:paraId="3FCBD29B">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eastAsia" w:eastAsia="宋体"/>
                      <w:color w:val="auto"/>
                      <w:sz w:val="21"/>
                      <w:szCs w:val="21"/>
                      <w:vertAlign w:val="baseline"/>
                      <w:lang w:eastAsia="zh-CN"/>
                    </w:rPr>
                  </w:pPr>
                  <w:r>
                    <w:rPr>
                      <w:color w:val="auto"/>
                      <w:sz w:val="21"/>
                      <w:szCs w:val="21"/>
                    </w:rPr>
                    <w:t>PE</w:t>
                  </w:r>
                  <w:r>
                    <w:rPr>
                      <w:rFonts w:hint="eastAsia"/>
                      <w:color w:val="auto"/>
                      <w:sz w:val="21"/>
                      <w:szCs w:val="21"/>
                      <w:lang w:val="en-US" w:eastAsia="zh-CN"/>
                    </w:rPr>
                    <w:t>塑料</w:t>
                  </w:r>
                </w:p>
              </w:tc>
              <w:tc>
                <w:tcPr>
                  <w:tcW w:w="6464" w:type="dxa"/>
                  <w:tcBorders>
                    <w:tl2br w:val="nil"/>
                    <w:tr2bl w:val="nil"/>
                  </w:tcBorders>
                  <w:vAlign w:val="center"/>
                </w:tcPr>
                <w:p w14:paraId="73AACB5B">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both"/>
                    <w:textAlignment w:val="auto"/>
                    <w:rPr>
                      <w:rFonts w:hint="default" w:ascii="Times New Roman" w:hAnsi="Times New Roman" w:cs="Times New Roman"/>
                      <w:color w:val="auto"/>
                      <w:sz w:val="21"/>
                      <w:szCs w:val="21"/>
                      <w:vertAlign w:val="baseline"/>
                    </w:rPr>
                  </w:pPr>
                  <w:r>
                    <w:rPr>
                      <w:rFonts w:hint="eastAsia"/>
                      <w:color w:val="auto"/>
                      <w:kern w:val="0"/>
                      <w:sz w:val="21"/>
                      <w:szCs w:val="21"/>
                    </w:rPr>
                    <w:t>英文名：Polythylene，简称PE，在塑料总产量中占20%，居首位。PE为乳白色半透明至不透明的热塑性树脂。以密度的大小分为：低密度聚乙烯（LDPE），密度为0.910</w:t>
                  </w:r>
                  <w:r>
                    <w:rPr>
                      <w:rFonts w:hAnsi="宋体"/>
                      <w:color w:val="auto"/>
                      <w:kern w:val="0"/>
                      <w:sz w:val="21"/>
                      <w:szCs w:val="21"/>
                    </w:rPr>
                    <w:t>～</w:t>
                  </w:r>
                  <w:r>
                    <w:rPr>
                      <w:rFonts w:hint="eastAsia" w:hAnsi="宋体"/>
                      <w:color w:val="auto"/>
                      <w:kern w:val="0"/>
                      <w:sz w:val="21"/>
                      <w:szCs w:val="21"/>
                    </w:rPr>
                    <w:t>0.925g/cm</w:t>
                  </w:r>
                  <w:r>
                    <w:rPr>
                      <w:rFonts w:hint="eastAsia" w:hAnsi="宋体"/>
                      <w:color w:val="auto"/>
                      <w:kern w:val="0"/>
                      <w:sz w:val="21"/>
                      <w:szCs w:val="21"/>
                      <w:vertAlign w:val="superscript"/>
                    </w:rPr>
                    <w:t>2</w:t>
                  </w:r>
                  <w:r>
                    <w:rPr>
                      <w:rFonts w:hint="eastAsia" w:hAnsi="宋体"/>
                      <w:color w:val="auto"/>
                      <w:kern w:val="0"/>
                      <w:sz w:val="21"/>
                      <w:szCs w:val="21"/>
                    </w:rPr>
                    <w:t>；高密度聚乙烯（HDPE），密度为0.941</w:t>
                  </w:r>
                  <w:r>
                    <w:rPr>
                      <w:rFonts w:hAnsi="宋体"/>
                      <w:color w:val="auto"/>
                      <w:kern w:val="0"/>
                      <w:sz w:val="21"/>
                      <w:szCs w:val="21"/>
                    </w:rPr>
                    <w:t>～</w:t>
                  </w:r>
                  <w:r>
                    <w:rPr>
                      <w:rFonts w:hint="eastAsia" w:hAnsi="宋体"/>
                      <w:color w:val="auto"/>
                      <w:kern w:val="0"/>
                      <w:sz w:val="21"/>
                      <w:szCs w:val="21"/>
                    </w:rPr>
                    <w:t>0.965g/cm2；中密度聚乙烯（MDPE），密度为0.916</w:t>
                  </w:r>
                  <w:r>
                    <w:rPr>
                      <w:rFonts w:hAnsi="宋体"/>
                      <w:color w:val="auto"/>
                      <w:kern w:val="0"/>
                      <w:sz w:val="21"/>
                      <w:szCs w:val="21"/>
                    </w:rPr>
                    <w:t>～</w:t>
                  </w:r>
                  <w:r>
                    <w:rPr>
                      <w:rFonts w:hint="eastAsia" w:hAnsi="宋体"/>
                      <w:color w:val="auto"/>
                      <w:kern w:val="0"/>
                      <w:sz w:val="21"/>
                      <w:szCs w:val="21"/>
                    </w:rPr>
                    <w:t>0.940g/cm</w:t>
                  </w:r>
                  <w:r>
                    <w:rPr>
                      <w:rFonts w:hint="eastAsia" w:hAnsi="宋体"/>
                      <w:color w:val="auto"/>
                      <w:kern w:val="0"/>
                      <w:sz w:val="21"/>
                      <w:szCs w:val="21"/>
                      <w:vertAlign w:val="superscript"/>
                    </w:rPr>
                    <w:t>2</w:t>
                  </w:r>
                  <w:r>
                    <w:rPr>
                      <w:rFonts w:hint="eastAsia" w:hAnsi="宋体"/>
                      <w:color w:val="auto"/>
                      <w:kern w:val="0"/>
                      <w:sz w:val="21"/>
                      <w:szCs w:val="21"/>
                    </w:rPr>
                    <w:t>等。聚乙烯无臭，无毒，手感似蜡，具有优良的耐低温性能（最低使用温度可达-70</w:t>
                  </w:r>
                  <w:r>
                    <w:rPr>
                      <w:rFonts w:hAnsi="宋体"/>
                      <w:color w:val="auto"/>
                      <w:kern w:val="0"/>
                      <w:sz w:val="21"/>
                      <w:szCs w:val="21"/>
                    </w:rPr>
                    <w:t>～</w:t>
                  </w:r>
                  <w:r>
                    <w:rPr>
                      <w:rFonts w:hint="eastAsia" w:hAnsi="宋体"/>
                      <w:color w:val="auto"/>
                      <w:kern w:val="0"/>
                      <w:sz w:val="21"/>
                      <w:szCs w:val="21"/>
                    </w:rPr>
                    <w:t>-100℃）；熔融温度为105</w:t>
                  </w:r>
                  <w:r>
                    <w:rPr>
                      <w:rFonts w:hAnsi="宋体"/>
                      <w:color w:val="auto"/>
                      <w:kern w:val="0"/>
                      <w:sz w:val="21"/>
                      <w:szCs w:val="21"/>
                    </w:rPr>
                    <w:t>～</w:t>
                  </w:r>
                  <w:r>
                    <w:rPr>
                      <w:rFonts w:hint="eastAsia" w:hAnsi="宋体"/>
                      <w:color w:val="auto"/>
                      <w:kern w:val="0"/>
                      <w:sz w:val="21"/>
                      <w:szCs w:val="21"/>
                    </w:rPr>
                    <w:t>135℃，易燃，离火后能继续燃烧；化学特性较好，在常温下可耐稀硫酸和稀硝酸。化学稳定性好，能耐大多数酸碱的侵蚀（不耐具有氧化性质的酸），常温下不溶于一般溶剂，吸水性小，电绝缘性能优良；但聚乙烯对于环境应力（化学与机械作用）是很敏感的，耐热老化性差</w:t>
                  </w:r>
                  <w:r>
                    <w:rPr>
                      <w:rFonts w:hAnsi="宋体"/>
                      <w:color w:val="auto"/>
                      <w:kern w:val="0"/>
                      <w:sz w:val="21"/>
                      <w:szCs w:val="21"/>
                    </w:rPr>
                    <w:t>。</w:t>
                  </w:r>
                </w:p>
              </w:tc>
            </w:tr>
            <w:tr w14:paraId="4D39C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tcBorders>
                    <w:tl2br w:val="nil"/>
                    <w:tr2bl w:val="nil"/>
                  </w:tcBorders>
                  <w:vAlign w:val="center"/>
                </w:tcPr>
                <w:p w14:paraId="097D99E5">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hAnsi="宋体" w:eastAsia="宋体"/>
                      <w:color w:val="auto"/>
                      <w:kern w:val="0"/>
                      <w:sz w:val="21"/>
                      <w:szCs w:val="21"/>
                      <w:lang w:val="en-US" w:eastAsia="zh-CN"/>
                    </w:rPr>
                  </w:pPr>
                  <w:r>
                    <w:rPr>
                      <w:rFonts w:hint="eastAsia" w:hAnsi="宋体"/>
                      <w:color w:val="auto"/>
                      <w:kern w:val="0"/>
                      <w:sz w:val="21"/>
                      <w:szCs w:val="21"/>
                      <w:lang w:val="en-US" w:eastAsia="zh-CN"/>
                    </w:rPr>
                    <w:t>ABS塑料</w:t>
                  </w:r>
                </w:p>
              </w:tc>
              <w:tc>
                <w:tcPr>
                  <w:tcW w:w="6464" w:type="dxa"/>
                  <w:tcBorders>
                    <w:tl2br w:val="nil"/>
                    <w:tr2bl w:val="nil"/>
                  </w:tcBorders>
                  <w:vAlign w:val="center"/>
                </w:tcPr>
                <w:p w14:paraId="3273BC5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hAnsi="宋体"/>
                      <w:color w:val="auto"/>
                      <w:kern w:val="0"/>
                      <w:sz w:val="21"/>
                      <w:szCs w:val="21"/>
                    </w:rPr>
                  </w:pPr>
                  <w:r>
                    <w:rPr>
                      <w:rFonts w:hint="eastAsia" w:hAnsi="宋体"/>
                      <w:color w:val="auto"/>
                      <w:kern w:val="0"/>
                      <w:sz w:val="21"/>
                      <w:szCs w:val="21"/>
                    </w:rPr>
                    <w:t>ABS塑料是丙烯腈(A)、丁二烯(B)、苯乙烯(S)三种单体的三元共聚物，三种单体相对含量可任意变化，制成各种树脂。ABS塑料兼有三种组元的共同性能，A使其耐化学腐蚀、耐热，并有一定的表面硬度，B使其具有高弹性和韧性，S使其具有热塑性塑料的加工成型特性并改善电性能。因此ABS塑料是一种原料易得、综合性能良好、价格便宜、用途广泛的“坚韧、质硬、刚性”材料。ABS塑料在机械、电气、纺织、汽车、飞机、轮船等制造工业及化工中获得了广泛的应用。ABS的热分解温度一般在250℃以上，项目熔融加热温度控制在1</w:t>
                  </w:r>
                  <w:r>
                    <w:rPr>
                      <w:rFonts w:hint="eastAsia" w:hAnsi="宋体" w:eastAsia="宋体"/>
                      <w:color w:val="auto"/>
                      <w:kern w:val="0"/>
                      <w:sz w:val="21"/>
                      <w:szCs w:val="21"/>
                      <w:lang w:val="en-US" w:eastAsia="zh-CN"/>
                    </w:rPr>
                    <w:t>2</w:t>
                  </w:r>
                  <w:r>
                    <w:rPr>
                      <w:rFonts w:hint="eastAsia" w:hAnsi="宋体"/>
                      <w:color w:val="auto"/>
                      <w:kern w:val="0"/>
                      <w:sz w:val="21"/>
                      <w:szCs w:val="21"/>
                    </w:rPr>
                    <w:t>0-170℃左右，生产温度未达到ABS热分解温度。</w:t>
                  </w:r>
                </w:p>
              </w:tc>
            </w:tr>
            <w:tr w14:paraId="4A108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tcBorders>
                    <w:tl2br w:val="nil"/>
                    <w:tr2bl w:val="nil"/>
                  </w:tcBorders>
                  <w:vAlign w:val="center"/>
                </w:tcPr>
                <w:p w14:paraId="73825922">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eastAsia" w:eastAsia="宋体"/>
                      <w:color w:val="auto"/>
                      <w:sz w:val="21"/>
                      <w:szCs w:val="21"/>
                      <w:vertAlign w:val="baseline"/>
                      <w:lang w:eastAsia="zh-CN"/>
                    </w:rPr>
                  </w:pPr>
                  <w:r>
                    <w:rPr>
                      <w:rFonts w:hint="eastAsia" w:hAnsi="宋体"/>
                      <w:color w:val="auto"/>
                      <w:kern w:val="0"/>
                      <w:sz w:val="21"/>
                      <w:szCs w:val="21"/>
                    </w:rPr>
                    <w:t>硅酸钙粉</w:t>
                  </w:r>
                </w:p>
              </w:tc>
              <w:tc>
                <w:tcPr>
                  <w:tcW w:w="6464" w:type="dxa"/>
                  <w:tcBorders>
                    <w:tl2br w:val="nil"/>
                    <w:tr2bl w:val="nil"/>
                  </w:tcBorders>
                  <w:vAlign w:val="center"/>
                </w:tcPr>
                <w:p w14:paraId="7DFE1A4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vertAlign w:val="baseline"/>
                    </w:rPr>
                  </w:pPr>
                  <w:r>
                    <w:rPr>
                      <w:rFonts w:hint="eastAsia" w:hAnsi="宋体"/>
                      <w:color w:val="auto"/>
                      <w:kern w:val="0"/>
                      <w:sz w:val="21"/>
                      <w:szCs w:val="21"/>
                    </w:rPr>
                    <w:t>硅酸钙粉是白色粉末，无味，无毒，溶于强酸，不溶于水、醇及碱，多为针状结晶。在加热至680</w:t>
                  </w:r>
                  <w:r>
                    <w:rPr>
                      <w:rFonts w:hAnsi="宋体"/>
                      <w:color w:val="auto"/>
                      <w:kern w:val="0"/>
                      <w:sz w:val="21"/>
                      <w:szCs w:val="21"/>
                    </w:rPr>
                    <w:t>～</w:t>
                  </w:r>
                  <w:r>
                    <w:rPr>
                      <w:rFonts w:hint="eastAsia" w:hAnsi="宋体"/>
                      <w:color w:val="auto"/>
                      <w:kern w:val="0"/>
                      <w:sz w:val="21"/>
                      <w:szCs w:val="21"/>
                    </w:rPr>
                    <w:t>700℃时脱出结晶水，结晶外形无变化。由硅酸和生石灰及水按一定比例混合后进行水热反应生产硅酸钙微晶料浆，经过滤，洗涤，干燥制得。</w:t>
                  </w:r>
                </w:p>
              </w:tc>
            </w:tr>
            <w:tr w14:paraId="5C8BE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1" w:type="dxa"/>
                  <w:tcBorders>
                    <w:tl2br w:val="nil"/>
                    <w:tr2bl w:val="nil"/>
                  </w:tcBorders>
                  <w:vAlign w:val="center"/>
                </w:tcPr>
                <w:p w14:paraId="17499953">
                  <w:pPr>
                    <w:pStyle w:val="27"/>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hAnsi="宋体" w:eastAsia="宋体"/>
                      <w:color w:val="auto"/>
                      <w:kern w:val="0"/>
                      <w:sz w:val="21"/>
                      <w:szCs w:val="21"/>
                      <w:lang w:val="en-US" w:eastAsia="zh-CN"/>
                    </w:rPr>
                  </w:pPr>
                  <w:r>
                    <w:rPr>
                      <w:rFonts w:hint="eastAsia" w:hAnsi="宋体"/>
                      <w:color w:val="auto"/>
                      <w:kern w:val="0"/>
                      <w:sz w:val="21"/>
                      <w:szCs w:val="21"/>
                      <w:lang w:val="en-US" w:eastAsia="zh-CN"/>
                    </w:rPr>
                    <w:t>白油</w:t>
                  </w:r>
                </w:p>
              </w:tc>
              <w:tc>
                <w:tcPr>
                  <w:tcW w:w="6464" w:type="dxa"/>
                  <w:tcBorders>
                    <w:tl2br w:val="nil"/>
                    <w:tr2bl w:val="nil"/>
                  </w:tcBorders>
                  <w:vAlign w:val="center"/>
                </w:tcPr>
                <w:p w14:paraId="54F4598D">
                  <w:pPr>
                    <w:pStyle w:val="91"/>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hAnsi="宋体" w:eastAsia="宋体"/>
                      <w:color w:val="auto"/>
                      <w:kern w:val="0"/>
                      <w:sz w:val="21"/>
                      <w:szCs w:val="21"/>
                      <w:lang w:val="en-US" w:eastAsia="zh-CN"/>
                    </w:rPr>
                  </w:pPr>
                  <w:r>
                    <w:rPr>
                      <w:rFonts w:hint="eastAsia" w:eastAsia="宋体"/>
                      <w:color w:val="auto"/>
                      <w:sz w:val="21"/>
                      <w:szCs w:val="21"/>
                      <w:lang w:val="en-US" w:eastAsia="zh-CN"/>
                    </w:rPr>
                    <w:t>白油，</w:t>
                  </w:r>
                  <w:r>
                    <w:rPr>
                      <w:rFonts w:hint="eastAsia"/>
                      <w:color w:val="auto"/>
                      <w:sz w:val="21"/>
                      <w:szCs w:val="21"/>
                    </w:rPr>
                    <w:t>外观为</w:t>
                  </w:r>
                  <w:r>
                    <w:rPr>
                      <w:rFonts w:hint="eastAsia" w:eastAsia="宋体"/>
                      <w:color w:val="auto"/>
                      <w:sz w:val="21"/>
                      <w:szCs w:val="21"/>
                      <w:lang w:val="en-US" w:eastAsia="zh-CN"/>
                    </w:rPr>
                    <w:t>清澈</w:t>
                  </w:r>
                  <w:r>
                    <w:rPr>
                      <w:rFonts w:hint="eastAsia"/>
                      <w:color w:val="auto"/>
                      <w:sz w:val="21"/>
                      <w:szCs w:val="21"/>
                    </w:rPr>
                    <w:t>液体，</w:t>
                  </w:r>
                  <w:r>
                    <w:rPr>
                      <w:rFonts w:hint="eastAsia" w:eastAsia="宋体"/>
                      <w:color w:val="auto"/>
                      <w:sz w:val="21"/>
                      <w:szCs w:val="21"/>
                      <w:lang w:val="en-US" w:eastAsia="zh-CN"/>
                    </w:rPr>
                    <w:t>无色无味，闪</w:t>
                  </w:r>
                  <w:r>
                    <w:rPr>
                      <w:rFonts w:hint="eastAsia"/>
                      <w:color w:val="auto"/>
                      <w:sz w:val="21"/>
                      <w:szCs w:val="21"/>
                    </w:rPr>
                    <w:t>点</w:t>
                  </w:r>
                  <w:r>
                    <w:rPr>
                      <w:rFonts w:hint="eastAsia" w:eastAsia="宋体"/>
                      <w:color w:val="auto"/>
                      <w:sz w:val="21"/>
                      <w:szCs w:val="21"/>
                      <w:lang w:val="en-US" w:eastAsia="zh-CN"/>
                    </w:rPr>
                    <w:t>190</w:t>
                  </w:r>
                  <w:r>
                    <w:rPr>
                      <w:rFonts w:hint="eastAsia"/>
                      <w:color w:val="auto"/>
                      <w:sz w:val="21"/>
                      <w:szCs w:val="21"/>
                    </w:rPr>
                    <w:t>℃，</w:t>
                  </w:r>
                  <w:r>
                    <w:rPr>
                      <w:rFonts w:hint="eastAsia" w:eastAsia="宋体"/>
                      <w:color w:val="auto"/>
                      <w:sz w:val="21"/>
                      <w:szCs w:val="21"/>
                      <w:lang w:val="en-US" w:eastAsia="zh-CN"/>
                    </w:rPr>
                    <w:t>常温常压下稳定</w:t>
                  </w:r>
                  <w:r>
                    <w:rPr>
                      <w:rFonts w:hint="eastAsia"/>
                      <w:color w:val="auto"/>
                      <w:sz w:val="21"/>
                      <w:szCs w:val="21"/>
                    </w:rPr>
                    <w:t>，低毒，LD50＞</w:t>
                  </w:r>
                  <w:r>
                    <w:rPr>
                      <w:rFonts w:hint="eastAsia" w:eastAsia="宋体"/>
                      <w:color w:val="auto"/>
                      <w:sz w:val="21"/>
                      <w:szCs w:val="21"/>
                      <w:lang w:val="en-US" w:eastAsia="zh-CN"/>
                    </w:rPr>
                    <w:t>50</w:t>
                  </w:r>
                  <w:r>
                    <w:rPr>
                      <w:rFonts w:hint="eastAsia"/>
                      <w:color w:val="auto"/>
                      <w:sz w:val="21"/>
                      <w:szCs w:val="21"/>
                    </w:rPr>
                    <w:t>000mg/kg（小鼠经口），</w:t>
                  </w:r>
                  <w:r>
                    <w:rPr>
                      <w:rFonts w:hint="eastAsia" w:eastAsia="宋体"/>
                      <w:color w:val="auto"/>
                      <w:sz w:val="21"/>
                      <w:szCs w:val="21"/>
                      <w:lang w:val="en-US" w:eastAsia="zh-CN"/>
                    </w:rPr>
                    <w:t>不被归为</w:t>
                  </w:r>
                  <w:r>
                    <w:rPr>
                      <w:rFonts w:hint="eastAsia"/>
                      <w:color w:val="auto"/>
                      <w:sz w:val="21"/>
                      <w:szCs w:val="21"/>
                    </w:rPr>
                    <w:t>致癌</w:t>
                  </w:r>
                  <w:r>
                    <w:rPr>
                      <w:rFonts w:hint="eastAsia" w:eastAsia="宋体"/>
                      <w:color w:val="auto"/>
                      <w:sz w:val="21"/>
                      <w:szCs w:val="21"/>
                      <w:lang w:val="en-US" w:eastAsia="zh-CN"/>
                    </w:rPr>
                    <w:t>物质</w:t>
                  </w:r>
                  <w:r>
                    <w:rPr>
                      <w:rFonts w:hint="eastAsia"/>
                      <w:color w:val="auto"/>
                      <w:sz w:val="21"/>
                      <w:szCs w:val="21"/>
                    </w:rPr>
                    <w:t>。在塑料加工行业，白油作为增塑剂和润滑剂，能够显著改善塑料的加工性能。它降低了塑料分子间的摩擦力，它能减弱分子间作用力，使塑料易加工，而且不易挥发氧化，</w:t>
                  </w:r>
                  <w:r>
                    <w:rPr>
                      <w:rFonts w:hint="eastAsia" w:eastAsia="宋体"/>
                      <w:color w:val="auto"/>
                      <w:sz w:val="21"/>
                      <w:szCs w:val="21"/>
                      <w:lang w:val="en-US" w:eastAsia="zh-CN"/>
                    </w:rPr>
                    <w:t>增强</w:t>
                  </w:r>
                  <w:r>
                    <w:rPr>
                      <w:rFonts w:hint="eastAsia"/>
                      <w:color w:val="auto"/>
                      <w:sz w:val="21"/>
                      <w:szCs w:val="21"/>
                    </w:rPr>
                    <w:t>稳定性</w:t>
                  </w:r>
                  <w:r>
                    <w:rPr>
                      <w:rFonts w:hint="eastAsia" w:eastAsia="宋体"/>
                      <w:color w:val="auto"/>
                      <w:sz w:val="21"/>
                      <w:szCs w:val="21"/>
                      <w:lang w:eastAsia="zh-CN"/>
                    </w:rPr>
                    <w:t>，</w:t>
                  </w:r>
                  <w:r>
                    <w:rPr>
                      <w:rFonts w:hint="eastAsia"/>
                      <w:color w:val="auto"/>
                      <w:sz w:val="21"/>
                      <w:szCs w:val="21"/>
                    </w:rPr>
                    <w:t>使得塑料在成型过程中更加顺畅，有效减少了产品表面的瑕疵，提高了塑料制品的质量与生产效率</w:t>
                  </w:r>
                  <w:r>
                    <w:rPr>
                      <w:rFonts w:hint="eastAsia" w:eastAsia="宋体"/>
                      <w:color w:val="auto"/>
                      <w:sz w:val="21"/>
                      <w:szCs w:val="21"/>
                      <w:lang w:eastAsia="zh-CN"/>
                    </w:rPr>
                    <w:t>。</w:t>
                  </w:r>
                </w:p>
              </w:tc>
            </w:tr>
          </w:tbl>
          <w:p w14:paraId="152E65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w:t>
            </w:r>
            <w:r>
              <w:rPr>
                <w:rFonts w:hint="eastAsia" w:eastAsia="宋体" w:cs="Times New Roman"/>
                <w:b/>
                <w:color w:val="auto"/>
                <w:sz w:val="24"/>
                <w:szCs w:val="24"/>
                <w:lang w:val="en-US" w:eastAsia="zh-CN"/>
              </w:rPr>
              <w:t>劳动定员和</w:t>
            </w:r>
            <w:r>
              <w:rPr>
                <w:rFonts w:hint="default" w:ascii="Times New Roman" w:hAnsi="Times New Roman" w:eastAsia="宋体" w:cs="Times New Roman"/>
                <w:b/>
                <w:color w:val="auto"/>
                <w:sz w:val="24"/>
                <w:szCs w:val="24"/>
              </w:rPr>
              <w:t>工作制度</w:t>
            </w:r>
          </w:p>
          <w:p w14:paraId="3F6E8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eastAsia="宋体"/>
                <w:color w:val="auto"/>
                <w:sz w:val="24"/>
                <w:szCs w:val="24"/>
                <w:lang w:val="en-US" w:eastAsia="zh-CN"/>
              </w:rPr>
            </w:pPr>
            <w:r>
              <w:rPr>
                <w:rFonts w:hint="eastAsia" w:ascii="宋体" w:hAnsi="宋体"/>
                <w:color w:val="auto"/>
                <w:sz w:val="24"/>
                <w:szCs w:val="24"/>
                <w:lang w:val="en-US" w:eastAsia="zh-CN"/>
              </w:rPr>
              <w:t>定员：本项目技改员工人数不变，劳动定员员10人；班制：项目技改不改变工作班制，</w:t>
            </w:r>
            <w:r>
              <w:rPr>
                <w:rFonts w:hint="eastAsia" w:hAnsi="宋体"/>
                <w:color w:val="auto"/>
                <w:sz w:val="24"/>
              </w:rPr>
              <w:t>年生产300天，二班倒，每班8小时</w:t>
            </w:r>
            <w:r>
              <w:rPr>
                <w:rFonts w:hint="eastAsia" w:hAnsi="宋体" w:eastAsia="宋体"/>
                <w:color w:val="auto"/>
                <w:sz w:val="24"/>
                <w:lang w:eastAsia="zh-CN"/>
              </w:rPr>
              <w:t>。</w:t>
            </w:r>
          </w:p>
          <w:p w14:paraId="249FDE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eastAsia" w:ascii="Times New Roman" w:hAnsi="Times New Roman" w:eastAsia="宋体" w:cs="Times New Roman"/>
                <w:b/>
                <w:color w:val="auto"/>
                <w:sz w:val="24"/>
                <w:szCs w:val="24"/>
                <w:lang w:val="en-US" w:eastAsia="zh-CN"/>
              </w:rPr>
            </w:pPr>
          </w:p>
          <w:p w14:paraId="68F09C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rPr>
              <w:t>、公用工程</w:t>
            </w:r>
          </w:p>
          <w:p w14:paraId="3F8A1FED">
            <w:pPr>
              <w:pageBreakBefore w:val="0"/>
              <w:topLinePunct w:val="0"/>
              <w:bidi w:val="0"/>
              <w:adjustRightInd/>
              <w:snapToGrid/>
              <w:spacing w:beforeAutospacing="0" w:afterAutospacing="0" w:line="360" w:lineRule="auto"/>
              <w:ind w:left="0" w:leftChars="0" w:right="0" w:rightChars="0"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供配电系统：</w:t>
            </w:r>
          </w:p>
          <w:p w14:paraId="2970CA03">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eastAsia="宋体"/>
                <w:color w:val="auto"/>
                <w:sz w:val="24"/>
                <w:szCs w:val="24"/>
                <w:lang w:eastAsia="zh-CN"/>
              </w:rPr>
            </w:pPr>
            <w:r>
              <w:rPr>
                <w:rFonts w:hint="eastAsia"/>
                <w:color w:val="auto"/>
                <w:sz w:val="24"/>
                <w:szCs w:val="24"/>
                <w:lang w:val="en-US" w:eastAsia="zh-CN"/>
              </w:rPr>
              <w:t>本项目采用市政供电</w:t>
            </w:r>
            <w:r>
              <w:rPr>
                <w:rFonts w:hint="eastAsia"/>
                <w:color w:val="auto"/>
                <w:sz w:val="24"/>
                <w:szCs w:val="24"/>
                <w:lang w:eastAsia="zh-CN"/>
              </w:rPr>
              <w:t>。</w:t>
            </w:r>
          </w:p>
          <w:p w14:paraId="276B3E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eastAsia="宋体" w:cs="Times New Roman"/>
                <w:color w:val="auto"/>
                <w:sz w:val="24"/>
                <w:szCs w:val="24"/>
                <w:lang w:val="en-US" w:eastAsia="zh-CN"/>
              </w:rPr>
              <w:t>（2）供水系统</w:t>
            </w:r>
          </w:p>
          <w:p w14:paraId="2B856F6F">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heme="minorEastAsia" w:hAnsiTheme="minorEastAsia" w:eastAsiaTheme="minorEastAsia" w:cstheme="minorEastAsia"/>
                <w:color w:val="auto"/>
                <w:sz w:val="24"/>
                <w:szCs w:val="24"/>
                <w:lang w:val="en-US" w:eastAsia="zh-CN"/>
              </w:rPr>
            </w:pPr>
            <w:r>
              <w:rPr>
                <w:rFonts w:hint="eastAsia" w:eastAsiaTheme="minorEastAsia"/>
                <w:color w:val="auto"/>
                <w:sz w:val="24"/>
                <w:szCs w:val="24"/>
                <w:lang w:val="en-US" w:eastAsia="zh-CN"/>
              </w:rPr>
              <w:t>本项目来自市政供水</w:t>
            </w:r>
            <w:r>
              <w:rPr>
                <w:rFonts w:hint="eastAsia" w:asciiTheme="minorEastAsia" w:hAnsiTheme="minorEastAsia" w:eastAsiaTheme="minorEastAsia" w:cstheme="minorEastAsia"/>
                <w:color w:val="auto"/>
                <w:sz w:val="24"/>
                <w:szCs w:val="24"/>
                <w:lang w:val="en-US" w:eastAsia="zh-CN"/>
              </w:rPr>
              <w:t>。</w:t>
            </w:r>
          </w:p>
          <w:p w14:paraId="340A96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rPr>
              <w:t>排</w:t>
            </w:r>
            <w:r>
              <w:rPr>
                <w:rFonts w:hint="default" w:ascii="Times New Roman" w:hAnsi="Times New Roman" w:eastAsia="宋体" w:cs="Times New Roman"/>
                <w:color w:val="auto"/>
                <w:sz w:val="24"/>
                <w:szCs w:val="24"/>
                <w:lang w:val="en-US" w:eastAsia="zh-CN"/>
              </w:rPr>
              <w:t>水</w:t>
            </w:r>
            <w:r>
              <w:rPr>
                <w:rFonts w:hint="eastAsia" w:eastAsia="宋体" w:cs="Times New Roman"/>
                <w:color w:val="auto"/>
                <w:sz w:val="24"/>
                <w:szCs w:val="24"/>
                <w:lang w:val="en-US" w:eastAsia="zh-CN"/>
              </w:rPr>
              <w:t>系统</w:t>
            </w:r>
          </w:p>
          <w:p w14:paraId="5BB08EB1">
            <w:pPr>
              <w:pStyle w:val="46"/>
              <w:pageBreakBefore w:val="0"/>
              <w:topLinePunct w:val="0"/>
              <w:bidi w:val="0"/>
              <w:adjustRightInd/>
              <w:snapToGrid/>
              <w:spacing w:beforeAutospacing="0" w:afterAutospacing="0"/>
              <w:ind w:left="0" w:leftChars="0" w:right="0" w:rightChars="0"/>
              <w:jc w:val="both"/>
              <w:rPr>
                <w:rFonts w:hint="default" w:ascii="Times New Roman" w:hAnsi="Times New Roman" w:cs="Times New Roman"/>
                <w:snapToGrid w:val="0"/>
                <w:color w:val="auto"/>
                <w:sz w:val="24"/>
                <w:szCs w:val="24"/>
                <w:lang w:eastAsia="zh-CN"/>
              </w:rPr>
            </w:pPr>
            <w:r>
              <w:rPr>
                <w:rFonts w:hint="default" w:ascii="Times New Roman" w:hAnsi="Times New Roman" w:cs="Times New Roman"/>
                <w:snapToGrid w:val="0"/>
                <w:color w:val="auto"/>
                <w:sz w:val="24"/>
                <w:szCs w:val="24"/>
              </w:rPr>
              <w:t>本项目技改后生产废水</w:t>
            </w:r>
            <w:r>
              <w:rPr>
                <w:rFonts w:hint="eastAsia" w:ascii="Times New Roman" w:hAnsi="Times New Roman" w:eastAsia="宋体" w:cs="Times New Roman"/>
                <w:snapToGrid w:val="0"/>
                <w:color w:val="auto"/>
                <w:sz w:val="24"/>
                <w:szCs w:val="24"/>
                <w:lang w:val="en-US" w:eastAsia="zh-CN"/>
              </w:rPr>
              <w:t>经</w:t>
            </w:r>
            <w:r>
              <w:rPr>
                <w:rFonts w:hint="default" w:ascii="Times New Roman" w:hAnsi="Times New Roman" w:cs="Times New Roman"/>
                <w:snapToGrid w:val="0"/>
                <w:color w:val="auto"/>
                <w:sz w:val="24"/>
                <w:szCs w:val="24"/>
              </w:rPr>
              <w:t>污水站处理后</w:t>
            </w:r>
            <w:r>
              <w:rPr>
                <w:rFonts w:hint="eastAsia" w:ascii="Times New Roman" w:hAnsi="Times New Roman" w:eastAsia="宋体" w:cs="Times New Roman"/>
                <w:snapToGrid w:val="0"/>
                <w:color w:val="auto"/>
                <w:sz w:val="24"/>
                <w:szCs w:val="24"/>
                <w:lang w:val="en-US" w:eastAsia="zh-CN"/>
              </w:rPr>
              <w:t>由</w:t>
            </w:r>
            <w:r>
              <w:rPr>
                <w:rFonts w:hint="default" w:ascii="Times New Roman" w:hAnsi="Times New Roman" w:cs="Times New Roman"/>
                <w:snapToGrid w:val="0"/>
                <w:color w:val="auto"/>
                <w:sz w:val="24"/>
                <w:szCs w:val="24"/>
              </w:rPr>
              <w:t>循环使用</w:t>
            </w:r>
            <w:r>
              <w:rPr>
                <w:rFonts w:hint="eastAsia" w:ascii="Times New Roman" w:hAnsi="Times New Roman" w:eastAsia="宋体" w:cs="Times New Roman"/>
                <w:snapToGrid w:val="0"/>
                <w:color w:val="auto"/>
                <w:sz w:val="24"/>
                <w:szCs w:val="24"/>
                <w:lang w:val="en-US" w:eastAsia="zh-CN"/>
              </w:rPr>
              <w:t>技</w:t>
            </w:r>
            <w:r>
              <w:rPr>
                <w:rFonts w:hint="default" w:ascii="Times New Roman" w:hAnsi="Times New Roman" w:cs="Times New Roman"/>
                <w:snapToGrid w:val="0"/>
                <w:color w:val="auto"/>
                <w:sz w:val="24"/>
                <w:szCs w:val="24"/>
              </w:rPr>
              <w:t>改为处理后与生活污水一起排放至星火工业园区污水处理厂处理，星火工业园区污水处理厂外排尾水执行《城镇污水处理厂污染物排放标准》(GB18918-2002)表1中一级A标准排放</w:t>
            </w:r>
            <w:r>
              <w:rPr>
                <w:rFonts w:hint="default" w:ascii="Times New Roman" w:hAnsi="Times New Roman" w:cs="Times New Roman"/>
                <w:snapToGrid w:val="0"/>
                <w:color w:val="auto"/>
                <w:sz w:val="24"/>
                <w:szCs w:val="24"/>
                <w:lang w:eastAsia="zh-CN"/>
              </w:rPr>
              <w:t>。</w:t>
            </w:r>
          </w:p>
          <w:p w14:paraId="0B089901">
            <w:pPr>
              <w:pStyle w:val="46"/>
              <w:pageBreakBefore w:val="0"/>
              <w:topLinePunct w:val="0"/>
              <w:bidi w:val="0"/>
              <w:adjustRightInd/>
              <w:snapToGrid/>
              <w:spacing w:beforeAutospacing="0" w:afterAutospacing="0"/>
              <w:ind w:left="0" w:leftChars="0" w:right="0" w:rightChars="0"/>
              <w:jc w:val="both"/>
              <w:rPr>
                <w:rFonts w:hint="default" w:ascii="Times New Roman" w:hAnsi="Times New Roman" w:cs="Times New Roman"/>
                <w:snapToGrid w:val="0"/>
                <w:color w:val="auto"/>
                <w:sz w:val="24"/>
                <w:szCs w:val="24"/>
                <w:lang w:val="en-US" w:eastAsia="zh-CN"/>
              </w:rPr>
            </w:pPr>
            <w:r>
              <w:rPr>
                <w:rFonts w:hint="eastAsia" w:ascii="Times New Roman" w:hAnsi="Times New Roman" w:cs="Times New Roman"/>
                <w:snapToGrid w:val="0"/>
                <w:color w:val="auto"/>
                <w:sz w:val="24"/>
                <w:szCs w:val="24"/>
                <w:lang w:eastAsia="zh-CN"/>
              </w:rPr>
              <w:t>（</w:t>
            </w:r>
            <w:r>
              <w:rPr>
                <w:rFonts w:hint="eastAsia" w:ascii="Times New Roman" w:hAnsi="Times New Roman" w:cs="Times New Roman"/>
                <w:snapToGrid w:val="0"/>
                <w:color w:val="auto"/>
                <w:sz w:val="24"/>
                <w:szCs w:val="24"/>
                <w:lang w:val="en-US" w:eastAsia="zh-CN"/>
              </w:rPr>
              <w:t>4）水平衡</w:t>
            </w:r>
          </w:p>
          <w:p w14:paraId="7392D797">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72576" behindDoc="0" locked="0" layoutInCell="1" allowOverlap="1">
                      <wp:simplePos x="0" y="0"/>
                      <wp:positionH relativeFrom="column">
                        <wp:posOffset>1917700</wp:posOffset>
                      </wp:positionH>
                      <wp:positionV relativeFrom="paragraph">
                        <wp:posOffset>180340</wp:posOffset>
                      </wp:positionV>
                      <wp:extent cx="676910" cy="25717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676910" cy="257175"/>
                              </a:xfrm>
                              <a:prstGeom prst="rect">
                                <a:avLst/>
                              </a:prstGeom>
                              <a:noFill/>
                              <a:ln w="6350">
                                <a:noFill/>
                              </a:ln>
                              <a:effectLst/>
                            </wps:spPr>
                            <wps:txbx>
                              <w:txbxContent>
                                <w:p w14:paraId="4A0954F0">
                                  <w:pPr>
                                    <w:jc w:val="center"/>
                                    <w:rPr>
                                      <w:rFonts w:hint="default" w:eastAsia="宋体"/>
                                      <w:sz w:val="18"/>
                                      <w:szCs w:val="18"/>
                                      <w:lang w:val="en-US" w:eastAsia="zh-CN"/>
                                    </w:rPr>
                                  </w:pPr>
                                  <w:r>
                                    <w:rPr>
                                      <w:rFonts w:hint="eastAsia"/>
                                      <w:sz w:val="18"/>
                                      <w:szCs w:val="18"/>
                                    </w:rPr>
                                    <w:t>消耗0.</w:t>
                                  </w:r>
                                  <w:r>
                                    <w:rPr>
                                      <w:rFonts w:hint="eastAsia" w:eastAsia="宋体"/>
                                      <w:sz w:val="18"/>
                                      <w:szCs w:val="18"/>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pt;margin-top:14.2pt;height:20.25pt;width:53.3pt;z-index:251672576;mso-width-relative:page;mso-height-relative:page;" filled="f" stroked="f" coordsize="21600,21600" o:gfxdata="UEsDBAoAAAAAAIdO4kAAAAAAAAAAAAAAAAAEAAAAZHJzL1BLAwQUAAAACACHTuJAlnb+DtoAAAAJ&#10;AQAADwAAAGRycy9kb3ducmV2LnhtbE2Py07DMBRE90j8g3WR2FG7oURumpsKRaqQECxaumF3E7tJ&#10;hB8hdh/w9ZgVLEczmjlTri/WsJOewuAdwnwmgGnXejW4DmH/trmTwEIkp8h4pxG+dIB1dX1VUqH8&#10;2W31aRc7lkpcKAihj3EsOA9try2FmR+1S97BT5ZiklPH1UTnVG4Nz4TIuaXBpYWeRl33uv3YHS3C&#10;c715pW2TWflt6qeXw+P4uX9/QLy9mYsVsKgv8S8Mv/gJHarE1PijU4EZhHuRpS8RIZMLYCmwEDIH&#10;1iDkcgm8Kvn/B9UPUEsDBBQAAAAIAIdO4kAS9TY4QgIAAHcEAAAOAAAAZHJzL2Uyb0RvYy54bWyt&#10;VM1uEzEQviPxDpbvdJPQNDTqpgqtipAqWikgzo7X213J9hjb6W55AHgDTly481x9Dj57k7QqHHrg&#10;4szffjPzzUxOTnuj2a3yoSVb8vHBiDNlJVWtvSn5p48Xr95wFqKwldBkVcnvVOCni5cvTjo3VxNq&#10;SFfKM4DYMO9cyZsY3bwogmyUEeGAnLJw1uSNiFD9TVF50QHd6GIyGh0VHfnKeZIqBFjPByffIvrn&#10;AFJdt1Kdk9wYZeOA6pUWES2FpnWBL3K1da1kvKrroCLTJUenMb9IAnmd3mJxIuY3XrimldsSxHNK&#10;eNKTEa1F0j3UuYiCbXz7F5RppadAdTyQZIqhkcwIuhiPnnCzaoRTuRdQHdye9PD/YOWH22vP2qrk&#10;k+MZZ1YYjPz+x/f7n7/vf31jyQiKOhfmiFw5xMb+LfVYnJ09wJg672tv0i96YvCD4Ls9waqPTMJ4&#10;NDs6HsMj4ZpMZ+PZNKEUDx87H+I7RYYloeQe88u0itvLEIfQXUjKZemi1TrPUFvWIcHr6Sh/sPcA&#10;XNsUq/I2bGFSQ0PhSYr9ut92uabqDk16GjYlOHnRopRLEeK18FgNVI/jiVd4ak1ISVuJs4b813/Z&#10;UzwmBi9nHVat5OHLRnjFmX5vMcvj8eEhYGNWDqezCRT/2LN+7LEbc0bY5jHO1Mkspviod2LtyXzG&#10;jS1TVriElchd8rgTz+JwALhRqZbLHIRtdCJe2pWTCXogd7mJVLeZ90TTwA3mlRTsY57c9nbSwj/W&#10;c9TD/8X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Z2/g7aAAAACQEAAA8AAAAAAAAAAQAgAAAA&#10;IgAAAGRycy9kb3ducmV2LnhtbFBLAQIUABQAAAAIAIdO4kAS9TY4QgIAAHcEAAAOAAAAAAAAAAEA&#10;IAAAACkBAABkcnMvZTJvRG9jLnhtbFBLBQYAAAAABgAGAFkBAADdBQAAAAA=&#10;">
                      <v:fill on="f" focussize="0,0"/>
                      <v:stroke on="f" weight="0.5pt"/>
                      <v:imagedata o:title=""/>
                      <o:lock v:ext="edit" aspectratio="f"/>
                      <v:textbox>
                        <w:txbxContent>
                          <w:p w14:paraId="4A0954F0">
                            <w:pPr>
                              <w:jc w:val="center"/>
                              <w:rPr>
                                <w:rFonts w:hint="default" w:eastAsia="宋体"/>
                                <w:sz w:val="18"/>
                                <w:szCs w:val="18"/>
                                <w:lang w:val="en-US" w:eastAsia="zh-CN"/>
                              </w:rPr>
                            </w:pPr>
                            <w:r>
                              <w:rPr>
                                <w:rFonts w:hint="eastAsia"/>
                                <w:sz w:val="18"/>
                                <w:szCs w:val="18"/>
                              </w:rPr>
                              <w:t>消耗0.</w:t>
                            </w:r>
                            <w:r>
                              <w:rPr>
                                <w:rFonts w:hint="eastAsia" w:eastAsia="宋体"/>
                                <w:sz w:val="18"/>
                                <w:szCs w:val="18"/>
                                <w:lang w:val="en-US" w:eastAsia="zh-CN"/>
                              </w:rPr>
                              <w:t>6</w:t>
                            </w:r>
                          </w:p>
                        </w:txbxContent>
                      </v:textbox>
                    </v:shape>
                  </w:pict>
                </mc:Fallback>
              </mc:AlternateContent>
            </w:r>
            <w:r>
              <w:rPr>
                <w:rFonts w:hint="default"/>
                <w:color w:val="auto"/>
              </w:rPr>
              <mc:AlternateContent>
                <mc:Choice Requires="wps">
                  <w:drawing>
                    <wp:anchor distT="0" distB="0" distL="114300" distR="114300" simplePos="0" relativeHeight="251673600" behindDoc="1" locked="0" layoutInCell="1" allowOverlap="1">
                      <wp:simplePos x="0" y="0"/>
                      <wp:positionH relativeFrom="column">
                        <wp:posOffset>1843405</wp:posOffset>
                      </wp:positionH>
                      <wp:positionV relativeFrom="paragraph">
                        <wp:posOffset>287655</wp:posOffset>
                      </wp:positionV>
                      <wp:extent cx="161925" cy="213995"/>
                      <wp:effectExtent l="6350" t="24765" r="8255" b="3810"/>
                      <wp:wrapNone/>
                      <wp:docPr id="9" name="曲线连接符 9"/>
                      <wp:cNvGraphicFramePr/>
                      <a:graphic xmlns:a="http://schemas.openxmlformats.org/drawingml/2006/main">
                        <a:graphicData uri="http://schemas.microsoft.com/office/word/2010/wordprocessingShape">
                          <wps:wsp>
                            <wps:cNvCnPr/>
                            <wps:spPr>
                              <a:xfrm rot="-5400000">
                                <a:off x="0" y="0"/>
                                <a:ext cx="161925" cy="213995"/>
                              </a:xfrm>
                              <a:prstGeom prst="curvedConnector2">
                                <a:avLst/>
                              </a:prstGeom>
                              <a:ln w="12700" cap="flat" cmpd="sng">
                                <a:solidFill>
                                  <a:srgbClr val="000000"/>
                                </a:solidFill>
                                <a:prstDash val="sysDash"/>
                                <a:headEnd type="none" w="med" len="med"/>
                                <a:tailEnd type="triangle" w="med" len="med"/>
                              </a:ln>
                            </wps:spPr>
                            <wps:bodyPr/>
                          </wps:wsp>
                        </a:graphicData>
                      </a:graphic>
                    </wp:anchor>
                  </w:drawing>
                </mc:Choice>
                <mc:Fallback>
                  <w:pict>
                    <v:shape id="_x0000_s1026" o:spid="_x0000_s1026" o:spt="37" type="#_x0000_t37" style="position:absolute;left:0pt;margin-left:145.15pt;margin-top:22.65pt;height:16.85pt;width:12.75pt;rotation:-5898240f;z-index:-251642880;mso-width-relative:page;mso-height-relative:page;" filled="f" stroked="t" coordsize="21600,21600" o:gfxdata="UEsDBAoAAAAAAIdO4kAAAAAAAAAAAAAAAAAEAAAAZHJzL1BLAwQUAAAACACHTuJAlkqEUtkAAAAJ&#10;AQAADwAAAGRycy9kb3ducmV2LnhtbE2PTU/DMAyG70j8h8hI3FjSfQArdSeBmDhBxdgO3LLWtIXG&#10;qZpsHf8ec4KTZfnR6+fNVifXqSMNofWMkEwMKOLSVy3XCNu39dUtqBAtV7bzTAjfFGCVn59lNq38&#10;yK903MRaSQiH1CI0Mfap1qFsyNkw8T2x3D784GyUdah1NdhRwl2np8Zca2dblg+N7emhofJrc3AI&#10;4/sT3+8e567YPYd1UYz0abcviJcXibkDFekU/2D41Rd1yMVp7w9cBdUhTJdmJijCfCFTgFmykC57&#10;hJulAZ1n+n+D/AdQSwMEFAAAAAgAh07iQAtBp4EQAgAA/gMAAA4AAABkcnMvZTJvRG9jLnhtbK1T&#10;zW4TMRC+I/EOlu/NJgspZJVNDwnlgiAS9AEc27tryX/yONnkJXgBJG5w4sSRS9+m5TEYe9MUipB6&#10;wAdrxp75Zr7P4/nF3miykwGUszWdjMaUSMudULat6dWHy7OXlEBkVjDtrKzpQQK9WDx9Mu99JUvX&#10;OS1kIAhioep9TbsYfVUUwDtpGIyclxYvGxcMi+iGthCB9YhudFGOx+dF74LwwXEJgKer4ZIeEcNj&#10;AF3TKC5Xjm+NtHFADVKziJSgUx7oInfbNJLHd00DMhJdU2Qa845F0N6kvVjMWdUG5jvFjy2wx7Tw&#10;gJNhymLRE9SKRUa2Qf0FZRQPDlwTR9yZYiCSFUEWk/EDbd53zMvMBaUGfxId/h8sf7tbB6JETWeU&#10;WGbwwW8+fb/9cf3z+vPNxy+3376SWRKp91Bh7NKuw9EDvw6J8b4JhgSHyp5Nn4/TykIgNbLPOh9O&#10;Ost9JBwPJ+eTWTmlhONVOXk2m01TiWLASpg+QHwtnSHJqCnfhp0US2ctvqcLZS7Adm8gDml34SlV&#10;W9JjhfIF9kE4wwFtcDDQNB5Jgm1zMjitxKXSOqVAaDdLHciOpSEZKAzAf4SlKisG3RAHB0jOMECd&#10;ZOKVFSQePApo8d/Q1IWRghIt8ZslCyFZFZnS95ExKGZb/Y9oFERb1CVpP6idrI0Th/wI+RzHIit3&#10;HOE0d7/7Ofv+2y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ZKhFLZAAAACQEAAA8AAAAAAAAA&#10;AQAgAAAAIgAAAGRycy9kb3ducmV2LnhtbFBLAQIUABQAAAAIAIdO4kALQaeBEAIAAP4DAAAOAAAA&#10;AAAAAAEAIAAAACgBAABkcnMvZTJvRG9jLnhtbFBLBQYAAAAABgAGAFkBAACqBQAAAAA=&#10;">
                      <v:fill on="f" focussize="0,0"/>
                      <v:stroke weight="1pt" color="#000000" joinstyle="round" dashstyle="3 1" endarrow="block"/>
                      <v:imagedata o:title=""/>
                      <o:lock v:ext="edit" aspectratio="f"/>
                    </v:shape>
                  </w:pict>
                </mc:Fallback>
              </mc:AlternateContent>
            </w:r>
            <w:r>
              <w:rPr>
                <w:color w:val="auto"/>
              </w:rPr>
              <w:t>项目废塑料造粒生产线水平衡图见下图。</w:t>
            </w:r>
          </w:p>
          <w:p w14:paraId="2C4790DE">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67456" behindDoc="1" locked="0" layoutInCell="1" allowOverlap="1">
                      <wp:simplePos x="0" y="0"/>
                      <wp:positionH relativeFrom="column">
                        <wp:posOffset>1041400</wp:posOffset>
                      </wp:positionH>
                      <wp:positionV relativeFrom="paragraph">
                        <wp:posOffset>282575</wp:posOffset>
                      </wp:positionV>
                      <wp:extent cx="0" cy="2795905"/>
                      <wp:effectExtent l="6350" t="0" r="12700" b="4445"/>
                      <wp:wrapNone/>
                      <wp:docPr id="291" name="直接连接符 291"/>
                      <wp:cNvGraphicFramePr/>
                      <a:graphic xmlns:a="http://schemas.openxmlformats.org/drawingml/2006/main">
                        <a:graphicData uri="http://schemas.microsoft.com/office/word/2010/wordprocessingShape">
                          <wps:wsp>
                            <wps:cNvCnPr/>
                            <wps:spPr>
                              <a:xfrm flipV="1">
                                <a:off x="0" y="0"/>
                                <a:ext cx="0" cy="2795905"/>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flip:y;margin-left:82pt;margin-top:22.25pt;height:220.15pt;width:0pt;z-index:-251649024;mso-width-relative:page;mso-height-relative:page;" filled="f" stroked="t" coordsize="21600,21600" o:gfxdata="UEsDBAoAAAAAAIdO4kAAAAAAAAAAAAAAAAAEAAAAZHJzL1BLAwQUAAAACACHTuJAShLYLNcAAAAK&#10;AQAADwAAAGRycy9kb3ducmV2LnhtbE2PzU7DMBCE70i8g7VI3KgTlJYoxOmBHwkJRaiFS2/beEki&#10;4nUUu2l5e7Zc4Dizo9lvyvXJDWqmKfSeDaSLBBRx423PrYGP9+ebHFSIyBYHz2TgmwKsq8uLEgvr&#10;j7yheRtbJSUcCjTQxTgWWoemI4dh4UdiuX36yWEUObXaTniUcjfo2yRZaYc9y4cOR3roqPnaHpyB&#10;Oa357eVp5x9fsW6XaW13zV005voqTe5BRTrFvzCc8QUdKmHa+wPboAbRq0y2RANZtgR1DvwaezHy&#10;LAddlfr/hOoHUEsDBBQAAAAIAIdO4kARJKpJ5AEAALcDAAAOAAAAZHJzL2Uyb0RvYy54bWytU72O&#10;1DAQ7pF4B8s9m2yk49hos1fc6mgQrMRPP+s4iSX/yePb7L4EL4BEBxUlPW/D8RiMnbA6juYKUljz&#10;52/m+zxZXx2NZgcZUDnb8OWi5Exa4Vpl+4a/f3fz7AVnGMG2oJ2VDT9J5Febp0/Wo69l5QanWxkY&#10;gVisR9/wIUZfFwWKQRrAhfPSUrJzwUAkN/RFG2AkdKOLqiyfF6MLrQ9OSESKbqcknxHDYwBd1ykh&#10;t07cGmnjhBqkhkiUcFAe+SZP23VSxDddhzIy3XBiGvNJTcjep7PYrKHuA/hBiXkEeMwIDzgZUJaa&#10;nqG2EIHdBvUPlFEiOHRdXAhniolIVoRYLMsH2rwdwMvMhaRGfxYd/x+seH3YBabahlerJWcWDD35&#10;3afvPz9++fXjM513376ylCKhRo811V/bXZg99LuQWB+7YFinlf9AG5V1IGbsmGU+nWWWx8jEFBQU&#10;rS5XF6vyIiEXE0SC8gHjS+kMS0bDtbJJAajh8ArjVPqnJIWtu1FaUxxqbdlI7avLkh5XAK1mRytB&#10;pvFED23PGeiedl7EkCHRadWm6+k2hn5/rQM7QNqU/M2T/VWWem8Bh6kup+YybROMzDs3j5oEmyRK&#10;1t61p6xckTx6z8x73r20MPd9su//b5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hLYLNcAAAAK&#10;AQAADwAAAAAAAAABACAAAAAiAAAAZHJzL2Rvd25yZXYueG1sUEsBAhQAFAAAAAgAh07iQBEkqknk&#10;AQAAtwMAAA4AAAAAAAAAAQAgAAAAJgEAAGRycy9lMm9Eb2MueG1sUEsFBgAAAAAGAAYAWQEAAHwF&#10;AAAAAA==&#10;">
                      <v:fill on="f" focussize="0,0"/>
                      <v:stroke weight="1pt"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753472" behindDoc="0" locked="0" layoutInCell="1" allowOverlap="1">
                      <wp:simplePos x="0" y="0"/>
                      <wp:positionH relativeFrom="column">
                        <wp:posOffset>1515745</wp:posOffset>
                      </wp:positionH>
                      <wp:positionV relativeFrom="paragraph">
                        <wp:posOffset>149225</wp:posOffset>
                      </wp:positionV>
                      <wp:extent cx="619125" cy="266700"/>
                      <wp:effectExtent l="4445" t="4445" r="5080" b="14605"/>
                      <wp:wrapNone/>
                      <wp:docPr id="22" name="文本框 22"/>
                      <wp:cNvGraphicFramePr/>
                      <a:graphic xmlns:a="http://schemas.openxmlformats.org/drawingml/2006/main">
                        <a:graphicData uri="http://schemas.microsoft.com/office/word/2010/wordprocessingShape">
                          <wps:wsp>
                            <wps:cNvSpPr txBox="1"/>
                            <wps:spPr>
                              <a:xfrm>
                                <a:off x="3154045" y="4345305"/>
                                <a:ext cx="61912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DDC8C4">
                                  <w:pPr>
                                    <w:rPr>
                                      <w:rFonts w:hint="default" w:eastAsia="宋体"/>
                                      <w:lang w:val="en-US" w:eastAsia="zh-CN"/>
                                    </w:rPr>
                                  </w:pPr>
                                  <w:r>
                                    <w:rPr>
                                      <w:rFonts w:hint="eastAsia" w:eastAsia="宋体"/>
                                      <w:lang w:val="en-US" w:eastAsia="zh-CN"/>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35pt;margin-top:11.75pt;height:21pt;width:48.75pt;z-index:251753472;mso-width-relative:page;mso-height-relative:page;" fillcolor="#FFFFFF [3201]" filled="t" stroked="t" coordsize="21600,21600" o:gfxdata="UEsDBAoAAAAAAIdO4kAAAAAAAAAAAAAAAAAEAAAAZHJzL1BLAwQUAAAACACHTuJAp7qGrNYAAAAJ&#10;AQAADwAAAGRycy9kb3ducmV2LnhtbE2PwWrDMAyG74O+g1Fht9VpTLKSxSm0UCi7rctlNzdWkzBb&#10;DrbbdG8/97TdJPTx6/vr7d0adkMfRkcS1qsMGFLn9Ei9hPbz8LIBFqIirYwjlPCDAbbN4qlWlXYz&#10;feDtFHuWQihUSsIQ41RxHroBrQorNyGl28V5q2Jafc+1V3MKt4bnWVZyq0ZKHwY14X7A7vt0tRKO&#10;5S5+YavftciFm1ve+YsJUj4v19kbsIj3+AfDQz+pQ5Oczu5KOjAjIReb14Q+hgJYAoQoc2BnCWVR&#10;AG9q/r9B8wtQSwMEFAAAAAgAh07iQPQLAuxnAgAAxAQAAA4AAABkcnMvZTJvRG9jLnhtbK1UzW4T&#10;MRC+I/EOlu90f7JJaZRNFVIFIVW0UkGcHa83u8L2GNvJbnkA+gacuHDnufocjL1Jfzn0QA7O2PPl&#10;m5lvZjI77ZUkO2FdC7qk2VFKidAcqlZvSvr50+rNW0qcZ7piErQo6bVw9HT++tWsM1ORQwOyEpYg&#10;iXbTzpS08d5Mk8TxRijmjsAIjc4arGIer3aTVJZ1yK5kkqfpJOnAVsYCF87h69ngpHtG+xJCqOuW&#10;izPgWyW0H1itkMxjSa5pjaPzmG1dC+4v6toJT2RJsVIfTwyC9jqcyXzGphvLTNPyfQrsJSk8qUmx&#10;VmPQO6oz5hnZ2vYZlWq5BQe1P+KgkqGQqAhWkaVPtLlqmBGxFpTamTvR3f+j5R93l5a0VUnznBLN&#10;FHb89ufN7a8/t79/EHxDgTrjpoi7Moj0/TvocWwO7w4fQ919bVX4xooI+kfZuEiLMSXXJS1GxXiU&#10;jgepRe8JR8AkO8ly9HME5JPJcRpbkdwTGev8ewGKBKOkFjsZBWa7c+cxKYQeICGuA9lWq1bKeLGb&#10;9VJasmPY9VX8hOj4k0cwqUmHmYzGaWR+5AvcdxRryfjX5wzIJzXSBn0GHYLl+3W/F20N1TVqZmEY&#10;O2f4qkXec+b8JbM4ZziFuIn+Ao9aAiYDe4uSBuz3f70HPLYfvZR0OLcldd+2zApK5AeNg3GSFUUY&#10;9Hgpxsc5XuxDz/qhR2/VElCkDHfe8GgGvJcHs7agvuDCLkJUdDHNMXZJ/cFc+mGbcOG5WCwiCEfb&#10;MH+urwwP1KElGhZbD3UbWxdkGrTZq4fDHduzX8SwPQ/vEXX/5z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6hqzWAAAACQEAAA8AAAAAAAAAAQAgAAAAIgAAAGRycy9kb3ducmV2LnhtbFBLAQIU&#10;ABQAAAAIAIdO4kD0CwLsZwIAAMQEAAAOAAAAAAAAAAEAIAAAACUBAABkcnMvZTJvRG9jLnhtbFBL&#10;BQYAAAAABgAGAFkBAAD+BQAAAAA=&#10;">
                      <v:fill on="t" focussize="0,0"/>
                      <v:stroke weight="0.5pt" color="#000000 [3204]" joinstyle="round"/>
                      <v:imagedata o:title=""/>
                      <o:lock v:ext="edit" aspectratio="f"/>
                      <v:textbox>
                        <w:txbxContent>
                          <w:p w14:paraId="51DDC8C4">
                            <w:pPr>
                              <w:rPr>
                                <w:rFonts w:hint="default" w:eastAsia="宋体"/>
                                <w:lang w:val="en-US" w:eastAsia="zh-CN"/>
                              </w:rPr>
                            </w:pPr>
                            <w:r>
                              <w:rPr>
                                <w:rFonts w:hint="eastAsia" w:eastAsia="宋体"/>
                                <w:lang w:val="en-US" w:eastAsia="zh-CN"/>
                              </w:rPr>
                              <w:t>冷却水</w:t>
                            </w:r>
                          </w:p>
                        </w:txbxContent>
                      </v:textbox>
                    </v:shape>
                  </w:pict>
                </mc:Fallback>
              </mc:AlternateContent>
            </w:r>
            <w:r>
              <w:rPr>
                <w:rFonts w:hint="default"/>
                <w:color w:val="auto"/>
              </w:rPr>
              <mc:AlternateContent>
                <mc:Choice Requires="wps">
                  <w:drawing>
                    <wp:anchor distT="0" distB="0" distL="114300" distR="114300" simplePos="0" relativeHeight="251692032" behindDoc="0" locked="0" layoutInCell="1" allowOverlap="1">
                      <wp:simplePos x="0" y="0"/>
                      <wp:positionH relativeFrom="column">
                        <wp:posOffset>946150</wp:posOffset>
                      </wp:positionH>
                      <wp:positionV relativeFrom="paragraph">
                        <wp:posOffset>83820</wp:posOffset>
                      </wp:positionV>
                      <wp:extent cx="563245" cy="25717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716C1767">
                                  <w:pPr>
                                    <w:jc w:val="center"/>
                                    <w:rPr>
                                      <w:rFonts w:hint="default" w:eastAsia="宋体"/>
                                      <w:sz w:val="18"/>
                                      <w:szCs w:val="18"/>
                                      <w:lang w:val="en-US" w:eastAsia="zh-CN"/>
                                    </w:rPr>
                                  </w:pPr>
                                  <w:r>
                                    <w:rPr>
                                      <w:rFonts w:hint="eastAsia" w:eastAsia="宋体"/>
                                      <w:sz w:val="18"/>
                                      <w:szCs w:val="18"/>
                                      <w:lang w:val="en-US" w:eastAsia="zh-CN"/>
                                    </w:rPr>
                                    <w:t>1.08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5pt;margin-top:6.6pt;height:20.25pt;width:44.35pt;z-index:251692032;mso-width-relative:page;mso-height-relative:page;" filled="f" stroked="f" coordsize="21600,21600" o:gfxdata="UEsDBAoAAAAAAIdO4kAAAAAAAAAAAAAAAAAEAAAAZHJzL1BLAwQUAAAACACHTuJATWzoT9oAAAAJ&#10;AQAADwAAAGRycy9kb3ducmV2LnhtbE2PzU7DMBCE70i8g7VI3KjThJIS4lQoUoWE4NDSC7dN7CYR&#10;9jrE7g88PcsJbjva0cw35ersrDiaKQyeFMxnCQhDrdcDdQp2b+ubJYgQkTRaT0bBlwmwqi4vSiy0&#10;P9HGHLexExxCoUAFfYxjIWVoe+MwzPxoiH97PzmMLKdO6glPHO6sTJPkTjociBt6HE3dm/Zje3AK&#10;nuv1K26a1C2/bf30sn8cP3fvC6Wur+bJA4hozvHPDL/4jA4VMzX+QDoIy/r2nrdEPrIUBBvSLM9B&#10;NAoWWQ6yKuX/BdUPUEsDBBQAAAAIAIdO4kAMK7TKRAIAAHcEAAAOAAAAZHJzL2Uyb0RvYy54bWyt&#10;VMGO2jAQvVfqP1i+l0AW2C4irOgiqkqouxKtejaOQyLZHtc2JPQD2j/YUy+997v4jo6dwKJtD3vo&#10;xYxnJm/83swwvW2UJHthXQU6o4NenxKhOeSV3mb086flm7eUOM90ziRokdGDcPR29vrVtDYTkUIJ&#10;MheWIIh2k9pktPTeTJLE8VIo5npghMZgAVYxj1e7TXLLakRXMkn7/XFSg82NBS6cQ++iDdIO0b4E&#10;EIqi4mIBfKeE9i2qFZJ5pOTKyjg6i68tCsH9fVE44YnMKDL18cQiaG/CmcymbLK1zJQV757AXvKE&#10;Z5wUqzQWPUMtmGdkZ6u/oFTFLTgofI+DSloiURFkMeg/02ZdMiMiF5TambPo7v/B8o/7B0uqPKPp&#10;DTZeM4UtPz7+OP78ffz1nQQnSlQbN8HMtcFc37yDBgfn5HfoDMybwqrwi5wIxlHgw1lg0XjC0Tka&#10;X6XDESUcQ+noenA9CijJ08fGOv9egCLByKjF/kVZ2X7lfJt6Sgm1NCwrKWMPpSZ1RsdXo3784BxB&#10;cKlDrojT0MEEQu3Dg+WbTdOx3EB+QJIW2klxhi8rfMqKOf/ALI4G8sLl8fd4FBKwJHQWJSXYb//y&#10;h3zsGEYpqXHUMuq+7pgVlMgPGnt5MxgOw2zGy3B0neLFXkY2lxG9U3eA0zzANTU8miHfy5NZWFBf&#10;cMfmoSqGmOZYO6P+ZN75dgFwR7mYz2MSTqNhfqXXhgfoVtz5zkNRRd2DTK022K9wwXmMnet2Jwz8&#10;5T1mPf1f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WzoT9oAAAAJAQAADwAAAAAAAAABACAA&#10;AAAiAAAAZHJzL2Rvd25yZXYueG1sUEsBAhQAFAAAAAgAh07iQAwrtMpEAgAAdwQAAA4AAAAAAAAA&#10;AQAgAAAAKQEAAGRycy9lMm9Eb2MueG1sUEsFBgAAAAAGAAYAWQEAAN8FAAAAAA==&#10;">
                      <v:fill on="f" focussize="0,0"/>
                      <v:stroke on="f" weight="0.5pt"/>
                      <v:imagedata o:title=""/>
                      <o:lock v:ext="edit" aspectratio="f"/>
                      <v:textbox>
                        <w:txbxContent>
                          <w:p w14:paraId="716C1767">
                            <w:pPr>
                              <w:jc w:val="center"/>
                              <w:rPr>
                                <w:rFonts w:hint="default" w:eastAsia="宋体"/>
                                <w:sz w:val="18"/>
                                <w:szCs w:val="18"/>
                                <w:lang w:val="en-US" w:eastAsia="zh-CN"/>
                              </w:rPr>
                            </w:pPr>
                            <w:r>
                              <w:rPr>
                                <w:rFonts w:hint="eastAsia" w:eastAsia="宋体"/>
                                <w:sz w:val="18"/>
                                <w:szCs w:val="18"/>
                                <w:lang w:val="en-US" w:eastAsia="zh-CN"/>
                              </w:rPr>
                              <w:t>1.08</w:t>
                            </w:r>
                          </w:p>
                        </w:txbxContent>
                      </v:textbox>
                    </v:shape>
                  </w:pict>
                </mc:Fallback>
              </mc:AlternateContent>
            </w:r>
            <w:r>
              <w:rPr>
                <w:rFonts w:hint="default"/>
                <w:color w:val="auto"/>
              </w:rPr>
              <mc:AlternateContent>
                <mc:Choice Requires="wps">
                  <w:drawing>
                    <wp:anchor distT="0" distB="0" distL="114300" distR="114300" simplePos="0" relativeHeight="251668480" behindDoc="1" locked="0" layoutInCell="1" allowOverlap="1">
                      <wp:simplePos x="0" y="0"/>
                      <wp:positionH relativeFrom="column">
                        <wp:posOffset>1041400</wp:posOffset>
                      </wp:positionH>
                      <wp:positionV relativeFrom="paragraph">
                        <wp:posOffset>293370</wp:posOffset>
                      </wp:positionV>
                      <wp:extent cx="457200" cy="5080"/>
                      <wp:effectExtent l="0" t="33655" r="0" b="37465"/>
                      <wp:wrapNone/>
                      <wp:docPr id="292" name="直接箭头连接符 292"/>
                      <wp:cNvGraphicFramePr/>
                      <a:graphic xmlns:a="http://schemas.openxmlformats.org/drawingml/2006/main">
                        <a:graphicData uri="http://schemas.microsoft.com/office/word/2010/wordprocessingShape">
                          <wps:wsp>
                            <wps:cNvCnPr/>
                            <wps:spPr>
                              <a:xfrm>
                                <a:off x="2230120" y="4411345"/>
                                <a:ext cx="457200" cy="50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82pt;margin-top:23.1pt;height:0.4pt;width:36pt;z-index:-251648000;mso-width-relative:page;mso-height-relative:page;" filled="f" stroked="t" coordsize="21600,21600" o:gfxdata="UEsDBAoAAAAAAIdO4kAAAAAAAAAAAAAAAAAEAAAAZHJzL1BLAwQUAAAACACHTuJAwBDhCtUAAAAJ&#10;AQAADwAAAGRycy9kb3ducmV2LnhtbE2PwU7DMBBE70j8g7VIXFBrN0SmCnEqBSmIKwVxduMlCY3X&#10;Uey05e9ZTnCc2dHsm3J38aM44RyHQAY2awUCqQ1uoM7A+1uz2oKIyZKzYyA08I0RdtX1VWkLF870&#10;iqd96gSXUCysgT6lqZAytj16G9dhQuLbZ5i9TSznTrrZnrncjzJTSktvB+IPvZ3wqcf2uF+8gbvg&#10;66/YHJ/rJW+budYfL9hlxtzebNQjiISX9BeGX3xGh4qZDmEhF8XIWue8JRnIdQaCA9m9ZuPAxoMC&#10;WZXy/4LqB1BLAwQUAAAACACHTuJAyZcn8RsCAAD9AwAADgAAAGRycy9lMm9Eb2MueG1srVNLktMw&#10;EN1TxR1U2hM7noQZUnFmkTBsKEgVcABFlm1V6VfdmnwuwQWoYgWsgNXsOQ0Mx6Alh2EYNrPAC7tl&#10;db/u9/Q0P99bw7YKUHtX8/Go5Ew56Rvtupq/eX3x6IwzjMI1wninan5QyM8XDx/Md2GmKt970yhg&#10;BOJwtgs172MMs6JA2SsrcOSDcrTZerAi0hK6ogGxI3RriqosHxc7D00ALxUi/V0Nm/yICPcB9G2r&#10;pVp5eWmViwMqKCMiUcJeB+SLPG3bKhlfti2qyEzNiWnMb2pC8Sa9i8VczDoQodfyOIK4zwh3OFmh&#10;HTW9gVqJKNgl6H+grJbg0bdxJL0tBiJZEWIxLu9o86oXQWUuJDWGG9Hx/8HKF9s1MN3UvHpSceaE&#10;pSO/fnf14+3H669fvn+4+vntfYo/f2IpgeTaBZxR1dKt4bjCsIbEfd+CTV9ixfYEWJ2U44qEPtR8&#10;MhmPTybTQW61j0xSwmR6SobgTFLCtDzLh1H8gQmA8ZnylqWg5hhB6K6PS+8cHauHcRZcbJ9jpEGo&#10;8HdBmsH5C21MPl3j2I6MXp3mXoIs25JVqK0NRBtdx5kwHd0FGSFDoje6SeUJCKHbLA2wrUgOyk9i&#10;Qe3+Sku9VwL7IS9vDWSj0Oapa1g8BFI2ghauM4qnkaxqODOKOqdoADUuNVXZuUdiSfBB4hRtfHPI&#10;yhdpRa7IsxwdnGx3e03x7Vu7+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EOEK1QAAAAkBAAAP&#10;AAAAAAAAAAEAIAAAACIAAABkcnMvZG93bnJldi54bWxQSwECFAAUAAAACACHTuJAyZcn8RsCAAD9&#10;AwAADgAAAAAAAAABACAAAAAkAQAAZHJzL2Uyb0RvYy54bWxQSwUGAAAAAAYABgBZAQAAsQUAAAAA&#10;">
                      <v:fill on="f" focussize="0,0"/>
                      <v:stroke weight="1pt" color="#000000" joinstyle="round" endarrow="block"/>
                      <v:imagedata o:title=""/>
                      <o:lock v:ext="edit" aspectratio="f"/>
                    </v:shape>
                  </w:pict>
                </mc:Fallback>
              </mc:AlternateContent>
            </w:r>
          </w:p>
          <w:p w14:paraId="6F742116">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62336" behindDoc="1" locked="0" layoutInCell="1" allowOverlap="1">
                      <wp:simplePos x="0" y="0"/>
                      <wp:positionH relativeFrom="column">
                        <wp:posOffset>1831975</wp:posOffset>
                      </wp:positionH>
                      <wp:positionV relativeFrom="paragraph">
                        <wp:posOffset>63500</wp:posOffset>
                      </wp:positionV>
                      <wp:extent cx="9525" cy="538480"/>
                      <wp:effectExtent l="29845" t="0" r="36830" b="13970"/>
                      <wp:wrapNone/>
                      <wp:docPr id="718" name="直接箭头连接符 718"/>
                      <wp:cNvGraphicFramePr/>
                      <a:graphic xmlns:a="http://schemas.openxmlformats.org/drawingml/2006/main">
                        <a:graphicData uri="http://schemas.microsoft.com/office/word/2010/wordprocessingShape">
                          <wps:wsp>
                            <wps:cNvCnPr/>
                            <wps:spPr>
                              <a:xfrm>
                                <a:off x="0" y="0"/>
                                <a:ext cx="9525" cy="5384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144.25pt;margin-top:5pt;height:42.4pt;width:0.75pt;z-index:-251654144;mso-width-relative:page;mso-height-relative:page;" filled="f" stroked="t" coordsize="21600,21600" o:gfxdata="UEsDBAoAAAAAAIdO4kAAAAAAAAAAAAAAAAAEAAAAZHJzL1BLAwQUAAAACACHTuJAWtd5r9YAAAAJ&#10;AQAADwAAAGRycy9kb3ducmV2LnhtbE2PwU7DMBBE70j8g7VIXBC1G5UqDXEqBSmIKy3i7MZLEhqv&#10;I9tpy9+zPcFtR/M0O1NuL24UJwxx8KRhuVAgkFpvB+o0fOybxxxETIasGT2hhh+MsK1ub0pTWH+m&#10;dzztUic4hGJhNPQpTYWUse3RmbjwExJ7Xz44k1iGTtpgzhzuRpkptZbODMQfejPhS4/tcTc7DQ/e&#10;1d+xOb7W86ptQr3+fMMu0/r+bqmeQSS8pD8YrvW5OlTc6eBnslGMGrI8f2KUDcWbGMg21+OgYbPK&#10;QVal/L+g+gVQSwMEFAAAAAgAh07iQLSwRfEPAgAA8QMAAA4AAABkcnMvZTJvRG9jLnhtbK1TzY7T&#10;MBC+I/EOlu80aaFsqZruoWW5IKgEPIDrOIkl/2nG27QvwQsgcQJOwGnvPA0sj8HYKWVZLnsgB2cc&#10;e76Z75svi/O9NWynALV3FR+PSs6Uk77Wrq34m9cXD2acYRSuFsY7VfGDQn6+vH9v0Ye5mvjOm1oB&#10;IxCH8z5UvIsxzIsCZaeswJEPytFh48GKSFtoixpET+jWFJOyfFz0HuoAXipE+roeDvkREe4C6JtG&#10;S7X28tIqFwdUUEZEooSdDsiXudumUTK+bBpUkZmKE9OYVypC8TatxXIh5i2I0Gl5bEHcpYVbnKzQ&#10;joqeoNYiCnYJ+h8oqyV49E0cSW+LgUhWhFiMy1vavOpEUJkLSY3hJDr+P1j5YrcBpuuKn41p8E5Y&#10;Gvn1u6sfbz9ef/3y/cPVz2/vU/z5E0sXSK4+4JyyVm4Dxx2GDSTu+wZsehMrts8SH04Sq31kkj4+&#10;mU6mnEk6mD6cPZrlARR/UgNgfKa8ZSmoOEYQuu3iyjtHo/QwziKL3XOMVJwSfyekus5faGPyRI1j&#10;PZl7clbSoKUgmzZkDwptIKroWs6Eacn/MkKGRG90ndITEEK7XRlgO5Fck5/EnMr9dS3VXgvshnv5&#10;aPBTFNo8dTWLh0BqRtDCtUbx1JJVNWdGUeUUDaDGpaIqu/VILIk8yJqira8PWe0i7cgJuZeja5PV&#10;bu4pvvmn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td5r9YAAAAJAQAADwAAAAAAAAABACAA&#10;AAAiAAAAZHJzL2Rvd25yZXYueG1sUEsBAhQAFAAAAAgAh07iQLSwRfEPAgAA8QMAAA4AAAAAAAAA&#10;AQAgAAAAJQEAAGRycy9lMm9Eb2MueG1sUEsFBgAAAAAGAAYAWQEAAKYFAAAAAA==&#10;">
                      <v:fill on="f" focussize="0,0"/>
                      <v:stroke weight="1pt" color="#000000" joinstyle="round"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680768" behindDoc="0" locked="0" layoutInCell="1" allowOverlap="1">
                      <wp:simplePos x="0" y="0"/>
                      <wp:positionH relativeFrom="column">
                        <wp:posOffset>1417320</wp:posOffset>
                      </wp:positionH>
                      <wp:positionV relativeFrom="paragraph">
                        <wp:posOffset>173990</wp:posOffset>
                      </wp:positionV>
                      <wp:extent cx="563245" cy="257175"/>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194D297D">
                                  <w:pPr>
                                    <w:jc w:val="center"/>
                                    <w:rPr>
                                      <w:rFonts w:hint="default" w:eastAsia="宋体"/>
                                      <w:sz w:val="18"/>
                                      <w:szCs w:val="18"/>
                                      <w:lang w:val="en-US" w:eastAsia="zh-CN"/>
                                    </w:rPr>
                                  </w:pPr>
                                  <w:r>
                                    <w:rPr>
                                      <w:rFonts w:hint="eastAsia" w:eastAsia="宋体"/>
                                      <w:sz w:val="18"/>
                                      <w:szCs w:val="18"/>
                                      <w:lang w:val="en-US" w:eastAsia="zh-CN"/>
                                    </w:rPr>
                                    <w:t>0.48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13.7pt;height:20.25pt;width:44.35pt;z-index:251680768;mso-width-relative:page;mso-height-relative:page;" filled="f" stroked="f" coordsize="21600,21600" o:gfxdata="UEsDBAoAAAAAAIdO4kAAAAAAAAAAAAAAAAAEAAAAZHJzL1BLAwQUAAAACACHTuJAOFOxMdsAAAAJ&#10;AQAADwAAAGRycy9kb3ducmV2LnhtbE2Py07DMBBF90j8gzVI7KgTF/oIcSoUqUJCdNHSDbtJPE0i&#10;YjvE7gO+nmEFuxnN0Z1z89XF9uJEY+i805BOEhDkam8612jYv63vFiBCRGew9440fFGAVXF9lWNm&#10;/Nlt6bSLjeAQFzLU0MY4ZFKGuiWLYeIHcnw7+NFi5HVspBnxzOG2lypJZtJi5/hDiwOVLdUfu6PV&#10;8FKuN7itlF189+Xz6+Fp+Ny/P2h9e5MmjyAiXeIfDL/6rA4FO1X+6EwQvQalpopRHub3IBiYpukS&#10;RKVhNl+CLHL5v0HxA1BLAwQUAAAACACHTuJAIvOaakMCAAB3BAAADgAAAGRycy9lMm9Eb2MueG1s&#10;rVTNjtMwEL4j8Q6W7zT9SxeqpquyVRFSxa5UEGfXcZpItsfYbpPyAPAGnLhw57n6HIydtFstHPbA&#10;xR3PTL7x981MZ7eNkuQgrKtAZ3TQ61MiNIe80ruMfvq4evWaEueZzpkELTJ6FI7ezl++mNVmKoZQ&#10;gsyFJQii3bQ2GS29N9MkcbwUirkeGKExWIBVzOPV7pLcshrRlUyG/f4kqcHmxgIXzqF32QZph2if&#10;AwhFUXGxBL5XQvsW1QrJPFJyZWUcncfXFoXg/r4onPBEZhSZ+nhiEbS34UzmMzbdWWbKindPYM95&#10;whNOilUai16glswzsrfVX1Cq4hYcFL7HQSUtkagIshj0n2izKZkRkQtK7cxFdPf/YPmHw4MlVZ7R&#10;UTqhRDOFLT/9+H76+fv06xsJTpSoNm6KmRuDub55Cw0Oztnv0BmYN4VV4Rc5EYyjwMeLwKLxhKMz&#10;nYyG45QSjqFhejO4SQNK8vixsc6/E6BIMDJqsX9RVnZYO9+mnlNCLQ2rSsrYQ6lJndHJKO3HDy4R&#10;BJc65Io4DR1MINQ+PFi+2TYdyy3kRyRpoZ0UZ/iqwqesmfMPzOJoIC9cHn+PRyEBS0JnUVKC/fov&#10;f8jHjmGUkhpHLaPuy55ZQYl8r7GXbwbjcZjNeBmnN0O82OvI9jqi9+oOcJoHuKaGRzPke3k2Cwvq&#10;M+7YIlTFENMca2fUn8073y4A7igXi0VMwmk0zK/1xvAA3Yq72Hsoqqh7kKnVBvsVLjiPsXPd7oSB&#10;v77HrMf/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FOxMdsAAAAJAQAADwAAAAAAAAABACAA&#10;AAAiAAAAZHJzL2Rvd25yZXYueG1sUEsBAhQAFAAAAAgAh07iQCLzmmpDAgAAdwQAAA4AAAAAAAAA&#10;AQAgAAAAKgEAAGRycy9lMm9Eb2MueG1sUEsFBgAAAAAGAAYAWQEAAN8FAAAAAA==&#10;">
                      <v:fill on="f" focussize="0,0"/>
                      <v:stroke on="f" weight="0.5pt"/>
                      <v:imagedata o:title=""/>
                      <o:lock v:ext="edit" aspectratio="f"/>
                      <v:textbox>
                        <w:txbxContent>
                          <w:p w14:paraId="194D297D">
                            <w:pPr>
                              <w:jc w:val="center"/>
                              <w:rPr>
                                <w:rFonts w:hint="default" w:eastAsia="宋体"/>
                                <w:sz w:val="18"/>
                                <w:szCs w:val="18"/>
                                <w:lang w:val="en-US" w:eastAsia="zh-CN"/>
                              </w:rPr>
                            </w:pPr>
                            <w:r>
                              <w:rPr>
                                <w:rFonts w:hint="eastAsia" w:eastAsia="宋体"/>
                                <w:sz w:val="18"/>
                                <w:szCs w:val="18"/>
                                <w:lang w:val="en-US" w:eastAsia="zh-CN"/>
                              </w:rPr>
                              <w:t>0.48</w:t>
                            </w:r>
                          </w:p>
                        </w:txbxContent>
                      </v:textbox>
                    </v:shape>
                  </w:pict>
                </mc:Fallback>
              </mc:AlternateContent>
            </w:r>
          </w:p>
          <w:p w14:paraId="62339C7A">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83840" behindDoc="0" locked="0" layoutInCell="1" allowOverlap="1">
                      <wp:simplePos x="0" y="0"/>
                      <wp:positionH relativeFrom="column">
                        <wp:posOffset>3270250</wp:posOffset>
                      </wp:positionH>
                      <wp:positionV relativeFrom="paragraph">
                        <wp:posOffset>231775</wp:posOffset>
                      </wp:positionV>
                      <wp:extent cx="828675" cy="485775"/>
                      <wp:effectExtent l="4445" t="4445" r="5080" b="5080"/>
                      <wp:wrapNone/>
                      <wp:docPr id="330" name="文本框 330"/>
                      <wp:cNvGraphicFramePr/>
                      <a:graphic xmlns:a="http://schemas.openxmlformats.org/drawingml/2006/main">
                        <a:graphicData uri="http://schemas.microsoft.com/office/word/2010/wordprocessingShape">
                          <wps:wsp>
                            <wps:cNvSpPr txBox="1"/>
                            <wps:spPr>
                              <a:xfrm>
                                <a:off x="0" y="0"/>
                                <a:ext cx="828675" cy="485775"/>
                              </a:xfrm>
                              <a:prstGeom prst="rect">
                                <a:avLst/>
                              </a:prstGeom>
                              <a:solidFill>
                                <a:schemeClr val="bg1"/>
                              </a:solidFill>
                              <a:ln w="6350">
                                <a:solidFill>
                                  <a:schemeClr val="tx1"/>
                                </a:solidFill>
                              </a:ln>
                              <a:effectLst/>
                            </wps:spPr>
                            <wps:txbx>
                              <w:txbxContent>
                                <w:p w14:paraId="2137FA82">
                                  <w:pPr>
                                    <w:jc w:val="center"/>
                                    <w:rPr>
                                      <w:sz w:val="18"/>
                                      <w:szCs w:val="18"/>
                                    </w:rPr>
                                  </w:pPr>
                                  <w:r>
                                    <w:rPr>
                                      <w:rFonts w:hint="eastAsia"/>
                                      <w:sz w:val="18"/>
                                      <w:szCs w:val="18"/>
                                    </w:rPr>
                                    <w:t>自建循环水处理系统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18.25pt;height:38.25pt;width:65.25pt;z-index:251683840;mso-width-relative:page;mso-height-relative:page;" fillcolor="#FFFFFF [3212]" filled="t" stroked="t" coordsize="21600,21600" o:gfxdata="UEsDBAoAAAAAAIdO4kAAAAAAAAAAAAAAAAAEAAAAZHJzL1BLAwQUAAAACACHTuJA8/J/t9YAAAAK&#10;AQAADwAAAGRycy9kb3ducmV2LnhtbE2PwUrEMBCG74LvEEbw5ibd2iK16YKCIN5ce/GWbWbbYjIp&#10;SXa7vr3jSW8zzMc/39/uLt6JM8Y0B9JQbBQIpCHYmUYN/cfL3QOIlA1Z4wKhhm9MsOuur1rT2LDS&#10;O573eRQcQqkxGqacl0bKNEzoTdqEBYlvxxC9ybzGUdpoVg73Tm6VqqU3M/GHySz4POHwtT95Da/1&#10;U/7E3r7ZcluGtZdDPLqk9e1NoR5BZLzkPxh+9VkdOnY6hBPZJJyGqqi4S9ZQ1hUIBur7iocDk0Wp&#10;QHat/F+h+wFQSwMEFAAAAAgAh07iQNGyXaZdAgAAyQQAAA4AAABkcnMvZTJvRG9jLnhtbK1UvW7b&#10;MBDeC/QdCO61bMd2XCNy4CZwUSBoArhFZ5qiLAIkjyVpS+kDtG/QqUv3Ppefo0dKdpykQ4ZqoO5P&#10;3919vNPFZaMV2QnnJZicDnp9SoThUEizyennT8s3U0p8YKZgCozI6b3w9HL++tVFbWdiCBWoQjiC&#10;IMbPapvTKgQ7yzLPK6GZ74EVBp0lOM0Cqm6TFY7ViK5VNuz3J1kNrrAOuPAerdetk3aI7iWAUJaS&#10;i2vgWy1MaFGdUCxgS76S1tN5qrYsBQ+3ZelFICqn2GlIJyZBeR3PbH7BZhvHbCV5VwJ7SQlPetJM&#10;Gkx6hLpmgZGtk8+gtOQOPJShx0FnbSOJEexi0H/CzapiVqRekGpvj6T7/wfLP+7uHJFFTs/OkBPD&#10;NF75/ueP/a8/+9/fSTQiRbX1M4xcWYwNzTtocHAOdo/G2HlTOh3f2BNBP4LdHwkWTSAcjdPhdHI+&#10;poSjazQdn6OM6NnDx9b58F6AJlHIqcP7S7Sy3Y0PbeghJObyoGSxlEolxW3WV8qRHcO7XqanQ38U&#10;pgypczo5G/cT8iOfP4Xop+c5BJarTEwo0nx1hUWKWiqiFJp10/G2huIeaXPQzp63fCmxuRvmwx1z&#10;OGzIFK5juMWjVIC1QSdRUoH79i97jMcZQC8lNQ5vTv3XLXOCEvXB4HS8HYxGCBuSMhqfD1Fxp571&#10;qcds9RUgZwNcfMuTGOODOoilA/0Ft3YRs6KLGY65cxoO4lVoVwq3novFIgXhfFsWbszK8ggdCTOw&#10;2AYoZbrJSFPLDU5AVHDC0yx02xhX6FRPUQ9/o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J/&#10;t9YAAAAKAQAADwAAAAAAAAABACAAAAAiAAAAZHJzL2Rvd25yZXYueG1sUEsBAhQAFAAAAAgAh07i&#10;QNGyXaZdAgAAyQQAAA4AAAAAAAAAAQAgAAAAJQEAAGRycy9lMm9Eb2MueG1sUEsFBgAAAAAGAAYA&#10;WQEAAPQFAAAAAA==&#10;">
                      <v:fill on="t" focussize="0,0"/>
                      <v:stroke weight="0.5pt" color="#000000 [3213]" joinstyle="round"/>
                      <v:imagedata o:title=""/>
                      <o:lock v:ext="edit" aspectratio="f"/>
                      <v:textbox>
                        <w:txbxContent>
                          <w:p w14:paraId="2137FA82">
                            <w:pPr>
                              <w:jc w:val="center"/>
                              <w:rPr>
                                <w:sz w:val="18"/>
                                <w:szCs w:val="18"/>
                              </w:rPr>
                            </w:pPr>
                            <w:r>
                              <w:rPr>
                                <w:rFonts w:hint="eastAsia"/>
                                <w:sz w:val="18"/>
                                <w:szCs w:val="18"/>
                              </w:rPr>
                              <w:t>自建循环水处理系统</w:t>
                            </w:r>
                          </w:p>
                        </w:txbxContent>
                      </v:textbox>
                    </v:shape>
                  </w:pict>
                </mc:Fallback>
              </mc:AlternateContent>
            </w:r>
            <w:r>
              <w:rPr>
                <w:rFonts w:hint="default"/>
                <w:color w:val="auto"/>
              </w:rPr>
              <mc:AlternateContent>
                <mc:Choice Requires="wps">
                  <w:drawing>
                    <wp:anchor distT="0" distB="0" distL="114300" distR="114300" simplePos="0" relativeHeight="251677696" behindDoc="0" locked="0" layoutInCell="1" allowOverlap="1">
                      <wp:simplePos x="0" y="0"/>
                      <wp:positionH relativeFrom="column">
                        <wp:posOffset>2041525</wp:posOffset>
                      </wp:positionH>
                      <wp:positionV relativeFrom="paragraph">
                        <wp:posOffset>12700</wp:posOffset>
                      </wp:positionV>
                      <wp:extent cx="847725" cy="267335"/>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847725" cy="267335"/>
                              </a:xfrm>
                              <a:prstGeom prst="rect">
                                <a:avLst/>
                              </a:prstGeom>
                              <a:noFill/>
                              <a:ln w="6350">
                                <a:noFill/>
                              </a:ln>
                              <a:effectLst/>
                            </wps:spPr>
                            <wps:txbx>
                              <w:txbxContent>
                                <w:p w14:paraId="2A8218FC">
                                  <w:pPr>
                                    <w:jc w:val="center"/>
                                    <w:rPr>
                                      <w:rFonts w:hint="default" w:eastAsia="宋体"/>
                                      <w:sz w:val="18"/>
                                      <w:szCs w:val="18"/>
                                      <w:lang w:val="en-US" w:eastAsia="zh-CN"/>
                                    </w:rPr>
                                  </w:pPr>
                                  <w:r>
                                    <w:rPr>
                                      <w:rFonts w:hint="eastAsia"/>
                                      <w:sz w:val="18"/>
                                      <w:szCs w:val="18"/>
                                    </w:rPr>
                                    <w:t>消耗</w:t>
                                  </w:r>
                                  <w:r>
                                    <w:rPr>
                                      <w:rFonts w:hint="eastAsia" w:eastAsia="宋体"/>
                                      <w:sz w:val="18"/>
                                      <w:szCs w:val="18"/>
                                      <w:lang w:val="en-US" w:eastAsia="zh-CN"/>
                                    </w:rPr>
                                    <w:t>2.193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75pt;margin-top:1pt;height:21.05pt;width:66.75pt;z-index:251677696;mso-width-relative:page;mso-height-relative:page;" filled="f" stroked="f" coordsize="21600,21600" o:gfxdata="UEsDBAoAAAAAAIdO4kAAAAAAAAAAAAAAAAAEAAAAZHJzL1BLAwQUAAAACACHTuJAj/q0CdkAAAAI&#10;AQAADwAAAGRycy9kb3ducmV2LnhtbE2PzU7DMBCE70i8g7WVuFEnoUFViFOhSBUSgkNLL9yceJtE&#10;tdchdn/g6VlO9DarGc1+U64uzooTTmHwpCCdJyCQWm8G6hTsPtb3SxAhajLaekIF3xhgVd3elLow&#10;/kwbPG1jJ7iEQqEV9DGOhZSh7dHpMPcjEnt7Pzkd+Zw6aSZ95nJnZZYkj9LpgfhDr0ese2wP26NT&#10;8Fqv3/Wmydzyx9Yvb/vn8Wv3mSt1N0uTJxARL/E/DH/4jA4VMzX+SCYIq+AhS3OOKsh4EvuLPGfR&#10;sFikIKtSXg+ofgFQSwMEFAAAAAgAh07iQC7HkGRDAgAAdwQAAA4AAABkcnMvZTJvRG9jLnhtbK1U&#10;zY7TMBC+I/EOlu80/e9SNV2VrYqQKnalgji7jtNEsj3GdpuUB4A32BMX7jxXn4Oxk3arhcMeuLjj&#10;mck3/r6Z6ey2VpIchHUl6JT2Ol1KhOaQlXqX0s+fVm9uKHGe6YxJ0CKlR+Ho7fz1q1llpqIPBchM&#10;WIIg2k0rk9LCezNNEscLoZjrgBEagzlYxTxe7S7JLKsQXcmk3+2OkwpsZixw4Rx6l02Qtoj2JYCQ&#10;5yUXS+B7JbRvUK2QzCMlV5TG0Xl8bZ4L7u/z3AlPZEqRqY8nFkF7G85kPmPTnWWmKHn7BPaSJzzj&#10;pFipsegFask8I3tb/gWlSm7BQe47HFTSEImKIIte95k2m4IZEbmg1M5cRHf/D5Z/PDxYUmYpHQwG&#10;lGimsOWnxx+nn79Pv76T4ESJKuOmmLkxmOvrd1Dj4Jz9Dp2BeZ1bFX6RE8E4Cny8CCxqTzg6b4aT&#10;SX9ECcdQfzwZDEYBJXn62Fjn3wtQJBgptdi/KCs7rJ1vUs8poZaGVSll7KHUpErpeDDqxg8uEQSX&#10;OuSKOA0tTCDUPDxYvt7WLcstZEckaaGZFGf4qsSnrJnzD8ziaCAvXB5/j0cuAUtCa1FSgP32L3/I&#10;x45hlJIKRy2l7uueWUGJ/KCxl297w2GYzXgZjiZ9vNjryPY6ovfqDnCae7imhkcz5Ht5NnML6gvu&#10;2CJUxRDTHGun1J/NO98sAO4oF4tFTMJpNMyv9cbwAN2Iu9h7yMuoe5Cp0Qb7FS44j7Fz7e6Egb++&#10;x6yn/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6tAnZAAAACAEAAA8AAAAAAAAAAQAgAAAA&#10;IgAAAGRycy9kb3ducmV2LnhtbFBLAQIUABQAAAAIAIdO4kAux5BkQwIAAHcEAAAOAAAAAAAAAAEA&#10;IAAAACgBAABkcnMvZTJvRG9jLnhtbFBLBQYAAAAABgAGAFkBAADdBQAAAAA=&#10;">
                      <v:fill on="f" focussize="0,0"/>
                      <v:stroke on="f" weight="0.5pt"/>
                      <v:imagedata o:title=""/>
                      <o:lock v:ext="edit" aspectratio="f"/>
                      <v:textbox>
                        <w:txbxContent>
                          <w:p w14:paraId="2A8218FC">
                            <w:pPr>
                              <w:jc w:val="center"/>
                              <w:rPr>
                                <w:rFonts w:hint="default" w:eastAsia="宋体"/>
                                <w:sz w:val="18"/>
                                <w:szCs w:val="18"/>
                                <w:lang w:val="en-US" w:eastAsia="zh-CN"/>
                              </w:rPr>
                            </w:pPr>
                            <w:r>
                              <w:rPr>
                                <w:rFonts w:hint="eastAsia"/>
                                <w:sz w:val="18"/>
                                <w:szCs w:val="18"/>
                              </w:rPr>
                              <w:t>消耗</w:t>
                            </w:r>
                            <w:r>
                              <w:rPr>
                                <w:rFonts w:hint="eastAsia" w:eastAsia="宋体"/>
                                <w:sz w:val="18"/>
                                <w:szCs w:val="18"/>
                                <w:lang w:val="en-US" w:eastAsia="zh-CN"/>
                              </w:rPr>
                              <w:t>2.193</w:t>
                            </w:r>
                          </w:p>
                        </w:txbxContent>
                      </v:textbox>
                    </v:shape>
                  </w:pict>
                </mc:Fallback>
              </mc:AlternateContent>
            </w:r>
            <w:r>
              <w:rPr>
                <w:color w:val="auto"/>
                <w:sz w:val="24"/>
              </w:rPr>
              <mc:AlternateContent>
                <mc:Choice Requires="wps">
                  <w:drawing>
                    <wp:anchor distT="0" distB="0" distL="114300" distR="114300" simplePos="0" relativeHeight="251754496" behindDoc="0" locked="0" layoutInCell="1" allowOverlap="1">
                      <wp:simplePos x="0" y="0"/>
                      <wp:positionH relativeFrom="column">
                        <wp:posOffset>1525270</wp:posOffset>
                      </wp:positionH>
                      <wp:positionV relativeFrom="paragraph">
                        <wp:posOffset>286385</wp:posOffset>
                      </wp:positionV>
                      <wp:extent cx="790575" cy="295275"/>
                      <wp:effectExtent l="4445" t="4445" r="5080" b="5080"/>
                      <wp:wrapNone/>
                      <wp:docPr id="42" name="文本框 42"/>
                      <wp:cNvGraphicFramePr/>
                      <a:graphic xmlns:a="http://schemas.openxmlformats.org/drawingml/2006/main">
                        <a:graphicData uri="http://schemas.microsoft.com/office/word/2010/wordprocessingShape">
                          <wps:wsp>
                            <wps:cNvSpPr txBox="1"/>
                            <wps:spPr>
                              <a:xfrm>
                                <a:off x="0" y="0"/>
                                <a:ext cx="79057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010358">
                                  <w:pPr>
                                    <w:rPr>
                                      <w:rFonts w:hint="default" w:eastAsia="宋体"/>
                                      <w:lang w:val="en-US" w:eastAsia="zh-CN"/>
                                    </w:rPr>
                                  </w:pPr>
                                  <w:r>
                                    <w:rPr>
                                      <w:rFonts w:hint="eastAsia" w:eastAsia="宋体"/>
                                      <w:lang w:val="en-US" w:eastAsia="zh-CN"/>
                                    </w:rPr>
                                    <w:t>清洗、甩干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pt;margin-top:22.55pt;height:23.25pt;width:62.25pt;z-index:251754496;mso-width-relative:page;mso-height-relative:page;" fillcolor="#FFFFFF [3201]" filled="t" stroked="t" coordsize="21600,21600" o:gfxdata="UEsDBAoAAAAAAIdO4kAAAAAAAAAAAAAAAAAEAAAAZHJzL1BLAwQUAAAACACHTuJA3gPGGNYAAAAJ&#10;AQAADwAAAGRycy9kb3ducmV2LnhtbE2Py07DMBBF90j8gzVI7KidBwFCJpVAQkLsKNmwc+NpEmGP&#10;o9htyt9jVrAc3aN7zzTbs7PiREuYPCNkGwWCuPdm4gGh+3i5uQcRomajrWdC+KYA2/byotG18Su/&#10;02kXB5FKONQaYYxxrqUM/UhOh42fiVN28IvTMZ3LIM2i11TurMyVqqTTE6eFUc/0PFL/tTs6hNfq&#10;KX5SZ95MkRd+7WS/HGxAvL7K1COISOf4B8OvflKHNjnt/ZFNEBYhL1WeUITyNgORgKIq70DsER6y&#10;CmTbyP8ftD9QSwMEFAAAAAgAh07iQMfTjLRYAgAAuAQAAA4AAABkcnMvZTJvRG9jLnhtbK1UzW4a&#10;MRC+V+o7WL43CxSSglgiCqKqFDWR0qpn4/WyVm2Paxt20wdo36CnXnrvc/EcHXsXQpIecigHM398&#10;M/PNDNPLRiuyE85LMDntn/UoEYZDIc0mp58+rl69ocQHZgqmwIic3glPL2cvX0xrOxEDqEAVwhEE&#10;MX5S25xWIdhJlnleCc38GVhh0FmC0yyg6jZZ4ViN6Fplg17vPKvBFdYBF96jddk6aYfongMIZSm5&#10;WALfamFCi+qEYgFb8pW0ns5StWUpeLguSy8CUTnFTkN6MQnK6/hmsymbbByzleRdCew5JTzqSTNp&#10;MOkRaskCI1snn0BpyR14KMMZB521jSRGsIt+7xE3txWzIvWCVHt7JN3/P1j+YXfjiCxyOhxQYpjG&#10;ie9//tj/+rP//Z2gDQmqrZ9g3K3FyNC8hQbX5mD3aIx9N6XT8Rs7IuhHeu+O9IomEI7Gi3FvdDGi&#10;hKNrMB4NUEb07P7H1vnwToAmUcipw+klUtnuyoc29BASc3lQslhJpZLiNuuFcmTHcNKr9OnQH4Qp&#10;Q+qcnr8e9RLyA1/EPkKsFeNfniJgtcpg0ZGTtvcohWbddEStobhDnhy0q+YtX0nEvWI+3DCHu4XU&#10;4PWFa3xKBVgMdBIlFbhv/7LHeBw5eimpcVdz6r9umROUqPcGl2HcHw7jcidlOLoYoOJOPetTj9nq&#10;BSBJfbxzy5MY44M6iKUD/RmPdB6zoosZjrlzGg7iIrQXhEfOxXyegnCdLQtX5tbyCB1HYmC+DVDK&#10;NLpIU8tNxx4udBp+d3zxYk71FHX/hzP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4DxhjWAAAA&#10;CQEAAA8AAAAAAAAAAQAgAAAAIgAAAGRycy9kb3ducmV2LnhtbFBLAQIUABQAAAAIAIdO4kDH04y0&#10;WAIAALgEAAAOAAAAAAAAAAEAIAAAACUBAABkcnMvZTJvRG9jLnhtbFBLBQYAAAAABgAGAFkBAADv&#10;BQAAAAA=&#10;">
                      <v:fill on="t" focussize="0,0"/>
                      <v:stroke weight="0.5pt" color="#000000 [3204]" joinstyle="round"/>
                      <v:imagedata o:title=""/>
                      <o:lock v:ext="edit" aspectratio="f"/>
                      <v:textbox>
                        <w:txbxContent>
                          <w:p w14:paraId="7F010358">
                            <w:pPr>
                              <w:rPr>
                                <w:rFonts w:hint="default" w:eastAsia="宋体"/>
                                <w:lang w:val="en-US" w:eastAsia="zh-CN"/>
                              </w:rPr>
                            </w:pPr>
                            <w:r>
                              <w:rPr>
                                <w:rFonts w:hint="eastAsia" w:eastAsia="宋体"/>
                                <w:lang w:val="en-US" w:eastAsia="zh-CN"/>
                              </w:rPr>
                              <w:t>清洗、甩干</w:t>
                            </w:r>
                          </w:p>
                        </w:txbxContent>
                      </v:textbox>
                    </v:shape>
                  </w:pict>
                </mc:Fallback>
              </mc:AlternateContent>
            </w:r>
            <w:r>
              <w:rPr>
                <w:rFonts w:hint="default"/>
                <w:color w:val="auto"/>
              </w:rPr>
              <mc:AlternateContent>
                <mc:Choice Requires="wps">
                  <w:drawing>
                    <wp:anchor distT="0" distB="0" distL="114300" distR="114300" simplePos="0" relativeHeight="251674624" behindDoc="0" locked="0" layoutInCell="1" allowOverlap="1">
                      <wp:simplePos x="0" y="0"/>
                      <wp:positionH relativeFrom="column">
                        <wp:posOffset>2543810</wp:posOffset>
                      </wp:positionH>
                      <wp:positionV relativeFrom="paragraph">
                        <wp:posOffset>242570</wp:posOffset>
                      </wp:positionV>
                      <wp:extent cx="563245" cy="257175"/>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65DF380F">
                                  <w:pPr>
                                    <w:jc w:val="center"/>
                                    <w:rPr>
                                      <w:rFonts w:hint="default" w:eastAsia="宋体"/>
                                      <w:sz w:val="18"/>
                                      <w:szCs w:val="18"/>
                                      <w:lang w:val="en-US" w:eastAsia="zh-CN"/>
                                    </w:rPr>
                                  </w:pPr>
                                  <w:r>
                                    <w:rPr>
                                      <w:rFonts w:hint="eastAsia" w:eastAsia="宋体"/>
                                      <w:sz w:val="18"/>
                                      <w:szCs w:val="18"/>
                                      <w:lang w:val="en-US" w:eastAsia="zh-CN"/>
                                    </w:rPr>
                                    <w:t>41.667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3pt;margin-top:19.1pt;height:20.25pt;width:44.35pt;z-index:251674624;mso-width-relative:page;mso-height-relative:page;" filled="f" stroked="f" coordsize="21600,21600" o:gfxdata="UEsDBAoAAAAAAIdO4kAAAAAAAAAAAAAAAAAEAAAAZHJzL1BLAwQUAAAACACHTuJA1FAGRNkAAAAJ&#10;AQAADwAAAGRycy9kb3ducmV2LnhtbE2PTU/DMAxA70j8h8hI3Fi6brCs1J1QpQkJwWFjl93cxmsr&#10;mqQ02Qf8esIJjpafnp/z1cX04sSj75xFmE4SEGxrpzvbIOze13cKhA9kNfXOMsIXe1gV11c5Zdqd&#10;7YZP29CIKLE+I4Q2hCGT0tctG/ITN7CNu4MbDYU4jo3UI52j3PQyTZIHaaiz8UJLA5ct1x/bo0F4&#10;KddvtKlSo7778vn18DR87vb3iLc30+QRROBL+IPhNz+mQxGbKne02oseYR7tEUWYqRREBOZqOQNR&#10;ISzUAmSRy/8fFD9QSwMEFAAAAAgAh07iQHBtwxlDAgAAdwQAAA4AAABkcnMvZTJvRG9jLnhtbK1U&#10;zY7TMBC+I/EOlu80/UsXqqarslURUsWuVBBn13GaSLbH2G6T8gDwBpy4cOe5+hyMnbRbLRz2wMUd&#10;z0y+8ffNTGe3jZLkIKyrQGd00OtTIjSHvNK7jH76uHr1mhLnmc6ZBC0yehSO3s5fvpjVZiqGUILM&#10;hSUIot20NhktvTfTJHG8FIq5HhihMViAVczj1e6S3LIa0ZVMhv3+JKnB5sYCF86hd9kGaYdonwMI&#10;RVFxsQS+V0L7FtUKyTxScmVlHJ3H1xaF4P6+KJzwRGYUmfp4YhG0t+FM5jM23Vlmyop3T2DPecIT&#10;TopVGoteoJbMM7K31V9QquIWHBS+x0ElLZGoCLIY9J9osymZEZELSu3MRXT3/2D5h8ODJVWe0dEE&#10;NdFMYctPP76ffv4+/fpGghMlqo2bYubGYK5v3kKDg3P2O3QG5k1hVfhFTgTjCHa8CCwaTzg608lo&#10;OE4p4RgapjeDmzSgJI8fG+v8OwGKBCOjFvsXZWWHtfNt6jkl1NKwqqSMPZSa1BmdjNJ+/OASQXCp&#10;Q66I09DBBELtw4Plm23TsdxCfkSSFtpJcYavKnzKmjn/wCyOBvLC5fH3eBQSsCR0FiUl2K//8od8&#10;7BhGKalx1DLqvuyZFZTI9xp7+WYwHiOsj5dxejPEi72ObK8jeq/uAKd5gGtqeDRDvpdns7CgPuOO&#10;LUJVDDHNsXZG/dm88+0C4I5ysVjEJJxGw/xabwwP0K24i72Hooq6B5labbBf4YLzGDvX7U4Y+Ot7&#10;zHr8v5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RQBkTZAAAACQEAAA8AAAAAAAAAAQAgAAAA&#10;IgAAAGRycy9kb3ducmV2LnhtbFBLAQIUABQAAAAIAIdO4kBwbcMZQwIAAHcEAAAOAAAAAAAAAAEA&#10;IAAAACgBAABkcnMvZTJvRG9jLnhtbFBLBQYAAAAABgAGAFkBAADdBQAAAAA=&#10;">
                      <v:fill on="f" focussize="0,0"/>
                      <v:stroke on="f" weight="0.5pt"/>
                      <v:imagedata o:title=""/>
                      <o:lock v:ext="edit" aspectratio="f"/>
                      <v:textbox>
                        <w:txbxContent>
                          <w:p w14:paraId="65DF380F">
                            <w:pPr>
                              <w:jc w:val="center"/>
                              <w:rPr>
                                <w:rFonts w:hint="default" w:eastAsia="宋体"/>
                                <w:sz w:val="18"/>
                                <w:szCs w:val="18"/>
                                <w:lang w:val="en-US" w:eastAsia="zh-CN"/>
                              </w:rPr>
                            </w:pPr>
                            <w:r>
                              <w:rPr>
                                <w:rFonts w:hint="eastAsia" w:eastAsia="宋体"/>
                                <w:sz w:val="18"/>
                                <w:szCs w:val="18"/>
                                <w:lang w:val="en-US" w:eastAsia="zh-CN"/>
                              </w:rPr>
                              <w:t>41.667</w:t>
                            </w:r>
                          </w:p>
                        </w:txbxContent>
                      </v:textbox>
                    </v:shape>
                  </w:pict>
                </mc:Fallback>
              </mc:AlternateContent>
            </w:r>
            <w:r>
              <w:rPr>
                <w:rFonts w:hint="default"/>
                <w:color w:val="auto"/>
              </w:rPr>
              <mc:AlternateContent>
                <mc:Choice Requires="wps">
                  <w:drawing>
                    <wp:anchor distT="0" distB="0" distL="114300" distR="114300" simplePos="0" relativeHeight="251669504" behindDoc="1" locked="0" layoutInCell="1" allowOverlap="1">
                      <wp:simplePos x="0" y="0"/>
                      <wp:positionH relativeFrom="column">
                        <wp:posOffset>1976755</wp:posOffset>
                      </wp:positionH>
                      <wp:positionV relativeFrom="paragraph">
                        <wp:posOffset>140970</wp:posOffset>
                      </wp:positionV>
                      <wp:extent cx="161925" cy="213995"/>
                      <wp:effectExtent l="6350" t="24765" r="8255" b="3810"/>
                      <wp:wrapNone/>
                      <wp:docPr id="5" name="曲线连接符 5"/>
                      <wp:cNvGraphicFramePr/>
                      <a:graphic xmlns:a="http://schemas.openxmlformats.org/drawingml/2006/main">
                        <a:graphicData uri="http://schemas.microsoft.com/office/word/2010/wordprocessingShape">
                          <wps:wsp>
                            <wps:cNvCnPr/>
                            <wps:spPr>
                              <a:xfrm rot="-5400000">
                                <a:off x="0" y="0"/>
                                <a:ext cx="161925" cy="213995"/>
                              </a:xfrm>
                              <a:prstGeom prst="curvedConnector2">
                                <a:avLst/>
                              </a:prstGeom>
                              <a:ln w="12700" cap="flat" cmpd="sng">
                                <a:solidFill>
                                  <a:srgbClr val="000000"/>
                                </a:solidFill>
                                <a:prstDash val="sysDash"/>
                                <a:headEnd type="none" w="med" len="med"/>
                                <a:tailEnd type="triangle" w="med" len="med"/>
                              </a:ln>
                            </wps:spPr>
                            <wps:bodyPr/>
                          </wps:wsp>
                        </a:graphicData>
                      </a:graphic>
                    </wp:anchor>
                  </w:drawing>
                </mc:Choice>
                <mc:Fallback>
                  <w:pict>
                    <v:shape id="_x0000_s1026" o:spid="_x0000_s1026" o:spt="37" type="#_x0000_t37" style="position:absolute;left:0pt;margin-left:155.65pt;margin-top:11.1pt;height:16.85pt;width:12.75pt;rotation:-5898240f;z-index:-251646976;mso-width-relative:page;mso-height-relative:page;" filled="f" stroked="t" coordsize="21600,21600" o:gfxdata="UEsDBAoAAAAAAIdO4kAAAAAAAAAAAAAAAAAEAAAAZHJzL1BLAwQUAAAACACHTuJABRA3x9kAAAAJ&#10;AQAADwAAAGRycy9kb3ducmV2LnhtbE2Py07DQAxF90j8w8hI7OjkQStI41QCUbGCiNIuunMTkwQy&#10;nigzbcrfM6xgafno3nPz1dn06sSj66wgxLMIFEtl604ahO37+uYOlPMkNfVWGOGbHayKy4ucstpO&#10;8sanjW9UCBGXEULr/ZBp7aqWDbmZHVjC78OOhnw4x0bXI00h3PQ6iaKFNtRJaGhp4MeWq6/N0SBM&#10;+2d52D3dmnL34tZlOfEnbV8Rr6/iaAnK89n/wfCrH9ShCE4He5TaqR4hjeM0oAhJkoAKQJouwpYD&#10;wnx+D7rI9f8FxQ9QSwMEFAAAAAgAh07iQKwxtrQQAgAA/gMAAA4AAABkcnMvZTJvRG9jLnhtbK1T&#10;zW4TMRC+I/EOlu/NJgspZJVNDwnlgiAS9AEc27tryX/yONnkJXgBJG5w4sSRS9+m5TEYe9MUipB6&#10;wAdrxp75Zr7P4/nF3miykwGUszWdjMaUSMudULat6dWHy7OXlEBkVjDtrKzpQQK9WDx9Mu99JUvX&#10;OS1kIAhioep9TbsYfVUUwDtpGIyclxYvGxcMi+iGthCB9YhudFGOx+dF74LwwXEJgKer4ZIeEcNj&#10;AF3TKC5Xjm+NtHFADVKziJSgUx7oInfbNJLHd00DMhJdU2Qa845F0N6kvVjMWdUG5jvFjy2wx7Tw&#10;gJNhymLRE9SKRUa2Qf0FZRQPDlwTR9yZYiCSFUEWk/EDbd53zMvMBaUGfxId/h8sf7tbB6JETaeU&#10;WGbwwW8+fb/9cf3z+vPNxy+3376SaRKp91Bh7NKuw9EDvw6J8b4JhgSHyp5Nn4/TykIgNbLPOh9O&#10;Ost9JBwPJ+eTWYn1OF6Vk2ezWS5RDFgJ0weIr6UzJBk15duwk2LprMX3dKHMBdjuDUTsBdPuwlOq&#10;tqTHCuUL7INwhgPa4GCgaTySBNvmZHBaiUuldUqB0G6WOpAdS0MyUBiA/whLVVYMuiEODpCcYYA6&#10;ycQrK0g8eBTQ4r+hqQsjBSVa4jdLFkKyKjKl7yNjUMy2+h/RyExbJJi0H9RO1saJQ36EfI5jkSU4&#10;jnCau9/9nH3/bR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UQN8fZAAAACQEAAA8AAAAAAAAA&#10;AQAgAAAAIgAAAGRycy9kb3ducmV2LnhtbFBLAQIUABQAAAAIAIdO4kCsMba0EAIAAP4DAAAOAAAA&#10;AAAAAAEAIAAAACgBAABkcnMvZTJvRG9jLnhtbFBLBQYAAAAABgAGAFkBAACqBQAAAAA=&#10;">
                      <v:fill on="f" focussize="0,0"/>
                      <v:stroke weight="1pt" color="#000000" joinstyle="round" dashstyle="3 1"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686912" behindDoc="0" locked="0" layoutInCell="1" allowOverlap="1">
                      <wp:simplePos x="0" y="0"/>
                      <wp:positionH relativeFrom="column">
                        <wp:posOffset>974725</wp:posOffset>
                      </wp:positionH>
                      <wp:positionV relativeFrom="paragraph">
                        <wp:posOffset>233680</wp:posOffset>
                      </wp:positionV>
                      <wp:extent cx="563245" cy="257175"/>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0CCE1A24">
                                  <w:pPr>
                                    <w:jc w:val="center"/>
                                    <w:rPr>
                                      <w:rFonts w:hint="default" w:eastAsia="宋体"/>
                                      <w:sz w:val="18"/>
                                      <w:szCs w:val="18"/>
                                      <w:lang w:val="en-US" w:eastAsia="zh-CN"/>
                                    </w:rPr>
                                  </w:pPr>
                                  <w:r>
                                    <w:rPr>
                                      <w:rFonts w:hint="eastAsia" w:eastAsia="宋体"/>
                                      <w:sz w:val="18"/>
                                      <w:szCs w:val="18"/>
                                      <w:lang w:val="en-US" w:eastAsia="zh-CN"/>
                                    </w:rPr>
                                    <w:t>6.36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75pt;margin-top:18.4pt;height:20.25pt;width:44.35pt;z-index:251686912;mso-width-relative:page;mso-height-relative:page;" filled="f" stroked="f" coordsize="21600,21600" o:gfxdata="UEsDBAoAAAAAAIdO4kAAAAAAAAAAAAAAAAAEAAAAZHJzL1BLAwQUAAAACACHTuJAPBxpJNoAAAAJ&#10;AQAADwAAAGRycy9kb3ducmV2LnhtbE2Py07DMBBF90j8gzVI7KhTh7RViFOhSBUSgkVLN+wmsZtE&#10;xOMQuw/4eoYVLK/m6M65xfriBnGyU+g9aZjPEhCWGm96ajXs3zZ3KxAhIhkcPFkNXzbAury+KjA3&#10;/kxbe9rFVnAJhRw1dDGOuZSh6azDMPOjJb4d/OQwcpxaaSY8c7kbpEqShXTYE3/ocLRVZ5uP3dFp&#10;eK42r7itlVt9D9XTy+Fx/Ny/Z1rf3syTBxDRXuIfDL/6rA4lO9X+SCaIgXOWZoxqSBc8gQF1rxSI&#10;WsNymYIsC/l/QfkDUEsDBBQAAAAIAIdO4kAcB0N6QwIAAHcEAAAOAAAAZHJzL2Uyb0RvYy54bWyt&#10;VM2O0zAQviPxDpbvNE3/Fqqmq7JVEVLFrlQQZ9dxmki2x9huk/IA8AacuHDnufocjJ20Wy0c9sDF&#10;Hc9Mvpnvm3Fnt42S5CCsq0BnNO31KRGaQ17pXUY/fVy9ek2J80znTIIWGT0KR2/nL1/MajMVAyhB&#10;5sISBNFuWpuMlt6baZI4XgrFXA+M0BgswCrm8Wp3SW5ZjehKJoN+f5LUYHNjgQvn0Ltsg7RDtM8B&#10;hKKouFgC3yuhfYtqhWQeKbmyMo7OY7dFIbi/LwonPJEZRaY+nlgE7W04k/mMTXeWmbLiXQvsOS08&#10;4aRYpbHoBWrJPCN7W/0FpSpuwUHhexxU0hKJiiCLtP9Em03JjIhcUGpnLqK7/wfLPxweLKnyjA7T&#10;lBLNFI789OP76efv069vJDhRotq4KWZuDOb65i00uDhnv0NnYN4UVoVf5EQwjgIfLwKLxhOOzvFk&#10;OBiNKeEYGoxv0ptxQEkePzbW+XcCFAlGRi3OL8rKDmvn29RzSqilYVVJGWcoNakzOhmO+/GDSwTB&#10;pQ65Im5DBxMItY0HyzfbpmO5hfyIJC20m+IMX1XYypo5/8Asrgbywsfj7/EoJGBJ6CxKSrBf/+UP&#10;+TgxjFJS46pl1H3ZMysoke81zvJNOhqF3YyX0fhmgBd7HdleR/Re3QFuM04Lu4tmyPfybBYW1Gd8&#10;Y4tQFUNMc6ydUX8273z7APCNcrFYxCTcRsP8Wm8MD9CtuIu9h6KKugeZWm1wXuGC+xgn172dsPDX&#10;95j1+H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HGkk2gAAAAkBAAAPAAAAAAAAAAEAIAAA&#10;ACIAAABkcnMvZG93bnJldi54bWxQSwECFAAUAAAACACHTuJAHAdDekMCAAB3BAAADgAAAAAAAAAB&#10;ACAAAAApAQAAZHJzL2Uyb0RvYy54bWxQSwUGAAAAAAYABgBZAQAA3gUAAAAA&#10;">
                      <v:fill on="f" focussize="0,0"/>
                      <v:stroke on="f" weight="0.5pt"/>
                      <v:imagedata o:title=""/>
                      <o:lock v:ext="edit" aspectratio="f"/>
                      <v:textbox>
                        <w:txbxContent>
                          <w:p w14:paraId="0CCE1A24">
                            <w:pPr>
                              <w:jc w:val="center"/>
                              <w:rPr>
                                <w:rFonts w:hint="default" w:eastAsia="宋体"/>
                                <w:sz w:val="18"/>
                                <w:szCs w:val="18"/>
                                <w:lang w:val="en-US" w:eastAsia="zh-CN"/>
                              </w:rPr>
                            </w:pPr>
                            <w:r>
                              <w:rPr>
                                <w:rFonts w:hint="eastAsia" w:eastAsia="宋体"/>
                                <w:sz w:val="18"/>
                                <w:szCs w:val="18"/>
                                <w:lang w:val="en-US" w:eastAsia="zh-CN"/>
                              </w:rPr>
                              <w:t>6.36</w:t>
                            </w:r>
                          </w:p>
                        </w:txbxContent>
                      </v:textbox>
                    </v:shape>
                  </w:pict>
                </mc:Fallback>
              </mc:AlternateContent>
            </w:r>
          </w:p>
          <w:p w14:paraId="1B994CB6">
            <w:pPr>
              <w:pStyle w:val="2"/>
              <w:spacing w:line="360" w:lineRule="auto"/>
              <w:ind w:firstLine="480" w:firstLineChars="200"/>
              <w:rPr>
                <w:rFonts w:hint="default"/>
                <w:color w:val="auto"/>
              </w:rPr>
            </w:pPr>
            <w:r>
              <w:rPr>
                <w:color w:val="auto"/>
                <w:sz w:val="24"/>
              </w:rPr>
              <mc:AlternateContent>
                <mc:Choice Requires="wps">
                  <w:drawing>
                    <wp:anchor distT="0" distB="0" distL="114300" distR="114300" simplePos="0" relativeHeight="251762688" behindDoc="0" locked="0" layoutInCell="1" allowOverlap="1">
                      <wp:simplePos x="0" y="0"/>
                      <wp:positionH relativeFrom="column">
                        <wp:posOffset>4098925</wp:posOffset>
                      </wp:positionH>
                      <wp:positionV relativeFrom="paragraph">
                        <wp:posOffset>177800</wp:posOffset>
                      </wp:positionV>
                      <wp:extent cx="133985" cy="1732915"/>
                      <wp:effectExtent l="0" t="6350" r="56515" b="13335"/>
                      <wp:wrapNone/>
                      <wp:docPr id="93" name="肘形连接符 93"/>
                      <wp:cNvGraphicFramePr/>
                      <a:graphic xmlns:a="http://schemas.openxmlformats.org/drawingml/2006/main">
                        <a:graphicData uri="http://schemas.microsoft.com/office/word/2010/wordprocessingShape">
                          <wps:wsp>
                            <wps:cNvCnPr>
                              <a:stCxn id="330" idx="3"/>
                              <a:endCxn id="87" idx="0"/>
                            </wps:cNvCnPr>
                            <wps:spPr>
                              <a:xfrm>
                                <a:off x="5822950" y="5267325"/>
                                <a:ext cx="133985" cy="1732915"/>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margin-left:322.75pt;margin-top:14pt;height:136.45pt;width:10.55pt;z-index:251762688;mso-width-relative:page;mso-height-relative:page;" filled="f" stroked="t" coordsize="21600,21600" o:gfxdata="UEsDBAoAAAAAAIdO4kAAAAAAAAAAAAAAAAAEAAAAZHJzL1BLAwQUAAAACACHTuJAiC7cBNgAAAAK&#10;AQAADwAAAGRycy9kb3ducmV2LnhtbE2PTU/DMAyG70j8h8hI3FiyjVVbqTshBBrsRtmFW9aYttA4&#10;U5N9wK/HO4Fvlh+9ft5iefK9OtAQu8AI45EBRVwH13GDsHl7upmDismys31gQvimCMvy8qKwuQtH&#10;fqVDlRolIRxzi9CmtMu1jnVL3sZR2BHL7SMM3iZZh0a7wR4l3Pd6Ykymve1YPrR2Rw8t1V/V3iPo&#10;xar5vP9ZT7l6Nu/erR/j6mWDeH01NnegEp3SHwxnfVGHUpy2Yc8uqh4hu53NBEWYzKWTAJkMqC3C&#10;1JgF6LLQ/yuUv1BLAwQUAAAACACHTuJAxWMvEy0CAAArBAAADgAAAGRycy9lMm9Eb2MueG1srVPN&#10;jtMwEL4j8Q6W7zRtom7bqOkeWpYLgpWAB5g6TmLJf7K9TXvlAThz4oAEJ14B8TTAPgZjp+2yy2UP&#10;5GCNM+Nv5vv8eXm5V5LsuPPC6IpORmNKuGamFrqt6Lu3V8/mlPgAugZpNK/ogXt6uXr6ZNnbkuem&#10;M7LmjiCI9mVvK9qFYMss86zjCvzIWK4x2RinIODWtVntoEd0JbN8PL7IeuNq6wzj3uPfzZCkR0T3&#10;GEDTNILxjWE3iuswoDouISAl3wnr6SpN2zSchddN43kgsqLINKQVm2C8jWu2WkLZOrCdYMcR4DEj&#10;POCkQGhseobaQABy48Q/UEowZ7xpwogZlQ1EkiLIYjJ+oM2bDixPXFBqb8+i+/8Hy17trh0RdUUX&#10;BSUaFN747fuPP79/vv3x6deHL7+/fSWYQZl660usXutrF4n6sN7rdLAoUExR7yua6qDkuj7l5rNj&#10;Kimd3cOIG28HtH3jVERFQQgCTed5vpgi7AHj/GJW5NPhpvg+EIYFk6JYzKeUMCyYYHoxSQUZlCck&#10;63x4wY0iMajoFo2yNlqjIYzL01XB7qUPSAwPnYrjCNpcCSmTL6QmPeLnszGOwgDN3qDJMFQWBfO6&#10;pQRki6+IBZcgvZGijseTQq7drqUjO4jeS18kge3ulcXeG/DdUJdSA1clAj40KVRF5+fTUAYQ8rmu&#10;SThYvCtwzvRHWKkR/U7VGG1Nfbh2sWvcoYdS/6Pfo0n/3qequz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LtwE2AAAAAoBAAAPAAAAAAAAAAEAIAAAACIAAABkcnMvZG93bnJldi54bWxQSwEC&#10;FAAUAAAACACHTuJAxWMvEy0CAAArBAAADgAAAAAAAAABACAAAAAnAQAAZHJzL2Uyb0RvYy54bWxQ&#10;SwUGAAAAAAYABgBZAQAAxgUAAAAA&#10;">
                      <v:fill on="f" focussize="0,0"/>
                      <v:stroke weight="1pt" color="#000000 [3213]" miterlimit="8" joinstyle="miter" endarrow="open"/>
                      <v:imagedata o:title=""/>
                      <o:lock v:ext="edit" aspectratio="f"/>
                    </v:shape>
                  </w:pict>
                </mc:Fallback>
              </mc:AlternateContent>
            </w:r>
            <w:r>
              <w:rPr>
                <w:rFonts w:hint="default"/>
                <w:color w:val="auto"/>
              </w:rPr>
              <mc:AlternateContent>
                <mc:Choice Requires="wps">
                  <w:drawing>
                    <wp:anchor distT="0" distB="0" distL="114300" distR="114300" simplePos="0" relativeHeight="251661312" behindDoc="1" locked="0" layoutInCell="1" allowOverlap="1">
                      <wp:simplePos x="0" y="0"/>
                      <wp:positionH relativeFrom="column">
                        <wp:posOffset>3717925</wp:posOffset>
                      </wp:positionH>
                      <wp:positionV relativeFrom="paragraph">
                        <wp:posOffset>114300</wp:posOffset>
                      </wp:positionV>
                      <wp:extent cx="9525" cy="538480"/>
                      <wp:effectExtent l="29845" t="0" r="36830" b="13970"/>
                      <wp:wrapNone/>
                      <wp:docPr id="726" name="直接箭头连接符 726"/>
                      <wp:cNvGraphicFramePr/>
                      <a:graphic xmlns:a="http://schemas.openxmlformats.org/drawingml/2006/main">
                        <a:graphicData uri="http://schemas.microsoft.com/office/word/2010/wordprocessingShape">
                          <wps:wsp>
                            <wps:cNvCnPr/>
                            <wps:spPr>
                              <a:xfrm>
                                <a:off x="0" y="0"/>
                                <a:ext cx="9525" cy="5384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292.75pt;margin-top:9pt;height:42.4pt;width:0.75pt;z-index:-251655168;mso-width-relative:page;mso-height-relative:page;" filled="f" stroked="t" coordsize="21600,21600" o:gfxdata="UEsDBAoAAAAAAIdO4kAAAAAAAAAAAAAAAAAEAAAAZHJzL1BLAwQUAAAACACHTuJAO4O1lNYAAAAK&#10;AQAADwAAAGRycy9kb3ducmV2LnhtbE2PQU/DMAyF70j8h8hIXBBLVtERlaaTilTElQ1xzhrTljVO&#10;1aTb+PeYE9xsv6fn75Xbix/FCec4BDKwXikQSG1wA3UG3vfNvQYRkyVnx0Bo4BsjbKvrq9IWLpzp&#10;DU+71AkOoVhYA31KUyFlbHv0Nq7ChMTaZ5i9TbzOnXSzPXO4H2Wm1EZ6OxB/6O2Ezz22x93iDdwF&#10;X3/F5vhSLw9tM9ebj1fsMmNub9bqCUTCS/ozwy8+o0PFTIewkItiNJDrPGcrC5o7sSHXjzwc+KAy&#10;DbIq5f8K1Q9QSwMEFAAAAAgAh07iQFRk61EQAgAA8QMAAA4AAABkcnMvZTJvRG9jLnhtbK1TzW4T&#10;MRC+I/EOlu9kk0DaEGXTQ0K5IIgEfQDH69215D/NuNnkJXgBJE7AiXLqnaeB9jEYe0Mo5dIDe/CO&#10;155v5vvm2/nZzhq2VYDau5KPBkPOlJO+0q4p+cW78ydTzjAKVwnjnSr5XiE/Wzx+NO/CTI19602l&#10;gBGIw1kXSt7GGGZFgbJVVuDAB+XosPZgRaQtNEUFoiN0a4rxcHhSdB6qAF4qRPq66g/5AREeAujr&#10;Wku18vLSKhd7VFBGRKKErQ7IF7nbulYyvqlrVJGZkhPTmFcqQvEmrcViLmYNiNBqeWhBPKSFe5ys&#10;0I6KHqFWIgp2CfofKKslePR1HEhvi55IVoRYjIb3tHnbiqAyF5Iaw1F0/H+w8vV2DUxXJT8dn3Dm&#10;hKWR33y4/vn+8823qx+frm+/f0zx1y8sXSC5uoAzylq6NRx2GNaQuO9qsOlNrNguS7w/Sqx2kUn6&#10;+HwynnAm6WDydPpsmgdQ/EkNgPGl8paloOQYQeimjUvvHI3SwyiLLLavMFJxSvydkOo6f66NyRM1&#10;jnVk7vHpkAYtBdm0JntQaANRRddwJkxD/pcRMiR6o6uUnoAQms3SANuK5Jr8JOZU7q9rqfZKYNvf&#10;y0e9n6LQ5oWrWNwHUjOCFq4xiqeWrKo4M4oqp6gHNS4VVdmtB2JJ5F7WFG18tc9qF2lHTsi9HFyb&#10;rHZ3T/HdP3X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uDtZTWAAAACgEAAA8AAAAAAAAAAQAg&#10;AAAAIgAAAGRycy9kb3ducmV2LnhtbFBLAQIUABQAAAAIAIdO4kBUZOtREAIAAPEDAAAOAAAAAAAA&#10;AAEAIAAAACUBAABkcnMvZTJvRG9jLnhtbFBLBQYAAAAABgAGAFkBAACnBQAAAAA=&#10;">
                      <v:fill on="f" focussize="0,0"/>
                      <v:stroke weight="1pt" color="#000000" joinstyle="round"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671552" behindDoc="1" locked="0" layoutInCell="1" allowOverlap="1">
                      <wp:simplePos x="0" y="0"/>
                      <wp:positionH relativeFrom="column">
                        <wp:posOffset>2070100</wp:posOffset>
                      </wp:positionH>
                      <wp:positionV relativeFrom="paragraph">
                        <wp:posOffset>180340</wp:posOffset>
                      </wp:positionV>
                      <wp:extent cx="1188720" cy="4445"/>
                      <wp:effectExtent l="0" t="38100" r="11430" b="33655"/>
                      <wp:wrapNone/>
                      <wp:docPr id="324" name="直接连接符 324"/>
                      <wp:cNvGraphicFramePr/>
                      <a:graphic xmlns:a="http://schemas.openxmlformats.org/drawingml/2006/main">
                        <a:graphicData uri="http://schemas.microsoft.com/office/word/2010/wordprocessingShape">
                          <wps:wsp>
                            <wps:cNvCnPr/>
                            <wps:spPr>
                              <a:xfrm flipV="1">
                                <a:off x="0" y="0"/>
                                <a:ext cx="1188720" cy="4445"/>
                              </a:xfrm>
                              <a:prstGeom prst="line">
                                <a:avLst/>
                              </a:prstGeom>
                              <a:noFill/>
                              <a:ln w="12700" cap="flat" cmpd="sng" algn="ctr">
                                <a:solidFill>
                                  <a:srgbClr val="000000"/>
                                </a:solidFill>
                                <a:prstDash val="solid"/>
                                <a:tailEnd type="triangle"/>
                              </a:ln>
                              <a:effectLst/>
                            </wps:spPr>
                            <wps:bodyPr/>
                          </wps:wsp>
                        </a:graphicData>
                      </a:graphic>
                    </wp:anchor>
                  </w:drawing>
                </mc:Choice>
                <mc:Fallback>
                  <w:pict>
                    <v:line id="_x0000_s1026" o:spid="_x0000_s1026" o:spt="20" style="position:absolute;left:0pt;flip:y;margin-left:163pt;margin-top:14.2pt;height:0.35pt;width:93.6pt;z-index:-251644928;mso-width-relative:page;mso-height-relative:page;" filled="f" stroked="t" coordsize="21600,21600" o:gfxdata="UEsDBAoAAAAAAIdO4kAAAAAAAAAAAAAAAAAEAAAAZHJzL1BLAwQUAAAACACHTuJASGBHp9oAAAAJ&#10;AQAADwAAAGRycy9kb3ducmV2LnhtbE2PzU7DMBCE70i8g7VI3KiTtLQlxOkBVLUSUqWmRVzdeEmi&#10;2usodn94e5YTPc7OaPabYnF1VpxxCJ0nBekoAYFUe9NRo2C/Wz7NQYSoyWjrCRX8YIBFeX9X6Nz4&#10;C23xXMVGcAmFXCtoY+xzKUPdotNh5Hsk9r794HRkOTTSDPrC5c7KLEmm0umO+EOre3xrsT5WJ6fA&#10;NT1WXx/H1fv6czvbzyb12m6CUo8PafIKIuI1/ofhD5/RoWSmgz+RCcIqGGdT3hIVZPMJCA48p+MM&#10;xIEPLynIspC3C8pfUEsDBBQAAAAIAIdO4kCRjBEu+QEAANYDAAAOAAAAZHJzL2Uyb0RvYy54bWyt&#10;U8uO0zAU3SPxD5b3NGkpTBU1ncWUYYOgEo/9reMklvySr6dpf4IfQGIHK5bs+RuGz+DaCdUwbGZB&#10;FtZ9+djn+GR9eTSaHWRA5WzN57OSM2mFa5Ttav7+3fWTFWcYwTagnZU1P0nkl5vHj9aDr+TC9U43&#10;MjACsVgNvuZ9jL4qChS9NIAz56WlZuuCgUhp6IomwEDoRheLsnxeDC40PjghEam6HZt8QgwPAXRt&#10;q4TcOnFjpI0japAaIlHCXnnkm3zbtpUivmlblJHpmhPTmFc6hOJ9WovNGqougO+VmK4AD7nCPU4G&#10;lKVDz1BbiMBugvoHyigRHLo2zoQzxUgkK0Is5uU9bd724GXmQlKjP4uO/w9WvD7sAlNNzZ8ulpxZ&#10;MPTkt5++//z45dePz7TefvvKUouEGjxWNH9ld2HK0O9CYn1sg2GtVv4DOSrrQMzYMct8Osssj5EJ&#10;Ks7nq9XFgl5AUG+5XD5L4MWIktB8wPhSOsNSUHOtbBIBKji8wjiO/hlJZeuuldZUh0pbNhD+4qJM&#10;6EDubMkVFBpPDNF2nIHuyPYihgyJTqsmbU+7MXT7Kx3YAZJZ8jfd7K+xdPYWsB/nciuNQRVB6Re2&#10;YfHkScQYFNhOywlC2zQisyUnGknPUcEU7V1zysIWKaPnzppM1kx+uptTfPd33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GBHp9oAAAAJAQAADwAAAAAAAAABACAAAAAiAAAAZHJzL2Rvd25yZXYu&#10;eG1sUEsBAhQAFAAAAAgAh07iQJGMES75AQAA1gMAAA4AAAAAAAAAAQAgAAAAKQEAAGRycy9lMm9E&#10;b2MueG1sUEsFBgAAAAAGAAYAWQEAAJQFAAAAAA==&#10;">
                      <v:fill on="f" focussize="0,0"/>
                      <v:stroke weight="1pt" color="#000000" joinstyle="round" endarrow="block"/>
                      <v:imagedata o:title=""/>
                      <o:lock v:ext="edit" aspectratio="f"/>
                    </v:line>
                  </w:pict>
                </mc:Fallback>
              </mc:AlternateContent>
            </w:r>
            <w:r>
              <w:rPr>
                <w:rFonts w:hint="default"/>
                <w:color w:val="auto"/>
              </w:rPr>
              <mc:AlternateContent>
                <mc:Choice Requires="wps">
                  <w:drawing>
                    <wp:anchor distT="0" distB="0" distL="114300" distR="114300" simplePos="0" relativeHeight="251666432" behindDoc="1" locked="0" layoutInCell="1" allowOverlap="1">
                      <wp:simplePos x="0" y="0"/>
                      <wp:positionH relativeFrom="column">
                        <wp:posOffset>1060450</wp:posOffset>
                      </wp:positionH>
                      <wp:positionV relativeFrom="paragraph">
                        <wp:posOffset>146685</wp:posOffset>
                      </wp:positionV>
                      <wp:extent cx="457200" cy="5080"/>
                      <wp:effectExtent l="0" t="33655" r="0" b="37465"/>
                      <wp:wrapNone/>
                      <wp:docPr id="299" name="直接箭头连接符 299"/>
                      <wp:cNvGraphicFramePr/>
                      <a:graphic xmlns:a="http://schemas.openxmlformats.org/drawingml/2006/main">
                        <a:graphicData uri="http://schemas.microsoft.com/office/word/2010/wordprocessingShape">
                          <wps:wsp>
                            <wps:cNvCnPr/>
                            <wps:spPr>
                              <a:xfrm>
                                <a:off x="0" y="0"/>
                                <a:ext cx="457200" cy="50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83.5pt;margin-top:11.55pt;height:0.4pt;width:36pt;z-index:-251650048;mso-width-relative:page;mso-height-relative:page;" filled="f" stroked="t" coordsize="21600,21600" o:gfxdata="UEsDBAoAAAAAAIdO4kAAAAAAAAAAAAAAAAAEAAAAZHJzL1BLAwQUAAAACACHTuJAPDyMS9YAAAAJ&#10;AQAADwAAAGRycy9kb3ducmV2LnhtbE2PQU/DMAyF70j7D5GRuCCWtkMFStNJnVS0KwNxzhrTljVO&#10;laTb+Pd4XODmZz89f69cn+0ojujD4EhBukxAILXODNQpeH9r7h5BhKjJ6NERKvjGAOtqcVXqwrgT&#10;veJxFzvBIRQKraCPcSqkDG2PVoelm5D49um81ZGl76Tx+sThdpRZkuTS6oH4Q68n3PTYHnazVXDr&#10;bP0VmsNLPd+3ja/zjy12mVI312nyDCLiOf6Z4YLP6FAx097NZIIYWecP3CUqyFYpCDZkqyde7H8H&#10;kFUp/zeofgBQSwMEFAAAAAgAh07iQLQhu5kNAgAA8QMAAA4AAABkcnMvZTJvRG9jLnhtbK1Ty47T&#10;MBTdI/EPlvc0acUwM1HTWbQMGwSVgA9wHSex5Jfu9TTtT/ADSKyAFbCaPV8Dw2dw7ZQyDJtZ0EV6&#10;Hfuec8/xyfxiZw3bKkDtXc2nk5Iz5aRvtOtq/ub15aMzzjAK1wjjnar5XiG/WDx8MB9CpWa+96ZR&#10;wAjEYTWEmvcxhqooUPbKCpz4oBxtth6siLSErmhADIRuTTEryyfF4KEJ4KVCpLercZMfEOE+gL5t&#10;tVQrL6+scnFEBWVEJEnY64B8kadtWyXjy7ZFFZmpOSmN+UkkVG/Ss1jMRdWBCL2WhxHEfUa4o8kK&#10;7Yj0CLUSUbAr0P9AWS3Bo2/jRHpbjEKyI6RiWt7x5lUvgspayGoMR9Px/8HKF9s1MN3UfHZ+zpkT&#10;lq785t31j7cfb75++f7h+ue396n+/ImlA2TXELCirqVbw2GFYQ1J+64Fm/5JFdtli/dHi9UuMkkv&#10;H5+cUgg4k7R1Up7lCyj+tAbA+Ex5y1JRc4wgdNfHpXeOrtLDNJssts8xEjk1/m5IvM5famPyjRrH&#10;Bgr37DRzCYppS/EgWhtIKrqOM2E6yr+MkCHRG92k9gSE0G2WBthWpNTkX1JOdH8dS9wrgf14Lm+N&#10;eYpCm6euYXEfyM0IWrjOKJ5GsqrhzChiTtUIalwiVTmtB2HJ5NHWVG18s89uF2lFScizHFKbonZ7&#10;TfXtL3X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w8jEvWAAAACQEAAA8AAAAAAAAAAQAgAAAA&#10;IgAAAGRycy9kb3ducmV2LnhtbFBLAQIUABQAAAAIAIdO4kC0IbuZDQIAAPEDAAAOAAAAAAAAAAEA&#10;IAAAACUBAABkcnMvZTJvRG9jLnhtbFBLBQYAAAAABgAGAFkBAACkBQAAAAA=&#10;">
                      <v:fill on="f" focussize="0,0"/>
                      <v:stroke weight="1pt" color="#000000" joinstyle="round" endarrow="block"/>
                      <v:imagedata o:title=""/>
                      <o:lock v:ext="edit" aspectratio="f"/>
                    </v:shape>
                  </w:pict>
                </mc:Fallback>
              </mc:AlternateContent>
            </w:r>
          </w:p>
          <w:p w14:paraId="45BA11A7">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89984" behindDoc="0" locked="0" layoutInCell="1" allowOverlap="1">
                      <wp:simplePos x="0" y="0"/>
                      <wp:positionH relativeFrom="column">
                        <wp:posOffset>2260600</wp:posOffset>
                      </wp:positionH>
                      <wp:positionV relativeFrom="paragraph">
                        <wp:posOffset>98425</wp:posOffset>
                      </wp:positionV>
                      <wp:extent cx="563245" cy="257175"/>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6CBB350B">
                                  <w:pPr>
                                    <w:jc w:val="center"/>
                                    <w:rPr>
                                      <w:rFonts w:hint="default" w:eastAsia="宋体"/>
                                      <w:sz w:val="18"/>
                                      <w:szCs w:val="18"/>
                                      <w:lang w:val="en-US" w:eastAsia="zh-CN"/>
                                    </w:rPr>
                                  </w:pPr>
                                  <w:r>
                                    <w:rPr>
                                      <w:rFonts w:hint="eastAsia" w:eastAsia="宋体"/>
                                      <w:sz w:val="18"/>
                                      <w:szCs w:val="18"/>
                                      <w:lang w:val="en-US" w:eastAsia="zh-CN"/>
                                    </w:rPr>
                                    <w:t>37.5t/d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pt;margin-top:7.75pt;height:20.25pt;width:44.35pt;z-index:251689984;mso-width-relative:page;mso-height-relative:page;" filled="f" stroked="f" coordsize="21600,21600" o:gfxdata="UEsDBAoAAAAAAIdO4kAAAAAAAAAAAAAAAAAEAAAAZHJzL1BLAwQUAAAACACHTuJAgicJ0tkAAAAJ&#10;AQAADwAAAGRycy9kb3ducmV2LnhtbE2PTUvDQBCG74L/YRnBm920JrXEbIoEiiD10NqLt0l2mgT3&#10;I2a3H/bXOz3pcXhe3nneYnm2RhxpDL13CqaTBAS5xuvetQp2H6uHBYgQ0Wk03pGCHwqwLG9vCsy1&#10;P7kNHbexFVziQo4KuhiHXMrQdGQxTPxAjtnejxYjn2Mr9YgnLrdGzpJkLi32jj90OFDVUfO1PVgF&#10;b9XqHTf1zC4upnpd71+G791nptT93TR5BhHpHP/CcNVndSjZqfYHp4MwCh6zOW+JDLIMBAfSNH0C&#10;USu4AlkW8v+C8hdQSwMEFAAAAAgAh07iQMFUjwNDAgAAdwQAAA4AAABkcnMvZTJvRG9jLnhtbK1U&#10;zY7TMBC+I/EOlu80/UsXqqarslURUsWuVBBn13GaSLbH2G6T8gDwBpy4cOe5+hyMnbRbLRz2wMUd&#10;z0y+8ffNTGe3jZLkIKyrQGd00OtTIjSHvNK7jH76uHr1mhLnmc6ZBC0yehSO3s5fvpjVZiqGUILM&#10;hSUIot20NhktvTfTJHG8FIq5HhihMViAVczj1e6S3LIa0ZVMhv3+JKnB5sYCF86hd9kGaYdonwMI&#10;RVFxsQS+V0L7FtUKyTxScmVlHJ3H1xaF4P6+KJzwRGYUmfp4YhG0t+FM5jM23Vlmyop3T2DPecIT&#10;TopVGoteoJbMM7K31V9QquIWHBS+x0ElLZGoCLIY9J9osymZEZELSu3MRXT3/2D5h8ODJVWe0VE6&#10;pkQzhS0//fh++vn79OsbCU6UqDZuipkbg7m+eQsNDs7Z79AZmDeFVeEXORGMo8DHi8Ci8YSjM52M&#10;huOUEo6hYXozuEkDSvL4sbHOvxOgSDAyarF/UVZ2WDvfpp5TQi0Nq0rK2EOpSZ3RySjtxw8uEQSX&#10;OuSKOA0dTCDUPjxYvtk2Hcst5EckaaGdFGf4qsKnrJnzD8ziaCAvXB5/j0chAUtCZ1FSgv36L3/I&#10;x45hlJIaRy2j7sueWUGJfK+xl28G43GYzXgZpzdDvNjryPY6ovfqDnCaB7imhkcz5Ht5NgsL6jPu&#10;2CJUxRDTHGtn1J/NO98uAO4oF4tFTMJpNMyv9cbwAN2Ku9h7KKqoe5Cp1Qb7FS44j7Fz3e6Egb++&#10;x6zH/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InCdLZAAAACQEAAA8AAAAAAAAAAQAgAAAA&#10;IgAAAGRycy9kb3ducmV2LnhtbFBLAQIUABQAAAAIAIdO4kDBVI8DQwIAAHcEAAAOAAAAAAAAAAEA&#10;IAAAACgBAABkcnMvZTJvRG9jLnhtbFBLBQYAAAAABgAGAFkBAADdBQAAAAA=&#10;">
                      <v:fill on="f" focussize="0,0"/>
                      <v:stroke on="f" weight="0.5pt"/>
                      <v:imagedata o:title=""/>
                      <o:lock v:ext="edit" aspectratio="f"/>
                      <v:textbox>
                        <w:txbxContent>
                          <w:p w14:paraId="6CBB350B">
                            <w:pPr>
                              <w:jc w:val="center"/>
                              <w:rPr>
                                <w:rFonts w:hint="default" w:eastAsia="宋体"/>
                                <w:sz w:val="18"/>
                                <w:szCs w:val="18"/>
                                <w:lang w:val="en-US" w:eastAsia="zh-CN"/>
                              </w:rPr>
                            </w:pPr>
                            <w:r>
                              <w:rPr>
                                <w:rFonts w:hint="eastAsia" w:eastAsia="宋体"/>
                                <w:sz w:val="18"/>
                                <w:szCs w:val="18"/>
                                <w:lang w:val="en-US" w:eastAsia="zh-CN"/>
                              </w:rPr>
                              <w:t>37.5t/d</w:t>
                            </w:r>
                          </w:p>
                        </w:txbxContent>
                      </v:textbox>
                    </v:shape>
                  </w:pict>
                </mc:Fallback>
              </mc:AlternateContent>
            </w:r>
            <w:r>
              <w:rPr>
                <w:rFonts w:hint="default"/>
                <w:color w:val="auto"/>
              </w:rPr>
              <mc:AlternateContent>
                <mc:Choice Requires="wps">
                  <w:drawing>
                    <wp:anchor distT="0" distB="0" distL="114300" distR="114300" simplePos="0" relativeHeight="251663360" behindDoc="1" locked="0" layoutInCell="1" allowOverlap="1">
                      <wp:simplePos x="0" y="0"/>
                      <wp:positionH relativeFrom="column">
                        <wp:posOffset>2111375</wp:posOffset>
                      </wp:positionH>
                      <wp:positionV relativeFrom="paragraph">
                        <wp:posOffset>17145</wp:posOffset>
                      </wp:positionV>
                      <wp:extent cx="1270" cy="317500"/>
                      <wp:effectExtent l="36830" t="0" r="38100" b="6350"/>
                      <wp:wrapNone/>
                      <wp:docPr id="733" name="直接箭头连接符 733"/>
                      <wp:cNvGraphicFramePr/>
                      <a:graphic xmlns:a="http://schemas.openxmlformats.org/drawingml/2006/main">
                        <a:graphicData uri="http://schemas.microsoft.com/office/word/2010/wordprocessingShape">
                          <wps:wsp>
                            <wps:cNvCnPr/>
                            <wps:spPr>
                              <a:xfrm flipV="1">
                                <a:off x="0" y="0"/>
                                <a:ext cx="1270" cy="31750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flip:y;margin-left:166.25pt;margin-top:1.35pt;height:25pt;width:0.1pt;z-index:-251653120;mso-width-relative:page;mso-height-relative:page;" filled="f" stroked="t" coordsize="21600,21600" o:gfxdata="UEsDBAoAAAAAAIdO4kAAAAAAAAAAAAAAAAAEAAAAZHJzL1BLAwQUAAAACACHTuJAfuHghtkAAAAI&#10;AQAADwAAAGRycy9kb3ducmV2LnhtbE2PT0vDQBDF74LfYRnBS7C7TalKzKQHQYoIQusf8LbNjtlg&#10;djfNbpP22zue6mnm8R5vflOujq4TIw2xDR5hPlMgyNfBtL5BeH97urkHEZP2RnfBE8KJIqyqy4tS&#10;FyZMfkPjNjWCS3wsNIJNqS+kjLUlp+Ms9OTZ+w6D04nl0Egz6InLXSdzpW6l063nC1b39Gip/tke&#10;HIL6+ti/rNtxtNlpne1fs+fN9NkjXl/N1QOIRMd0DsMfPqNDxUy7cPAmig5hsciXHEXI70Cwz5qX&#10;HcKSp6xK+f+B6hdQSwMEFAAAAAgAh07iQN6DWqIRAgAA+wMAAA4AAABkcnMvZTJvRG9jLnhtbK1T&#10;S44TMRDdI3EHy3vS+QiConRmkTBsEIzEZ++47W5L/qnKk04uwQWQWAErmNXsOQ0Mx6DsDtEwbGZB&#10;L1rlT72q9+p5ebZ3lu0UoAm+5pPRmDPlZWiMb2v+9s35o6ecYRK+ETZ4VfODQn62evhg2ceFmoYu&#10;2EYBIxCPiz7WvEspLqoKZaecwFGIytOhDuBEoiW0VQOiJ3Rnq+l4/KTqAzQRglSItLsZDvkREe4D&#10;GLQ2Um2CvHTKpwEVlBWJKGFnIvJV6VZrJdMrrVElZmtOTFP5UxGKt/lfrZZi0YKInZHHFsR9WrjD&#10;yQnjqegJaiOSYJdg/oFyRkLAoNNIBlcNRIoixGIyvqPN605EVbiQ1BhPouP/g5UvdxfATFPz+WzG&#10;mReORn7z4frn+883V99+fLr+9f1jjr9+YfkCydVHXFDW2l/AcYXxAjL3vQbHtDXxHfmqqEH82L6I&#10;fTiJrfaJSdqcTOc0BEkHs8n88biMohpAMlgETM9VcCwHNccEwrRdWgfvaagBhgJi9wITtUGJfxJy&#10;sg/nxtoyW+tZPxTL1QQZVpNRKHSRSKNvORO2pZcgE5SeMVjT5PQMhNBu1xbYTmT/lC9rQOX+upZr&#10;bwR2w71yNDgrCWOf+YalQyRdExjhW6t4bsmphjOrqHKOBlDrc1FVfHskluUeBM7RNjSHonuVV+SJ&#10;0svRv9l0t9cU336z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eCG2QAAAAgBAAAPAAAAAAAA&#10;AAEAIAAAACIAAABkcnMvZG93bnJldi54bWxQSwECFAAUAAAACACHTuJA3oNaohECAAD7AwAADgAA&#10;AAAAAAABACAAAAAoAQAAZHJzL2Uyb0RvYy54bWxQSwUGAAAAAAYABgBZAQAAqwUAAAAA&#10;">
                      <v:fill on="f" focussize="0,0"/>
                      <v:stroke weight="1pt" color="#000000" joinstyle="round" endarrow="block"/>
                      <v:imagedata o:title=""/>
                      <o:lock v:ext="edit" aspectratio="f"/>
                    </v:shape>
                  </w:pict>
                </mc:Fallback>
              </mc:AlternateContent>
            </w:r>
          </w:p>
          <w:p w14:paraId="07A7EE94">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64384" behindDoc="1" locked="0" layoutInCell="1" allowOverlap="1">
                      <wp:simplePos x="0" y="0"/>
                      <wp:positionH relativeFrom="column">
                        <wp:posOffset>22225</wp:posOffset>
                      </wp:positionH>
                      <wp:positionV relativeFrom="paragraph">
                        <wp:posOffset>143510</wp:posOffset>
                      </wp:positionV>
                      <wp:extent cx="600075" cy="257175"/>
                      <wp:effectExtent l="0" t="0" r="0" b="0"/>
                      <wp:wrapNone/>
                      <wp:docPr id="289" name="文本框 289"/>
                      <wp:cNvGraphicFramePr/>
                      <a:graphic xmlns:a="http://schemas.openxmlformats.org/drawingml/2006/main">
                        <a:graphicData uri="http://schemas.microsoft.com/office/word/2010/wordprocessingShape">
                          <wps:wsp>
                            <wps:cNvSpPr txBox="1"/>
                            <wps:spPr>
                              <a:xfrm>
                                <a:off x="1096645" y="6135370"/>
                                <a:ext cx="600075" cy="257175"/>
                              </a:xfrm>
                              <a:prstGeom prst="rect">
                                <a:avLst/>
                              </a:prstGeom>
                              <a:noFill/>
                              <a:ln w="6350">
                                <a:noFill/>
                              </a:ln>
                              <a:effectLst/>
                            </wps:spPr>
                            <wps:txbx>
                              <w:txbxContent>
                                <w:p w14:paraId="59869CA2">
                                  <w:pPr>
                                    <w:jc w:val="center"/>
                                    <w:rPr>
                                      <w:sz w:val="18"/>
                                      <w:szCs w:val="18"/>
                                    </w:rPr>
                                  </w:pPr>
                                  <w:r>
                                    <w:rPr>
                                      <w:rFonts w:hint="eastAsia"/>
                                      <w:sz w:val="18"/>
                                      <w:szCs w:val="18"/>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11.3pt;height:20.25pt;width:47.25pt;z-index:-251652096;mso-width-relative:page;mso-height-relative:page;" filled="f" stroked="f" coordsize="21600,21600" o:gfxdata="UEsDBAoAAAAAAIdO4kAAAAAAAAAAAAAAAAAEAAAAZHJzL1BLAwQUAAAACACHTuJAnRbMqtgAAAAG&#10;AQAADwAAAGRycy9kb3ducmV2LnhtbE2PzU7DMBCE70i8g7VI3KiTVI1CyKZCkSokBIeWXrhtYjeJ&#10;sNchdn/g6TEnOI5mNPNNtb5YI0569qNjhHSRgNDcOTVyj7B/29wVIHwgVmQca4Qv7WFdX19VVCp3&#10;5q0+7UIvYgn7khCGEKZSSt8N2pJfuElz9A5uthSinHupZjrHcmtkliS5tDRyXBho0s2gu4/d0SI8&#10;N5tX2raZLb5N8/RyeJw+9+8rxNubNHkAEfQl/IXhFz+iQx2ZWndk5YVBWK5iECHLchDRvi/isxYh&#10;X6Yg60r+x69/AFBLAwQUAAAACACHTuJAdxCzEU4CAACDBAAADgAAAGRycy9lMm9Eb2MueG1srVRL&#10;btswEN0X6B0I7htJjj+JYTlwE6QoYDQB3KJrmiIjASSHJelI7gHaG3TVTfc9V87RISUnRtpFFt3Q&#10;M5znN3zz0eKi04rcC+cbMCUtTnJKhOFQNeaupJ8+Xr85o8QHZiqmwIiS7oWnF8vXrxatnYsR1KAq&#10;4QiSGD9vbUnrEOw8yzyvhWb+BKwwGJTgNAvouruscqxFdq2yUZ5PsxZcZR1w4T3eXvVBOjC6lxCC&#10;lA0XV8B3WpjQszqhWEBJvm6sp8v0WikFDzdSehGIKikqDenEJGhv45ktF2x+55itGz48gb3kCc80&#10;adYYTPpIdcUCIzvX/EWlG+7AgwwnHHTWC0kVQRVF/qw2m5pZkbRgqb19LLr/f7T8w/2tI01V0tHZ&#10;OSWGaWz5w4/vDz9/P/z6RuIllqi1fo7IjUVs6N5Ch4NzuPd4GZV30un4i5pIjOfn0+l4Qsm+pNPi&#10;dHI6G4otukA4AqZ5ns8wzhEwmswKtDFT9kRknQ/vBGgSjZI67GUqMbtf+9BDD5CY18B1o1TqpzKk&#10;xQSnkzz94TGC5MpErEiTMdBEcb2IaIVu2w2Kt1DtUbCDfmq85dcNPmXNfLhlDscEhwgXKdzgIRVg&#10;ShgsSmpwX/91H/HYPYxS0uLYldR/2TEnKFHvDfb1vBiP45wmZzyZjdBxx5HtccTs9CXgZBe4spYn&#10;M+KDOpjSgf6M+7aKWTHEDMfcJQ0H8zL0y4D7ysVqlUA4mZaFtdlYHqn74q52AWST6h7L1NcG+xUd&#10;nM3UuWGP4vAf+wn19O1Y/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Fsyq2AAAAAYBAAAPAAAA&#10;AAAAAAEAIAAAACIAAABkcnMvZG93bnJldi54bWxQSwECFAAUAAAACACHTuJAdxCzEU4CAACDBAAA&#10;DgAAAAAAAAABACAAAAAnAQAAZHJzL2Uyb0RvYy54bWxQSwUGAAAAAAYABgBZAQAA5wUAAAAA&#10;">
                      <v:fill on="f" focussize="0,0"/>
                      <v:stroke on="f" weight="0.5pt"/>
                      <v:imagedata o:title=""/>
                      <o:lock v:ext="edit" aspectratio="f"/>
                      <v:textbox>
                        <w:txbxContent>
                          <w:p w14:paraId="59869CA2">
                            <w:pPr>
                              <w:jc w:val="center"/>
                              <w:rPr>
                                <w:sz w:val="18"/>
                                <w:szCs w:val="18"/>
                              </w:rPr>
                            </w:pPr>
                            <w:r>
                              <w:rPr>
                                <w:rFonts w:hint="eastAsia"/>
                                <w:sz w:val="18"/>
                                <w:szCs w:val="18"/>
                              </w:rPr>
                              <w:t>新鲜水</w:t>
                            </w:r>
                          </w:p>
                        </w:txbxContent>
                      </v:textbox>
                    </v:shape>
                  </w:pict>
                </mc:Fallback>
              </mc:AlternateContent>
            </w:r>
            <w:r>
              <w:rPr>
                <w:rFonts w:hint="default"/>
                <w:color w:val="auto"/>
              </w:rPr>
              <mc:AlternateContent>
                <mc:Choice Requires="wps">
                  <w:drawing>
                    <wp:anchor distT="0" distB="0" distL="114300" distR="114300" simplePos="0" relativeHeight="251765760" behindDoc="0" locked="0" layoutInCell="1" allowOverlap="1">
                      <wp:simplePos x="0" y="0"/>
                      <wp:positionH relativeFrom="column">
                        <wp:posOffset>528955</wp:posOffset>
                      </wp:positionH>
                      <wp:positionV relativeFrom="paragraph">
                        <wp:posOffset>102870</wp:posOffset>
                      </wp:positionV>
                      <wp:extent cx="563245" cy="25717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13301520">
                                  <w:pPr>
                                    <w:jc w:val="center"/>
                                    <w:rPr>
                                      <w:rFonts w:hint="default" w:eastAsia="宋体"/>
                                      <w:sz w:val="18"/>
                                      <w:szCs w:val="18"/>
                                      <w:lang w:val="en-US" w:eastAsia="zh-CN"/>
                                    </w:rPr>
                                  </w:pPr>
                                  <w:r>
                                    <w:rPr>
                                      <w:rFonts w:hint="eastAsia" w:eastAsia="宋体"/>
                                      <w:sz w:val="18"/>
                                      <w:szCs w:val="18"/>
                                      <w:lang w:val="en-US" w:eastAsia="zh-CN"/>
                                    </w:rPr>
                                    <w:t>8.64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5pt;margin-top:8.1pt;height:20.25pt;width:44.35pt;z-index:251765760;mso-width-relative:page;mso-height-relative:page;" filled="f" stroked="f" coordsize="21600,21600" o:gfxdata="UEsDBAoAAAAAAIdO4kAAAAAAAAAAAAAAAAAEAAAAZHJzL1BLAwQUAAAACACHTuJAMfsx/9kAAAAI&#10;AQAADwAAAGRycy9kb3ducmV2LnhtbE2PzU7DMBCE70i8g7VI3KjTVE2jEKdCkSokBIeWXrht4m0S&#10;Ya9D7P7A0+Oe4Lgzo9lvyvXFGnGiyQ+OFcxnCQji1umBOwX7981DDsIHZI3GMSn4Jg/r6vamxEK7&#10;M2/ptAudiCXsC1TQhzAWUvq2J4t+5kbi6B3cZDHEc+qknvAcy62RaZJk0uLA8UOPI9U9tZ+7o1Xw&#10;Um/ecNukNv8x9fPr4Wn82n8slbq/myePIAJdwl8YrvgRHarI1Lgjay+MgnyxiMmoZymIq79K47ZG&#10;wTJbgaxK+X9A9QtQSwMEFAAAAAgAh07iQAELWOVCAgAAdQQAAA4AAABkcnMvZTJvRG9jLnhtbK1U&#10;zY7aMBC+V+o7WL6XAEvYLiKs6CKqSqi7Eq16No5DItke1zYk9AHaN9hTL733uXiOjp3Aom0Pe+jF&#10;zF++8ffNmOltoyTZC+sq0Bkd9PqUCM0hr/Q2o58/Ld+8pcR5pnMmQYuMHoSjt7PXr6a1mYghlCBz&#10;YQmCaDepTUZL780kSRwvhWKuB0ZoTBZgFfPo2m2SW1YjupLJsN8fJzXY3FjgwjmMLtok7RDtSwCh&#10;KCouFsB3SmjfolohmUdKrqyMo7N426IQ3N8XhROeyIwiUx9PbIL2JpzJbMomW8tMWfHuCuwlV3jG&#10;SbFKY9Mz1IJ5Rna2+gtKVdyCg8L3OKikJRIVQRaD/jNt1iUzInJBqZ05i+7+Hyz/uH+wpMozejOm&#10;RDOFEz8+/jj+/H389Z1gDAWqjZtg3dpgpW/eQYNrc4o7DAbeTWFV+EVGBPMo7+Esr2g84RhMx1fD&#10;UUoJx9QwvR5cpwElefrYWOffC1AkGBm1OL0oKtuvnG9LTyWhl4ZlJWWcoNSkzuj4Ku3HD84ZBJc6&#10;1Iq4Cx1MINRePFi+2TQdyw3kByRpod0TZ/iywqusmPMPzOJiIC98Ov4ej0ICtoTOoqQE++1f8VCP&#10;88IsJTUuWkbd1x2zghL5QeMkbwajUdjM6IzS6yE69jKzuczonboD3OUBPlLDoxnqvTyZhQX1BV/Y&#10;PHTFFNMce2fUn8w7364/vlAu5vNYhLtomF/pteEBuhV3vvNQVFH3IFOrDc4rOLiNcXLdywnrfunH&#10;qqd/i9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fsx/9kAAAAIAQAADwAAAAAAAAABACAAAAAi&#10;AAAAZHJzL2Rvd25yZXYueG1sUEsBAhQAFAAAAAgAh07iQAELWOVCAgAAdQQAAA4AAAAAAAAAAQAg&#10;AAAAKAEAAGRycy9lMm9Eb2MueG1sUEsFBgAAAAAGAAYAWQEAANwFAAAAAA==&#10;">
                      <v:fill on="f" focussize="0,0"/>
                      <v:stroke on="f" weight="0.5pt"/>
                      <v:imagedata o:title=""/>
                      <o:lock v:ext="edit" aspectratio="f"/>
                      <v:textbox>
                        <w:txbxContent>
                          <w:p w14:paraId="13301520">
                            <w:pPr>
                              <w:jc w:val="center"/>
                              <w:rPr>
                                <w:rFonts w:hint="default" w:eastAsia="宋体"/>
                                <w:sz w:val="18"/>
                                <w:szCs w:val="18"/>
                                <w:lang w:val="en-US" w:eastAsia="zh-CN"/>
                              </w:rPr>
                            </w:pPr>
                            <w:r>
                              <w:rPr>
                                <w:rFonts w:hint="eastAsia" w:eastAsia="宋体"/>
                                <w:sz w:val="18"/>
                                <w:szCs w:val="18"/>
                                <w:lang w:val="en-US" w:eastAsia="zh-CN"/>
                              </w:rPr>
                              <w:t>8.64</w:t>
                            </w:r>
                          </w:p>
                        </w:txbxContent>
                      </v:textbox>
                    </v:shape>
                  </w:pict>
                </mc:Fallback>
              </mc:AlternateContent>
            </w:r>
            <w:r>
              <w:rPr>
                <w:rFonts w:hint="default"/>
                <w:color w:val="auto"/>
              </w:rPr>
              <mc:AlternateContent>
                <mc:Choice Requires="wps">
                  <w:drawing>
                    <wp:anchor distT="0" distB="0" distL="114300" distR="114300" simplePos="0" relativeHeight="251764736" behindDoc="0" locked="0" layoutInCell="1" allowOverlap="1">
                      <wp:simplePos x="0" y="0"/>
                      <wp:positionH relativeFrom="column">
                        <wp:posOffset>4129405</wp:posOffset>
                      </wp:positionH>
                      <wp:positionV relativeFrom="paragraph">
                        <wp:posOffset>64770</wp:posOffset>
                      </wp:positionV>
                      <wp:extent cx="563245" cy="25717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4DE31846">
                                  <w:pPr>
                                    <w:jc w:val="center"/>
                                    <w:rPr>
                                      <w:rFonts w:hint="default" w:eastAsia="宋体"/>
                                      <w:sz w:val="18"/>
                                      <w:szCs w:val="18"/>
                                      <w:lang w:val="en-US" w:eastAsia="zh-CN"/>
                                    </w:rPr>
                                  </w:pPr>
                                  <w:r>
                                    <w:rPr>
                                      <w:rFonts w:hint="eastAsia" w:eastAsia="宋体"/>
                                      <w:sz w:val="18"/>
                                      <w:szCs w:val="18"/>
                                      <w:lang w:val="en-US" w:eastAsia="zh-CN"/>
                                    </w:rPr>
                                    <w:t>4.167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15pt;margin-top:5.1pt;height:20.25pt;width:44.35pt;z-index:251764736;mso-width-relative:page;mso-height-relative:page;" filled="f" stroked="f" coordsize="21600,21600" o:gfxdata="UEsDBAoAAAAAAIdO4kAAAAAAAAAAAAAAAAAEAAAAZHJzL1BLAwQUAAAACACHTuJAS03a1toAAAAJ&#10;AQAADwAAAGRycy9kb3ducmV2LnhtbE2Py07DMBBF90j8gzVI7KjdVOkjjVOhSBUSgkVLN+wmsZtE&#10;xOMQuw/4eoYVLEf36M65+ebqenG2Y+g8aZhOFAhLtTcdNRoOb9uHJYgQkQz2nqyGLxtgU9ze5JgZ&#10;f6GdPe9jI7iEQoYa2hiHTMpQt9ZhmPjBEmdHPzqMfI6NNCNeuNz1MlFqLh12xB9aHGzZ2vpjf3Ia&#10;nsvtK+6qxC2/+/Lp5fg4fB7eU63v76ZqDSLaa/yD4Vef1aFgp8qfyATRa5inasYoByoBwcBituJx&#10;lYZULUAWufy/oPgBUEsDBBQAAAAIAIdO4kCfHLRIQwIAAHUEAAAOAAAAZHJzL2Uyb0RvYy54bWyt&#10;VMFOGzEQvVfqP1i+l01CAiVig1IQVSVUkGjVs+P1sivZHtd22KUf0P4Bp15673fxHX32JgHRHjj0&#10;shnPjGfmvXnO8UlvNLtVPrRkSz7eG3GmrKSqtTcl//zp/M1bzkIUthKarCr5nQr8ZPH61XHn5mpC&#10;DelKeYYiNsw7V/ImRjcviiAbZUTYI6csgjV5IyKO/qaovOhQ3ehiMhodFB35ynmSKgR4z4Yg31T0&#10;LylIdd1KdUZybZSNQ1WvtIiAFJrWBb7I09a1kvGyroOKTJccSGP+ognsVfoWi2Mxv/HCNa3cjCBe&#10;MsIzTEa0Fk13pc5EFGzt279KmVZ6ClTHPUmmGIBkRoBiPHrGzXUjnMpYQHVwO9LD/ysrP95eedZW&#10;JT+acWaFwcYf7n88/Pz98Os7gw8EdS7MkXftkBn7d9RDNlt/gDPh7mtv0i8QMcRB792OXtVHJuGc&#10;HexPpugiEZrMDseHuXrxeNn5EN8rMiwZJffYXiZV3F6EiEGQuk1JvSydt1rnDWrLupIf7M9G+cIu&#10;ghvaplyVtbApkwANgycr9qt+g3JF1R1Aehp0Epw8bzHKhQjxSngIA7jwdOIlPrUmtKSNxVlD/tu/&#10;/Ckf+0KUsw5CK3n4uhZecaY/WGzyaDydJmXmw3R2OMHBP42snkbs2pwStDzGI3Uymyk/6q1ZezJf&#10;8MKWqStCwkr0LnncmqdxkD9eqFTLZU6CFp2IF/bayVR6IHe5jlS3mfdE08ANlpAOUGNex+blJLk/&#10;Peesx3+L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TdrW2gAAAAkBAAAPAAAAAAAAAAEAIAAA&#10;ACIAAABkcnMvZG93bnJldi54bWxQSwECFAAUAAAACACHTuJAnxy0SEMCAAB1BAAADgAAAAAAAAAB&#10;ACAAAAApAQAAZHJzL2Uyb0RvYy54bWxQSwUGAAAAAAYABgBZAQAA3gUAAAAA&#10;">
                      <v:fill on="f" focussize="0,0"/>
                      <v:stroke on="f" weight="0.5pt"/>
                      <v:imagedata o:title=""/>
                      <o:lock v:ext="edit" aspectratio="f"/>
                      <v:textbox>
                        <w:txbxContent>
                          <w:p w14:paraId="4DE31846">
                            <w:pPr>
                              <w:jc w:val="center"/>
                              <w:rPr>
                                <w:rFonts w:hint="default" w:eastAsia="宋体"/>
                                <w:sz w:val="18"/>
                                <w:szCs w:val="18"/>
                                <w:lang w:val="en-US" w:eastAsia="zh-CN"/>
                              </w:rPr>
                            </w:pPr>
                            <w:r>
                              <w:rPr>
                                <w:rFonts w:hint="eastAsia" w:eastAsia="宋体"/>
                                <w:sz w:val="18"/>
                                <w:szCs w:val="18"/>
                                <w:lang w:val="en-US" w:eastAsia="zh-CN"/>
                              </w:rPr>
                              <w:t>4.167</w:t>
                            </w:r>
                          </w:p>
                        </w:txbxContent>
                      </v:textbox>
                    </v:shape>
                  </w:pict>
                </mc:Fallback>
              </mc:AlternateContent>
            </w:r>
            <w:r>
              <w:rPr>
                <w:rFonts w:hint="default"/>
                <w:color w:val="auto"/>
              </w:rPr>
              <mc:AlternateContent>
                <mc:Choice Requires="wps">
                  <w:drawing>
                    <wp:anchor distT="0" distB="0" distL="114300" distR="114300" simplePos="0" relativeHeight="251756544" behindDoc="0" locked="0" layoutInCell="1" allowOverlap="1">
                      <wp:simplePos x="0" y="0"/>
                      <wp:positionH relativeFrom="column">
                        <wp:posOffset>1863725</wp:posOffset>
                      </wp:positionH>
                      <wp:positionV relativeFrom="paragraph">
                        <wp:posOffset>160020</wp:posOffset>
                      </wp:positionV>
                      <wp:extent cx="676910" cy="26733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676910" cy="267335"/>
                              </a:xfrm>
                              <a:prstGeom prst="rect">
                                <a:avLst/>
                              </a:prstGeom>
                              <a:noFill/>
                              <a:ln w="6350">
                                <a:noFill/>
                              </a:ln>
                              <a:effectLst/>
                            </wps:spPr>
                            <wps:txbx>
                              <w:txbxContent>
                                <w:p w14:paraId="57CBA1BE">
                                  <w:pPr>
                                    <w:jc w:val="center"/>
                                    <w:rPr>
                                      <w:rFonts w:hint="default" w:eastAsia="宋体"/>
                                      <w:sz w:val="18"/>
                                      <w:szCs w:val="18"/>
                                      <w:lang w:val="en-US" w:eastAsia="zh-CN"/>
                                    </w:rPr>
                                  </w:pPr>
                                  <w:r>
                                    <w:rPr>
                                      <w:rFonts w:hint="eastAsia"/>
                                      <w:sz w:val="18"/>
                                      <w:szCs w:val="18"/>
                                    </w:rPr>
                                    <w:t>消耗</w:t>
                                  </w:r>
                                  <w:r>
                                    <w:rPr>
                                      <w:rFonts w:hint="eastAsia" w:eastAsia="宋体"/>
                                      <w:sz w:val="18"/>
                                      <w:szCs w:val="18"/>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75pt;margin-top:12.6pt;height:21.05pt;width:53.3pt;z-index:251756544;mso-width-relative:page;mso-height-relative:page;" filled="f" stroked="f" coordsize="21600,21600" o:gfxdata="UEsDBAoAAAAAAIdO4kAAAAAAAAAAAAAAAAAEAAAAZHJzL1BLAwQUAAAACACHTuJAxRnLVNsAAAAJ&#10;AQAADwAAAGRycy9kb3ducmV2LnhtbE2PTU/DMAyG70j8h8hI3FjSjo5Rmk6o0oSE4LCxCze38dqK&#10;xilN9gG/nnCCmy0/ev28xepsB3GkyfeONSQzBYK4cabnVsPubX2zBOEDssHBMWn4Ig+r8vKiwNy4&#10;E2/ouA2tiCHsc9TQhTDmUvqmI4t+5kbieNu7yWKI69RKM+EphttBpkotpMWe44cOR6o6aj62B6vh&#10;uVq/4qZO7fJ7qJ5e9o/j5+490/r6KlEPIAKdwx8Mv/pRHcroVLsDGy8GDen9PItoHLIURARulUpA&#10;1BoWd3OQZSH/Nyh/AFBLAwQUAAAACACHTuJA7Uq0bkMCAAB1BAAADgAAAGRycy9lMm9Eb2MueG1s&#10;rVTBThsxEL1X6j9YvpdNAgSI2KAURFUJFSRa9ex4vexKtse1HXbpB7R/0FMvvfe78h199iYB0R44&#10;9LIZz4zfzHszzulZbzS7Vz60ZEs+3htxpqykqrV3Jf/08fLNMWchClsJTVaV/EEFfjZ//eq0czM1&#10;oYZ0pTwDiA2zzpW8idHNiiLIRhkR9sgpi2BN3oiIo78rKi86oBtdTEajadGRr5wnqUKA92II8g2i&#10;fwkg1XUr1QXJlVE2DqheaRFBKTStC3yeu61rJeN1XQcVmS45mMb8RRHYy/Qt5qdidueFa1q5aUG8&#10;pIVnnIxoLYruoC5EFGzl27+gTCs9BarjniRTDESyImAxHj3T5rYRTmUukDq4nejh/8HKD/c3nrVV&#10;yY8PObPCYOLrH9/XP3+vf31j8EGgzoUZ8m4dMmP/lnqszdYf4Ey8+9qb9AtGDHHI+7CTV/WRSTin&#10;R9OTMSISocn0aH8/oxePl50P8Z0iw5JRco/pZVHF/VWIaASp25RUy9Jlq3WeoLasQ4H9w1G+sIvg&#10;hrYpV+Vd2MAkQkPjyYr9st+wXFL1AJKehj0JTl62aOVKhHgjPBYD3ePpxGt8ak0oSRuLs4b813/5&#10;Uz7mhShnHRat5OHLSnjFmX5vMcmT8cEBYGM+HBweTXDwTyPLpxG7MueEXR7jkTqZzZQf9dasPZnP&#10;eGGLVBUhYSVqlzxuzfM4rD9eqFSLRU7CLjoRr+ytkwl6EHexilS3Wfck06ANhpAO2MY8js3LSev+&#10;9JyzHv8t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RnLVNsAAAAJAQAADwAAAAAAAAABACAA&#10;AAAiAAAAZHJzL2Rvd25yZXYueG1sUEsBAhQAFAAAAAgAh07iQO1KtG5DAgAAdQQAAA4AAAAAAAAA&#10;AQAgAAAAKgEAAGRycy9lMm9Eb2MueG1sUEsFBgAAAAAGAAYAWQEAAN8FAAAAAA==&#10;">
                      <v:fill on="f" focussize="0,0"/>
                      <v:stroke on="f" weight="0.5pt"/>
                      <v:imagedata o:title=""/>
                      <o:lock v:ext="edit" aspectratio="f"/>
                      <v:textbox>
                        <w:txbxContent>
                          <w:p w14:paraId="57CBA1BE">
                            <w:pPr>
                              <w:jc w:val="center"/>
                              <w:rPr>
                                <w:rFonts w:hint="default" w:eastAsia="宋体"/>
                                <w:sz w:val="18"/>
                                <w:szCs w:val="18"/>
                                <w:lang w:val="en-US" w:eastAsia="zh-CN"/>
                              </w:rPr>
                            </w:pPr>
                            <w:r>
                              <w:rPr>
                                <w:rFonts w:hint="eastAsia"/>
                                <w:sz w:val="18"/>
                                <w:szCs w:val="18"/>
                              </w:rPr>
                              <w:t>消耗</w:t>
                            </w:r>
                            <w:r>
                              <w:rPr>
                                <w:rFonts w:hint="eastAsia" w:eastAsia="宋体"/>
                                <w:sz w:val="18"/>
                                <w:szCs w:val="18"/>
                                <w:lang w:val="en-US" w:eastAsia="zh-CN"/>
                              </w:rPr>
                              <w:t>0.2</w:t>
                            </w:r>
                          </w:p>
                        </w:txbxContent>
                      </v:textbox>
                    </v:shape>
                  </w:pict>
                </mc:Fallback>
              </mc:AlternateContent>
            </w:r>
            <w:r>
              <w:rPr>
                <w:rFonts w:hint="default"/>
                <w:color w:val="auto"/>
              </w:rPr>
              <mc:AlternateContent>
                <mc:Choice Requires="wps">
                  <w:drawing>
                    <wp:anchor distT="0" distB="0" distL="114300" distR="114300" simplePos="0" relativeHeight="251682816" behindDoc="0" locked="0" layoutInCell="1" allowOverlap="1">
                      <wp:simplePos x="0" y="0"/>
                      <wp:positionH relativeFrom="column">
                        <wp:posOffset>2117725</wp:posOffset>
                      </wp:positionH>
                      <wp:positionV relativeFrom="paragraph">
                        <wp:posOffset>31750</wp:posOffset>
                      </wp:positionV>
                      <wp:extent cx="1607820" cy="13970"/>
                      <wp:effectExtent l="0" t="6350" r="11430" b="8255"/>
                      <wp:wrapNone/>
                      <wp:docPr id="325" name="直接连接符 325"/>
                      <wp:cNvGraphicFramePr/>
                      <a:graphic xmlns:a="http://schemas.openxmlformats.org/drawingml/2006/main">
                        <a:graphicData uri="http://schemas.microsoft.com/office/word/2010/wordprocessingShape">
                          <wps:wsp>
                            <wps:cNvCnPr/>
                            <wps:spPr>
                              <a:xfrm flipV="1">
                                <a:off x="0" y="0"/>
                                <a:ext cx="1607820" cy="13970"/>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flip:y;margin-left:166.75pt;margin-top:2.5pt;height:1.1pt;width:126.6pt;z-index:251682816;mso-width-relative:page;mso-height-relative:page;" filled="f" stroked="t" coordsize="21600,21600" o:gfxdata="UEsDBAoAAAAAAIdO4kAAAAAAAAAAAAAAAAAEAAAAZHJzL1BLAwQUAAAACACHTuJAd5ae9NcAAAAH&#10;AQAADwAAAGRycy9kb3ducmV2LnhtbE2PT0vDQBTE74LfYXmCN7tJQ9oSs+nBPyBIEKuX3l6zzySY&#10;fRuy27R+e58nexxmmPlNuT27Qc00hd6zgXSRgCJuvO25NfD58Xy3ARUissXBMxn4oQDb6vqqxML6&#10;E7/TvIutkhIOBRroYhwLrUPTkcOw8COxeF9+chhFTq22E56k3A16mSQr7bBnWehwpIeOmu/d0RmY&#10;05rfXp72/vEV6zZPa7tv1tGY25s0uQcV6Rz/w/CHL+hQCdPBH9kGNRjIsiyXqIFcLomfb1ZrUAcD&#10;6yXoqtSX/NUvUEsDBBQAAAAIAIdO4kAbu7pt7AEAALsDAAAOAAAAZHJzL2Uyb0RvYy54bWytU71u&#10;2zAQ3gv0HQjutWQFjRPBcoYY6VI0BtpmpylSIsA/8BjLfom+QIFs7dSxe9+m7mP0SKlGmi4Z6oG4&#10;452/4/fdp+XV3miyEwGUsw2dz0pKhOWuVbZr6McPN68uKIHIbMu0s6KhBwH0avXyxXLwtahc73Qr&#10;AkEQC/XgG9rH6OuiAN4Lw2DmvLBYlC4YFjENXdEGNiC60UVVlufF4ELrg+MCAG/XY5FOiOE5gE5K&#10;xcXa8XsjbBxRg9AsIiXolQe6yq+VUvB4KyWISHRDkWnMJw7BeJvOYrVkdReY7xWfnsCe84QnnAxT&#10;FoeeoNYsMnIf1D9QRvHgwMk4484UI5GsCLKYl0+0ed8zLzIXlBr8SXT4f7D83W4TiGobela9psQy&#10;gys/fv7+89OXXz8e8Dx++0pSCYUaPNTYf203YcrAb0JivZfBEKmVv0NHZR2QGdlnmQ8nmcU+Eo6X&#10;8/NycVHhBjjW5meXi7yGYoRJcD5AfCOcISloqFY2qcBqtnsLEUdj65+WdG3djdI6b1JbMiBmtSgT&#10;PEN7SrQFhsYjRbAdJUx36HseQ4YEp1Wb/p6AIHTbax3IjiW35F/ijeP+akuz1wz6sS+XpjZtE4zI&#10;vpuemkQbZUrR1rWHrF6RMtxpRp/8l0zzOMf48Te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3&#10;lp701wAAAAcBAAAPAAAAAAAAAAEAIAAAACIAAABkcnMvZG93bnJldi54bWxQSwECFAAUAAAACACH&#10;TuJAG7u6bewBAAC7AwAADgAAAAAAAAABACAAAAAmAQAAZHJzL2Uyb0RvYy54bWxQSwUGAAAAAAYA&#10;BgBZAQAAhAUAAAAA&#10;">
                      <v:fill on="f" focussize="0,0"/>
                      <v:stroke weight="1pt" color="#000000" joinstyle="round"/>
                      <v:imagedata o:title=""/>
                      <o:lock v:ext="edit" aspectratio="f"/>
                    </v:line>
                  </w:pict>
                </mc:Fallback>
              </mc:AlternateContent>
            </w:r>
          </w:p>
          <w:p w14:paraId="20453C9B">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87936" behindDoc="0" locked="0" layoutInCell="1" allowOverlap="1">
                      <wp:simplePos x="0" y="0"/>
                      <wp:positionH relativeFrom="column">
                        <wp:posOffset>1052195</wp:posOffset>
                      </wp:positionH>
                      <wp:positionV relativeFrom="paragraph">
                        <wp:posOffset>86995</wp:posOffset>
                      </wp:positionV>
                      <wp:extent cx="563245" cy="25717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6B82CB0A">
                                  <w:pPr>
                                    <w:jc w:val="center"/>
                                    <w:rPr>
                                      <w:rFonts w:hint="eastAsia" w:eastAsia="宋体"/>
                                      <w:sz w:val="18"/>
                                      <w:szCs w:val="18"/>
                                      <w:lang w:eastAsia="zh-CN"/>
                                    </w:rPr>
                                  </w:pPr>
                                  <w:r>
                                    <w:rPr>
                                      <w:rFonts w:hint="eastAsia"/>
                                      <w:sz w:val="18"/>
                                      <w:szCs w:val="18"/>
                                    </w:rPr>
                                    <w:t>0.</w:t>
                                  </w:r>
                                  <w:r>
                                    <w:rPr>
                                      <w:rFonts w:hint="eastAsia" w:eastAsia="宋体"/>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85pt;margin-top:6.85pt;height:20.25pt;width:44.35pt;z-index:251687936;mso-width-relative:page;mso-height-relative:page;" filled="f" stroked="f" coordsize="21600,21600" o:gfxdata="UEsDBAoAAAAAAIdO4kAAAAAAAAAAAAAAAAAEAAAAZHJzL1BLAwQUAAAACACHTuJAR1VLy9oAAAAJ&#10;AQAADwAAAGRycy9kb3ducmV2LnhtbE2PzU7DMBCE70i8g7VI3KjTkJQqxKlQpAoJwaGlF26b2E0i&#10;7HWI3R94epZTOe2OZjT7bbk6OyuOZgqDJwXzWQLCUOv1QJ2C3fv6bgkiRCSN1pNR8G0CrKrrqxIL&#10;7U+0Mcdt7ASXUChQQR/jWEgZ2t44DDM/GmJv7yeHkeXUST3hicudlWmSLKTDgfhCj6Ope9N+bg9O&#10;wUu9fsNNk7rlj62fX/dP49fuI1fq9maePIKI5hwvYfjDZ3SomKnxB9JBWNaL/IGjvNzz5ECaZxmI&#10;RkGepSCrUv7/oPoFUEsDBBQAAAAIAIdO4kDaSGioRAIAAHcEAAAOAAAAZHJzL2Uyb0RvYy54bWyt&#10;VMFuEzEQvSPxD5bvdJM0aSHqpgqtipAqWqkgzo7X213J9hjb6W75APgDTly48135Dp69SVoVDj1w&#10;8Y5nxjPz3szsyWlvNLtTPrRkSz4+GHGmrKSqtbcl//Tx4tVrzkIUthKarCr5vQr8dPHyxUnn5mpC&#10;DelKeYYgNsw7V/ImRjcviiAbZUQ4IKcsjDV5IyKu/raovOgQ3ehiMhodFR35ynmSKgRozwcj30b0&#10;zwlIdd1KdU5ybZSNQ1SvtIiAFJrWBb7I1da1kvGqroOKTJccSGM+kQTyKp3F4kTMb71wTSu3JYjn&#10;lPAEkxGtRdJ9qHMRBVv79q9QppWeAtXxQJIpBiCZEaAYj55wc9MIpzIWUB3cnvTw/8LKD3fXnrVV&#10;yQ/HM86sMGj55sf3zc/fm1/fWFKCos6FOTxvHHxj/5Z6DM5OH6BMyPvam/QFJgY7CL7fE6z6yCSU&#10;s6PDyRRpJEyT2fH4OEcvHh47H+I7RYYloeQe/cu0irvLEFEIXHcuKZeli1br3ENtWVfyo8PZKD/Y&#10;W/BC2+Sr8jRswyRAQ+FJiv2q36JcUXUPkJ6GSQlOXrQo5VKEeC08RgO4sDzxCketCSlpK3HWkP/6&#10;L33yR8dg5azDqJU8fFkLrzjT7y16+WY8nabZzJfp7HiCi39sWT222LU5I0zzGGvqZBaTf9Q7sfZk&#10;PmPHlikrTMJK5C553IlncVgA7KhUy2V2wjQ6ES/tjZMp9EDuch2pbjPviaaBGzQhXTCPuR3b3UkD&#10;//ievR7+F4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1VLy9oAAAAJAQAADwAAAAAAAAABACAA&#10;AAAiAAAAZHJzL2Rvd25yZXYueG1sUEsBAhQAFAAAAAgAh07iQNpIaKhEAgAAdwQAAA4AAAAAAAAA&#10;AQAgAAAAKQEAAGRycy9lMm9Eb2MueG1sUEsFBgAAAAAGAAYAWQEAAN8FAAAAAA==&#10;">
                      <v:fill on="f" focussize="0,0"/>
                      <v:stroke on="f" weight="0.5pt"/>
                      <v:imagedata o:title=""/>
                      <o:lock v:ext="edit" aspectratio="f"/>
                      <v:textbox>
                        <w:txbxContent>
                          <w:p w14:paraId="6B82CB0A">
                            <w:pPr>
                              <w:jc w:val="center"/>
                              <w:rPr>
                                <w:rFonts w:hint="eastAsia" w:eastAsia="宋体"/>
                                <w:sz w:val="18"/>
                                <w:szCs w:val="18"/>
                                <w:lang w:eastAsia="zh-CN"/>
                              </w:rPr>
                            </w:pPr>
                            <w:r>
                              <w:rPr>
                                <w:rFonts w:hint="eastAsia"/>
                                <w:sz w:val="18"/>
                                <w:szCs w:val="18"/>
                              </w:rPr>
                              <w:t>0.</w:t>
                            </w:r>
                            <w:r>
                              <w:rPr>
                                <w:rFonts w:hint="eastAsia" w:eastAsia="宋体"/>
                                <w:sz w:val="18"/>
                                <w:szCs w:val="18"/>
                                <w:lang w:val="en-US" w:eastAsia="zh-CN"/>
                              </w:rPr>
                              <w:t>2</w:t>
                            </w:r>
                          </w:p>
                        </w:txbxContent>
                      </v:textbox>
                    </v:shape>
                  </w:pict>
                </mc:Fallback>
              </mc:AlternateContent>
            </w:r>
            <w:r>
              <w:rPr>
                <w:rFonts w:hint="default"/>
                <w:color w:val="auto"/>
              </w:rPr>
              <mc:AlternateContent>
                <mc:Choice Requires="wps">
                  <w:drawing>
                    <wp:anchor distT="0" distB="0" distL="114300" distR="114300" simplePos="0" relativeHeight="251676672" behindDoc="1" locked="0" layoutInCell="1" allowOverlap="1">
                      <wp:simplePos x="0" y="0"/>
                      <wp:positionH relativeFrom="column">
                        <wp:posOffset>2261235</wp:posOffset>
                      </wp:positionH>
                      <wp:positionV relativeFrom="paragraph">
                        <wp:posOffset>297180</wp:posOffset>
                      </wp:positionV>
                      <wp:extent cx="685800" cy="0"/>
                      <wp:effectExtent l="0" t="6350" r="0" b="6350"/>
                      <wp:wrapNone/>
                      <wp:docPr id="361" name="直接连接符 36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rgbClr val="000000"/>
                                </a:solidFill>
                                <a:prstDash val="dash"/>
                              </a:ln>
                              <a:effectLst/>
                            </wps:spPr>
                            <wps:bodyPr/>
                          </wps:wsp>
                        </a:graphicData>
                      </a:graphic>
                    </wp:anchor>
                  </w:drawing>
                </mc:Choice>
                <mc:Fallback>
                  <w:pict>
                    <v:line id="_x0000_s1026" o:spid="_x0000_s1026" o:spt="20" style="position:absolute;left:0pt;margin-left:178.05pt;margin-top:23.4pt;height:0pt;width:54pt;z-index:-251639808;mso-width-relative:page;mso-height-relative:page;" filled="f" stroked="t" coordsize="21600,21600" o:gfxdata="UEsDBAoAAAAAAIdO4kAAAAAAAAAAAAAAAAAEAAAAZHJzL1BLAwQUAAAACACHTuJAYU9K2tMAAAAJ&#10;AQAADwAAAGRycy9kb3ducmV2LnhtbE2Py07DMBBF90j8gzVIbBB1EoLVhjgVqlT2FARbJx7iiHgc&#10;xW4b/p5BLGA5d47uo94ufhQnnOMQSEO+ykAgdcEO1Gt4fdnfrkHEZMiaMRBq+MII2+byojaVDWd6&#10;xtMh9YJNKFZGg0tpqqSMnUNv4ipMSPz7CLM3ic+5l3Y2Zzb3oyyyTElvBuIEZybcOew+D0evYaH9&#10;tFEBi/ei3bkJH598unnT+voqzx5AJFzSHww/9bk6NNypDUeyUYwa7u5VzqiGUvEEBkpVstD+CrKp&#10;5f8FzTdQSwMEFAAAAAgAh07iQOM45nHeAQAAqwMAAA4AAABkcnMvZTJvRG9jLnhtbK1TzY7TMBC+&#10;I/EOlu80aRGlipruYavlgqAS8ACu4ySW/KcZb9O+BC+AxA1OHLnzNiyPwdjJlmX3sofNwZmxJ9/M&#10;9/nL+uJoDTsoQO1dzeezkjPlpG+062r+6ePVixVnGIVrhPFO1fykkF9snj9bD6FSC9970yhgBOKw&#10;GkLN+xhDVRQoe2UFznxQjg5bD1ZESqErGhADoVtTLMpyWQwemgBeKkTa3Y6HfEKExwD6ttVSbb28&#10;tsrFERWUEZEoYa8D8k2etm2VjO/bFlVkpubENOaVmlC8T2uxWYuqAxF6LacRxGNGuMfJCu2o6Rlq&#10;K6Jg16AfQFktwaNv40x6W4xEsiLEYl7e0+ZDL4LKXEhqDGfR8elg5bvDDphuav5yOefMCUtXfvPl&#10;5+/P3/78+krrzY/vLB2RUEPAiuov3Q6mDMMOEutjCza9iQ87ZnFPZ3HVMTJJm8vVq1VJssvbo+Lf&#10;dwEwvlHeshTU3GiXaItKHN5ipF5UeluStp2/0sbkqzOODeTixesMLciPLfmAuthAnNB1nAnTkdFl&#10;hAyJ3ugmfZ6AELr9pQF2EMke+UlEqd1/Zan3VmA/1jUUTVXGJRSVfTZNmkQaZUnR3jenrFaRMrrD&#10;DD75LZnkbk7x3X9s8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hT0ra0wAAAAkBAAAPAAAAAAAA&#10;AAEAIAAAACIAAABkcnMvZG93bnJldi54bWxQSwECFAAUAAAACACHTuJA4zjmcd4BAACrAwAADgAA&#10;AAAAAAABACAAAAAiAQAAZHJzL2Uyb0RvYy54bWxQSwUGAAAAAAYABgBZAQAAcgUAAAAA&#10;">
                      <v:fill on="f" focussize="0,0"/>
                      <v:stroke weight="1pt" color="#000000" joinstyle="round" dashstyle="dash"/>
                      <v:imagedata o:title=""/>
                      <o:lock v:ext="edit" aspectratio="f"/>
                    </v:line>
                  </w:pict>
                </mc:Fallback>
              </mc:AlternateContent>
            </w:r>
            <w:r>
              <w:rPr>
                <w:rFonts w:hint="default"/>
                <w:color w:val="auto"/>
              </w:rPr>
              <mc:AlternateContent>
                <mc:Choice Requires="wps">
                  <w:drawing>
                    <wp:anchor distT="0" distB="0" distL="114300" distR="114300" simplePos="0" relativeHeight="251691008" behindDoc="0" locked="0" layoutInCell="1" allowOverlap="1">
                      <wp:simplePos x="0" y="0"/>
                      <wp:positionH relativeFrom="column">
                        <wp:posOffset>1527175</wp:posOffset>
                      </wp:positionH>
                      <wp:positionV relativeFrom="paragraph">
                        <wp:posOffset>153670</wp:posOffset>
                      </wp:positionV>
                      <wp:extent cx="732790" cy="286385"/>
                      <wp:effectExtent l="4445" t="4445" r="5715" b="13970"/>
                      <wp:wrapNone/>
                      <wp:docPr id="308" name="文本框 308"/>
                      <wp:cNvGraphicFramePr/>
                      <a:graphic xmlns:a="http://schemas.openxmlformats.org/drawingml/2006/main">
                        <a:graphicData uri="http://schemas.microsoft.com/office/word/2010/wordprocessingShape">
                          <wps:wsp>
                            <wps:cNvSpPr txBox="1"/>
                            <wps:spPr>
                              <a:xfrm>
                                <a:off x="0" y="0"/>
                                <a:ext cx="732790" cy="286385"/>
                              </a:xfrm>
                              <a:prstGeom prst="rect">
                                <a:avLst/>
                              </a:prstGeom>
                              <a:solidFill>
                                <a:srgbClr val="FFFFFF"/>
                              </a:solidFill>
                              <a:ln w="6350">
                                <a:solidFill>
                                  <a:prstClr val="black"/>
                                </a:solidFill>
                              </a:ln>
                              <a:effectLst/>
                            </wps:spPr>
                            <wps:txbx>
                              <w:txbxContent>
                                <w:p w14:paraId="2F2B3864">
                                  <w:pPr>
                                    <w:jc w:val="center"/>
                                    <w:rPr>
                                      <w:sz w:val="18"/>
                                      <w:szCs w:val="18"/>
                                    </w:rPr>
                                  </w:pPr>
                                  <w:r>
                                    <w:rPr>
                                      <w:rFonts w:hint="eastAsia"/>
                                      <w:sz w:val="18"/>
                                      <w:szCs w:val="18"/>
                                    </w:rPr>
                                    <w:t>水浴除尘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25pt;margin-top:12.1pt;height:22.55pt;width:57.7pt;z-index:251691008;mso-width-relative:page;mso-height-relative:page;" fillcolor="#FFFFFF" filled="t" stroked="t" coordsize="21600,21600" o:gfxdata="UEsDBAoAAAAAAIdO4kAAAAAAAAAAAAAAAAAEAAAAZHJzL1BLAwQUAAAACACHTuJAxQ/8hNYAAAAJ&#10;AQAADwAAAGRycy9kb3ducmV2LnhtbE2PwWrDMAyG74O+g1Fht9VusoQ1i1NoYTB2W5vLbm6sJmG2&#10;HGy36d5+7mm7Sejj1/fX25s17Io+jI4krFcCGFLn9Ei9hPb49vQCLERFWhlHKOEHA2ybxUOtKu1m&#10;+sTrIfYshVColIQhxqniPHQDWhVWbkJKt7PzVsW0+p5rr+YUbg3PhCi5VSOlD4OacD9g9324WAnv&#10;5S5+Yas/dJ7lbm55588mSPm4XItXYBFv8Q+Gu35ShyY5ndyFdGBGQvYsioTehwxYAvKi2AA7SSg3&#10;OfCm5v8bNL9QSwMEFAAAAAgAh07iQHq3tgpfAgAAyAQAAA4AAABkcnMvZTJvRG9jLnhtbK1UzW4T&#10;MRC+I/EOlu9k89ufKJsqtApCqmilgDg7Xm/WwvYY28lueQB4A05cuPNcfQ7G3k2athx6IAdn/vLN&#10;zDczmV00WpGdcF6Cyemg16dEGA6FNJucfvq4fHNGiQ/MFEyBETm9E55ezF+/mtV2KoZQgSqEIwhi&#10;/LS2Oa1CsNMs87wSmvkeWGHQWYLTLKDqNlnhWI3oWmXDfv8kq8EV1gEX3qP1qnXSDtG9BBDKUnJx&#10;BXyrhQktqhOKBWzJV9J6Ok/VlqXg4aYsvQhE5RQ7DenFJCiv45vNZ2y6ccxWknclsJeU8KQnzaTB&#10;pAeoKxYY2Tr5DEpL7sBDGXocdNY2khjBLgb9J9ysKmZF6gWp9vZAuv9/sPzD7tYRWeR01MfBG6Zx&#10;5Pc/f9z/+nP/+zuJRqSotn6KkSuLsaF5Cw0uzt7u0Rg7b0qn4zf2RNCPBN8dCBZNIByNp6Ph6Tl6&#10;OLqGZyejs0lEyR5+bJ0P7wRoEoWcOpxfopXtrn1oQ/chMZcHJYulVCopbrO+VI7sGM56mT4d+qMw&#10;ZUid05PRpJ+QH/ki9gFirRj/8hwBq1Um5hNpvbq6IkMtE1EKzbrpaFtDcYesOWhXz1u+lJjlmvlw&#10;yxzuGtKB1xhu8CkVYGnQSZRU4L79yx7jcQXQS0mNu5tT/3XLnKBEvTe4HOeD8RhhQ1LGk9MhKu7Y&#10;sz72mK2+BKRsgHdveRJjfFB7sXSgP+PRLmJWdDHDMXdOw168DO1F4dFzsVikIFxvy8K1WVkeoSNh&#10;BhbbAKVMg4w0tdzgAkQFFzytQneM8YKO9RT18A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F&#10;D/yE1gAAAAkBAAAPAAAAAAAAAAEAIAAAACIAAABkcnMvZG93bnJldi54bWxQSwECFAAUAAAACACH&#10;TuJAere2Cl8CAADIBAAADgAAAAAAAAABACAAAAAlAQAAZHJzL2Uyb0RvYy54bWxQSwUGAAAAAAYA&#10;BgBZAQAA9gUAAAAA&#10;">
                      <v:fill on="t" focussize="0,0"/>
                      <v:stroke weight="0.5pt" color="#000000" joinstyle="round"/>
                      <v:imagedata o:title=""/>
                      <o:lock v:ext="edit" aspectratio="f"/>
                      <v:textbox>
                        <w:txbxContent>
                          <w:p w14:paraId="2F2B3864">
                            <w:pPr>
                              <w:jc w:val="center"/>
                              <w:rPr>
                                <w:sz w:val="18"/>
                                <w:szCs w:val="18"/>
                              </w:rPr>
                            </w:pPr>
                            <w:r>
                              <w:rPr>
                                <w:rFonts w:hint="eastAsia"/>
                                <w:sz w:val="18"/>
                                <w:szCs w:val="18"/>
                              </w:rPr>
                              <w:t>水浴除尘</w:t>
                            </w:r>
                          </w:p>
                        </w:txbxContent>
                      </v:textbox>
                    </v:shape>
                  </w:pict>
                </mc:Fallback>
              </mc:AlternateContent>
            </w:r>
            <w:r>
              <w:rPr>
                <w:rFonts w:hint="default"/>
                <w:color w:val="auto"/>
              </w:rPr>
              <mc:AlternateContent>
                <mc:Choice Requires="wps">
                  <w:drawing>
                    <wp:anchor distT="0" distB="0" distL="114300" distR="114300" simplePos="0" relativeHeight="251679744" behindDoc="0" locked="0" layoutInCell="1" allowOverlap="1">
                      <wp:simplePos x="0" y="0"/>
                      <wp:positionH relativeFrom="column">
                        <wp:posOffset>1786255</wp:posOffset>
                      </wp:positionH>
                      <wp:positionV relativeFrom="paragraph">
                        <wp:posOffset>12700</wp:posOffset>
                      </wp:positionV>
                      <wp:extent cx="161925" cy="213995"/>
                      <wp:effectExtent l="6350" t="24765" r="8255" b="3810"/>
                      <wp:wrapNone/>
                      <wp:docPr id="6" name="曲线连接符 6"/>
                      <wp:cNvGraphicFramePr/>
                      <a:graphic xmlns:a="http://schemas.openxmlformats.org/drawingml/2006/main">
                        <a:graphicData uri="http://schemas.microsoft.com/office/word/2010/wordprocessingShape">
                          <wps:wsp>
                            <wps:cNvCnPr/>
                            <wps:spPr>
                              <a:xfrm rot="-5400000">
                                <a:off x="0" y="0"/>
                                <a:ext cx="161925" cy="213995"/>
                              </a:xfrm>
                              <a:prstGeom prst="curvedConnector2">
                                <a:avLst/>
                              </a:prstGeom>
                              <a:ln w="12700" cap="flat" cmpd="sng">
                                <a:solidFill>
                                  <a:srgbClr val="000000"/>
                                </a:solidFill>
                                <a:prstDash val="sysDash"/>
                                <a:headEnd type="none" w="med" len="med"/>
                                <a:tailEnd type="triangle" w="med" len="med"/>
                              </a:ln>
                            </wps:spPr>
                            <wps:bodyPr/>
                          </wps:wsp>
                        </a:graphicData>
                      </a:graphic>
                    </wp:anchor>
                  </w:drawing>
                </mc:Choice>
                <mc:Fallback>
                  <w:pict>
                    <v:shape id="_x0000_s1026" o:spid="_x0000_s1026" o:spt="37" type="#_x0000_t37" style="position:absolute;left:0pt;margin-left:140.65pt;margin-top:1pt;height:16.85pt;width:12.75pt;rotation:-5898240f;z-index:251679744;mso-width-relative:page;mso-height-relative:page;" filled="f" stroked="t" coordsize="21600,21600" o:gfxdata="UEsDBAoAAAAAAIdO4kAAAAAAAAAAAAAAAAAEAAAAZHJzL1BLAwQUAAAACACHTuJA2YH5j9cAAAAI&#10;AQAADwAAAGRycy9kb3ducmV2LnhtbE2PwU7DMBBE70j8g7VI3KiTFkqVxqkEouIEEaU9cNvG2yQQ&#10;r6PYbcrfs5zgNqsZzb7JV2fXqRMNofVsIJ0koIgrb1uuDWzf1zcLUCEiW+w8k4FvCrAqLi9yzKwf&#10;+Y1Om1grKeGQoYEmxj7TOlQNOQwT3xOLd/CDwyjnUGs74CjlrtPTJJlrhy3LhwZ7emyo+tocnYHx&#10;45kfdk+3rty9hHVZjvSJ21djrq/SZAkq0jn+heEXX9ChEKa9P7INqjMwXaQziYqQSeLPkrlM2Yu4&#10;uwdd5Pr/gOIHUEsDBBQAAAAIAIdO4kA1r5YiDwIAAP4DAAAOAAAAZHJzL2Uyb0RvYy54bWytU72O&#10;EzEQ7pF4B8v9ZZOFBLLK5oqEo0EQCXgAx/buWvKfPE42eQleAIkOKipKmnubOx6DsTfk4BDSFbiw&#10;ZuyZb+b7PF5cHowmexlAOVvTyWhMibTcCWXbmr5/d3XxnBKIzAqmnZU1PUqgl8vHjxa9r2TpOqeF&#10;DARBLFS9r2kXo6+KAngnDYOR89LiZeOCYRHd0BYisB7RjS7K8XhW9C4IHxyXAHi6Hi7pCTE8BNA1&#10;jeJy7fjOSBsH1CA1i0gJOuWBLnO3TSN5fNM0ICPRNUWmMe9YBO1t2ovlglVtYL5T/NQCe0gL9zgZ&#10;piwWPUOtWWRkF9RfUEbx4MA1ccSdKQYiWRFkMRnf0+Ztx7zMXFBq8GfR4f/B8tf7TSBK1HRGiWUG&#10;H/zm47fb79c/rj/dfPh8+/ULmSWReg8Vxq7sJpw88JuQGB+aYEhwqOzF9Ok4rSwEUiOHrPPxrLM8&#10;RMLxcDKbzMspJRyvysmT+XyaShQDVsL0AeJL6QxJRk35LuylWDlr8T1dKHMBtn8FcUj7FZ5StSU9&#10;ViifYR+EMxzQBgcDTeORJNg2J4PTSlwprVMKhHa70oHsWRqSgcIA/EdYqrJm0A1xcITkDAPUSSZe&#10;WEHi0aOAFv8NTV0YKSjREr9ZshCSVZEpfRcZg2K21f+IRkG0RV2S9oPaydo6ccyPkM9xLLJypxFO&#10;c/e7n7Pvvu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mB+Y/XAAAACAEAAA8AAAAAAAAAAQAg&#10;AAAAIgAAAGRycy9kb3ducmV2LnhtbFBLAQIUABQAAAAIAIdO4kA1r5YiDwIAAP4DAAAOAAAAAAAA&#10;AAEAIAAAACYBAABkcnMvZTJvRG9jLnhtbFBLBQYAAAAABgAGAFkBAACnBQAAAAA=&#10;">
                      <v:fill on="f" focussize="0,0"/>
                      <v:stroke weight="1pt" color="#000000" joinstyle="round" dashstyle="3 1"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665408" behindDoc="1" locked="0" layoutInCell="1" allowOverlap="1">
                      <wp:simplePos x="0" y="0"/>
                      <wp:positionH relativeFrom="column">
                        <wp:posOffset>565150</wp:posOffset>
                      </wp:positionH>
                      <wp:positionV relativeFrom="paragraph">
                        <wp:posOffset>8890</wp:posOffset>
                      </wp:positionV>
                      <wp:extent cx="485775" cy="0"/>
                      <wp:effectExtent l="0" t="6350" r="0" b="6350"/>
                      <wp:wrapNone/>
                      <wp:docPr id="290" name="直接连接符 290"/>
                      <wp:cNvGraphicFramePr/>
                      <a:graphic xmlns:a="http://schemas.openxmlformats.org/drawingml/2006/main">
                        <a:graphicData uri="http://schemas.microsoft.com/office/word/2010/wordprocessingShape">
                          <wps:wsp>
                            <wps:cNvCnPr/>
                            <wps:spPr>
                              <a:xfrm>
                                <a:off x="1934845" y="5906770"/>
                                <a:ext cx="485775" cy="0"/>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margin-left:44.5pt;margin-top:0.7pt;height:0pt;width:38.25pt;z-index:-251651072;mso-width-relative:page;mso-height-relative:page;" filled="f" stroked="t" coordsize="21600,21600" o:gfxdata="UEsDBAoAAAAAAIdO4kAAAAAAAAAAAAAAAAAEAAAAZHJzL1BLAwQUAAAACACHTuJA16jXsdUAAAAG&#10;AQAADwAAAGRycy9kb3ducmV2LnhtbE2PzU7DMBCE70i8g7VI3KjTipYQ4vQAqioQl7ZIXLfxEgfi&#10;dRpvf3h7XC5wnJ3VzDfl/OQ7daAhtoENjEcZKOI62JYbA2+bxU0OKgqyxS4wGfimCPPq8qLEwoYj&#10;r+iwlkalEI4FGnAifaF1rB15jKPQEyfvIwweJcmh0XbAYwr3nZ5k2Ux7bDk1OOzp0VH9td57A/i0&#10;XMl7Pnm5a5/d6+dmsVu6fGfM9dU4ewAldJK/ZzjjJ3SoEtM27NlG1RnI79MUSfdbUGd7Np2C2v5q&#10;XZX6P371A1BLAwQUAAAACACHTuJAkOn0RO0BAAC4AwAADgAAAGRycy9lMm9Eb2MueG1srVPNjtMw&#10;EL4j8Q6W7zTZ0m7bqOketlouCCoBD+A6dmLJf/J4m/YleAEkbnDiyJ232eUxGDvZH5bLHsjBmfFM&#10;vvH3+cv64mg0OYgAytmank1KSoTlrlG2remnj1evlpRAZLZh2llR05MAerF5+WLd+0pMXed0IwJB&#10;EAtV72vaxeirogDeCcNg4rywWJQuGBYxDW3RBNYjutHFtCzPi96FxgfHBQDubociHRHDcwCdlIqL&#10;rePXRtg4oAahWURK0CkPdJNPK6Xg8b2UICLRNUWmMa84BON9WovNmlVtYL5TfDwCe84RnnAyTFkc&#10;eg+1ZZGR66D+gTKKBwdOxgl3phiIZEWQxVn5RJsPHfMic0Gpwd+LDv8Plr877AJRTU2nK9TEMoNX&#10;fvvl583nb79/fcX19sd3kkooVO+hwv5LuwtjBn4XEuujDCa9kQ85oqlWr2fL2ZySU03nq/J8sRiF&#10;FsdIODbMlvPFAuscG3KpeMDwAeIb4QxJQU21skkCVrHDW4g4F1vvWtK2dVdK63yN2pIeh08XJTLh&#10;DL0p0RMYGo/8wLaUMN2i6XkMGRKcVk36PAFBaPeXOpADS1bJTyKN4/5qS7O3DLqhL5fGNm0TjMim&#10;G4+aFBs0StHeNacsXZEyvNCMPpovOeZxjvHjH27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eo&#10;17HVAAAABgEAAA8AAAAAAAAAAQAgAAAAIgAAAGRycy9kb3ducmV2LnhtbFBLAQIUABQAAAAIAIdO&#10;4kCQ6fRE7QEAALgDAAAOAAAAAAAAAAEAIAAAACQBAABkcnMvZTJvRG9jLnhtbFBLBQYAAAAABgAG&#10;AFkBAACDBQAAAAA=&#10;">
                      <v:fill on="f" focussize="0,0"/>
                      <v:stroke weight="1pt" color="#000000" joinstyle="round"/>
                      <v:imagedata o:title=""/>
                      <o:lock v:ext="edit" aspectratio="f"/>
                    </v:line>
                  </w:pict>
                </mc:Fallback>
              </mc:AlternateContent>
            </w:r>
          </w:p>
          <w:p w14:paraId="4F18C647">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681792" behindDoc="0" locked="0" layoutInCell="1" allowOverlap="1">
                      <wp:simplePos x="0" y="0"/>
                      <wp:positionH relativeFrom="column">
                        <wp:posOffset>2117725</wp:posOffset>
                      </wp:positionH>
                      <wp:positionV relativeFrom="paragraph">
                        <wp:posOffset>236855</wp:posOffset>
                      </wp:positionV>
                      <wp:extent cx="563245" cy="257175"/>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6A2B2810">
                                  <w:pPr>
                                    <w:jc w:val="center"/>
                                    <w:rPr>
                                      <w:rFonts w:hint="default" w:eastAsia="宋体"/>
                                      <w:sz w:val="18"/>
                                      <w:szCs w:val="18"/>
                                      <w:lang w:val="en-US" w:eastAsia="zh-CN"/>
                                    </w:rPr>
                                  </w:pPr>
                                  <w:r>
                                    <w:rPr>
                                      <w:rFonts w:hint="eastAsia"/>
                                      <w:sz w:val="18"/>
                                      <w:szCs w:val="18"/>
                                    </w:rPr>
                                    <w:t>1.</w:t>
                                  </w:r>
                                  <w:r>
                                    <w:rPr>
                                      <w:rFonts w:hint="eastAsia" w:eastAsia="宋体"/>
                                      <w:sz w:val="18"/>
                                      <w:szCs w:val="18"/>
                                      <w:lang w:val="en-US" w:eastAsia="zh-CN"/>
                                    </w:rPr>
                                    <w:t>8t/d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75pt;margin-top:18.65pt;height:20.25pt;width:44.35pt;z-index:251681792;mso-width-relative:page;mso-height-relative:page;" filled="f" stroked="f" coordsize="21600,21600" o:gfxdata="UEsDBAoAAAAAAIdO4kAAAAAAAAAAAAAAAAAEAAAAZHJzL1BLAwQUAAAACACHTuJAl4k7C9sAAAAJ&#10;AQAADwAAAGRycy9kb3ducmV2LnhtbE2Py07DMBBF90j8gzVI7KhTh5IojVOhSBUSgkVLN+wmsZtE&#10;9SPE7gO+nmFVdjOaozvnlquLNeykpzB4J2E+S4Bp13o1uE7C7mP9kAMLEZ1C452W8K0DrKrbmxIL&#10;5c9uo0/b2DEKcaFACX2MY8F5aHttMcz8qB3d9n6yGGmdOq4mPFO4NVwkyRO3ODj60OOo6163h+3R&#10;Snit1++4aYTNf0z98rZ/Hr92nwsp7+/myRJY1Jd4heFPn9ShIqfGH50KzEhI03RBKA1ZCoyARyEE&#10;sEZCluXAq5L/b1D9AlBLAwQUAAAACACHTuJAG9Kxd0QCAAB3BAAADgAAAGRycy9lMm9Eb2MueG1s&#10;rVTNjtowEL5X6jtYvpfwF+giwoouoqqEuivRqmfjOCSS7XFtQ0IfoH2DPfXSe5+L5+jYARZte9hD&#10;L2Y8M/nG3zczTG8bJcleWFeBzmiv06VEaA55pbcZ/fxp+eYtJc4znTMJWmT0IBy9nb1+Na3NRPSh&#10;BJkLSxBEu0ltMlp6byZJ4ngpFHMdMEJjsACrmMer3Sa5ZTWiK5n0u91RUoPNjQUunEPvog3SE6J9&#10;CSAURcXFAvhOCe1bVCsk80jJlZVxdBZfWxSC+/uicMITmVFk6uOJRdDehDOZTdlka5kpK356AnvJ&#10;E55xUqzSWPQCtWCekZ2t/oJSFbfgoPAdDippiURFkEWv+0ybdcmMiFxQamcuorv/B8s/7h8sqfKM&#10;DtIbSjRT2PLj44/jz9/HX99JcKJEtXETzFwbzPXNO2hwcM5+h87AvCmsCr/IiWAcBT5cBBaNJxyd&#10;6WjQH6aUcAz103FvnAaU5OljY51/L0CRYGTUYv+irGy/cr5NPaeEWhqWlZSxh1KTOqOjQdqNH1wi&#10;CC51yBVxGk4wgVD78GD5ZtOcWG4gPyBJC+2kOMOXFT5lxZx/YBZHA3nh8vh7PAoJWBJOFiUl2G//&#10;8od87BhGKalx1DLqvu6YFZTIDxp7edMbDsNsxsswHffxYq8jm+uI3qk7wGnu4ZoaHs2Q7+XZLCyo&#10;L7hj81AVQ0xzrJ1RfzbvfLsAuKNczOcxCafRML/Sa8MDdCvufOehqKLuQaZWG+xXuOA8xs6ddicM&#10;/PU9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eJOwvbAAAACQEAAA8AAAAAAAAAAQAg&#10;AAAAIgAAAGRycy9kb3ducmV2LnhtbFBLAQIUABQAAAAIAIdO4kAb0rF3RAIAAHcEAAAOAAAAAAAA&#10;AAEAIAAAACoBAABkcnMvZTJvRG9jLnhtbFBLBQYAAAAABgAGAFkBAADgBQAAAAA=&#10;">
                      <v:fill on="f" focussize="0,0"/>
                      <v:stroke on="f" weight="0.5pt"/>
                      <v:imagedata o:title=""/>
                      <o:lock v:ext="edit" aspectratio="f"/>
                      <v:textbox>
                        <w:txbxContent>
                          <w:p w14:paraId="6A2B2810">
                            <w:pPr>
                              <w:jc w:val="center"/>
                              <w:rPr>
                                <w:rFonts w:hint="default" w:eastAsia="宋体"/>
                                <w:sz w:val="18"/>
                                <w:szCs w:val="18"/>
                                <w:lang w:val="en-US" w:eastAsia="zh-CN"/>
                              </w:rPr>
                            </w:pPr>
                            <w:r>
                              <w:rPr>
                                <w:rFonts w:hint="eastAsia"/>
                                <w:sz w:val="18"/>
                                <w:szCs w:val="18"/>
                              </w:rPr>
                              <w:t>1.</w:t>
                            </w:r>
                            <w:r>
                              <w:rPr>
                                <w:rFonts w:hint="eastAsia" w:eastAsia="宋体"/>
                                <w:sz w:val="18"/>
                                <w:szCs w:val="18"/>
                                <w:lang w:val="en-US" w:eastAsia="zh-CN"/>
                              </w:rPr>
                              <w:t>8t/d</w:t>
                            </w:r>
                          </w:p>
                        </w:txbxContent>
                      </v:textbox>
                    </v:shape>
                  </w:pict>
                </mc:Fallback>
              </mc:AlternateContent>
            </w:r>
            <w:r>
              <w:rPr>
                <w:rFonts w:hint="default"/>
                <w:color w:val="auto"/>
              </w:rPr>
              <mc:AlternateContent>
                <mc:Choice Requires="wps">
                  <w:drawing>
                    <wp:anchor distT="0" distB="0" distL="114300" distR="114300" simplePos="0" relativeHeight="251675648" behindDoc="1" locked="0" layoutInCell="1" allowOverlap="1">
                      <wp:simplePos x="0" y="0"/>
                      <wp:positionH relativeFrom="column">
                        <wp:posOffset>1859915</wp:posOffset>
                      </wp:positionH>
                      <wp:positionV relativeFrom="paragraph">
                        <wp:posOffset>144145</wp:posOffset>
                      </wp:positionV>
                      <wp:extent cx="0" cy="334645"/>
                      <wp:effectExtent l="38100" t="0" r="38100" b="8255"/>
                      <wp:wrapNone/>
                      <wp:docPr id="365" name="直接箭头连接符 365"/>
                      <wp:cNvGraphicFramePr/>
                      <a:graphic xmlns:a="http://schemas.openxmlformats.org/drawingml/2006/main">
                        <a:graphicData uri="http://schemas.microsoft.com/office/word/2010/wordprocessingShape">
                          <wps:wsp>
                            <wps:cNvCnPr/>
                            <wps:spPr>
                              <a:xfrm flipV="1">
                                <a:off x="0" y="0"/>
                                <a:ext cx="0" cy="334645"/>
                              </a:xfrm>
                              <a:prstGeom prst="straightConnector1">
                                <a:avLst/>
                              </a:prstGeom>
                              <a:noFill/>
                              <a:ln w="12700" cap="flat" cmpd="sng" algn="ctr">
                                <a:solidFill>
                                  <a:srgbClr val="000000"/>
                                </a:solidFill>
                                <a:prstDash val="sysDash"/>
                                <a:tailEnd type="triangle" w="med" len="med"/>
                              </a:ln>
                              <a:effectLst/>
                            </wps:spPr>
                            <wps:bodyPr/>
                          </wps:wsp>
                        </a:graphicData>
                      </a:graphic>
                    </wp:anchor>
                  </w:drawing>
                </mc:Choice>
                <mc:Fallback>
                  <w:pict>
                    <v:shape id="_x0000_s1026" o:spid="_x0000_s1026" o:spt="32" type="#_x0000_t32" style="position:absolute;left:0pt;flip:y;margin-left:146.45pt;margin-top:11.35pt;height:26.35pt;width:0pt;z-index:-251640832;mso-width-relative:page;mso-height-relative:page;" filled="f" stroked="t" coordsize="21600,21600" o:gfxdata="UEsDBAoAAAAAAIdO4kAAAAAAAAAAAAAAAAAEAAAAZHJzL1BLAwQUAAAACACHTuJAlbsm29kAAAAJ&#10;AQAADwAAAGRycy9kb3ducmV2LnhtbE2PTU/DMAyG70j8h8hI3FjaChjrmk4IhEBc2Aaa2C1rvLbQ&#10;OF2SbuPfY8QBbv549PpxMTvaTuzRh9aRgnSUgECqnGmpVvD2+nBxAyJETUZ3jlDBFwaYlacnhc6N&#10;O9AC98tYCw6hkGsFTYx9LmWoGrQ6jFyPxLut81ZHbn0tjdcHDredzJLkWlrdEl9odI93DVafy8Eq&#10;WK2eHp/r+4/hJU1x59/X8916uFXq/CxNpiAiHuMfDD/6rA4lO23cQCaITkE2ySaMcpGNQTDwO9go&#10;GF9dgiwL+f+D8htQSwMEFAAAAAgAh07iQFbrEKMTAgAA+gMAAA4AAABkcnMvZTJvRG9jLnhtbK1T&#10;vY4TMRDukXgHyz3ZXHIEFGVzRcLRIDiJn97x2ruW/KcZXzZ5CV4AiQqoOKrreRo4HoOxN0TH0VzB&#10;FtaM1/PNfJ8/L852zrKtAjTB1/xkNOZMeRka49uav31z/ugpZ5iEb4QNXtV8r5CfLR8+WPRxriah&#10;C7ZRwAjE47yPNe9SivOqQtkpJ3AUovL0UwdwIlEKbdWA6And2WoyHs+qPkATIUiFSLvr4Sc/IMJ9&#10;AIPWRqp1kJdO+TSggrIiESXsTES+LNNqrWR6pTWqxGzNiWkqKzWheJPXarkQ8xZE7Iw8jCDuM8Id&#10;Tk4YT02PUGuRBLsE8w+UMxICBp1GMrhqIFIUIRYn4zvavO5EVIULSY3xKDr+P1j5cnsBzDQ1n84e&#10;c+aFoyu/+XD98/3nm29XPz5d//r+Mcdfv7B8gOTqI86pauUv4JBhvIDMfafBMW1NfEe+KmoQP7Yr&#10;Yu+PYqtdYnLYlLQ7nZ7OTgtwNSBkpAiYnqvgWA5qjgmEabu0Ct7TjQYY0MX2BSaagQr/FORiH86N&#10;teVirWc9zTJ5Mqb7loLcqsklFLpIjNG3nAnb0jOQCcrAGKxpcnkGQmg3KwtsK7J5ypcFoHZ/Hcu9&#10;1wK74RzuMSeDsZIw9plvWNpHkjWBEb61iuehnGo4s4p652iAtT63VcW2B2pZ7UHfHG1Csy+yVzkj&#10;S5RpDvbNnrudU3z7yS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7JtvZAAAACQEAAA8AAAAA&#10;AAAAAQAgAAAAIgAAAGRycy9kb3ducmV2LnhtbFBLAQIUABQAAAAIAIdO4kBW6xCjEwIAAPoDAAAO&#10;AAAAAAAAAAEAIAAAACgBAABkcnMvZTJvRG9jLnhtbFBLBQYAAAAABgAGAFkBAACtBQAAAAA=&#10;">
                      <v:fill on="f" focussize="0,0"/>
                      <v:stroke weight="1pt" color="#000000" joinstyle="round" dashstyle="3 1"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670528" behindDoc="1" locked="0" layoutInCell="1" allowOverlap="1">
                      <wp:simplePos x="0" y="0"/>
                      <wp:positionH relativeFrom="column">
                        <wp:posOffset>2917825</wp:posOffset>
                      </wp:positionH>
                      <wp:positionV relativeFrom="paragraph">
                        <wp:posOffset>9525</wp:posOffset>
                      </wp:positionV>
                      <wp:extent cx="0" cy="439420"/>
                      <wp:effectExtent l="6350" t="0" r="12700" b="17780"/>
                      <wp:wrapNone/>
                      <wp:docPr id="362" name="直接连接符 362"/>
                      <wp:cNvGraphicFramePr/>
                      <a:graphic xmlns:a="http://schemas.openxmlformats.org/drawingml/2006/main">
                        <a:graphicData uri="http://schemas.microsoft.com/office/word/2010/wordprocessingShape">
                          <wps:wsp>
                            <wps:cNvCnPr/>
                            <wps:spPr>
                              <a:xfrm>
                                <a:off x="0" y="0"/>
                                <a:ext cx="0" cy="439420"/>
                              </a:xfrm>
                              <a:prstGeom prst="line">
                                <a:avLst/>
                              </a:prstGeom>
                              <a:noFill/>
                              <a:ln w="12700" cap="flat" cmpd="sng" algn="ctr">
                                <a:solidFill>
                                  <a:srgbClr val="000000"/>
                                </a:solidFill>
                                <a:prstDash val="dash"/>
                              </a:ln>
                              <a:effectLst/>
                            </wps:spPr>
                            <wps:bodyPr/>
                          </wps:wsp>
                        </a:graphicData>
                      </a:graphic>
                    </wp:anchor>
                  </w:drawing>
                </mc:Choice>
                <mc:Fallback>
                  <w:pict>
                    <v:line id="_x0000_s1026" o:spid="_x0000_s1026" o:spt="20" style="position:absolute;left:0pt;margin-left:229.75pt;margin-top:0.75pt;height:34.6pt;width:0pt;z-index:-251645952;mso-width-relative:page;mso-height-relative:page;" filled="f" stroked="t" coordsize="21600,21600" o:gfxdata="UEsDBAoAAAAAAIdO4kAAAAAAAAAAAAAAAAAEAAAAZHJzL1BLAwQUAAAACACHTuJAFcaVgNMAAAAI&#10;AQAADwAAAGRycy9kb3ducmV2LnhtbE2PwU7DMBBE70j8g7VIXBC1G9GWhjgVqtTeKQiuTrzEEfHa&#10;it02/H0XcYDTavRGszPVZvKDOOGY+kAa5jMFAqkNtqdOw9vr7v4RRMqGrBkCoYZvTLCpr68qU9pw&#10;phc8HXInOIRSaTS4nGMpZWodepNmISIx+wyjN5nl2Ek7mjOH+0EWSi2lNz3xB2cibh22X4ej1zDR&#10;Lq6XAYuPotm6iM97n+/etb69masnEBmn/GeGn/pcHWru1IQj2SQGDQ+L9YKtDPgw/9WNhpVagawr&#10;+X9AfQFQSwMEFAAAAAgAh07iQC4aQAjgAQAAqwMAAA4AAABkcnMvZTJvRG9jLnhtbK1TzW7UMBC+&#10;I/EOlu9s0rQqEG22h67KBcFKwAN4HSex5D/NuJvdl+AFkLjBiSN33ob2MRg7YfvDpQdycGbGk2/m&#10;+2ayvNhbw3YKUHvX8JNFyZly0rfa9Q3/9PHqxSvOMArXCuOdavhBIb9YPX+2HEOtKj940ypgBOKw&#10;HkPDhxhDXRQoB2UFLnxQji47D1ZEcqEvWhAjoVtTVGV5Xowe2gBeKkSKrqdLPiPCUwB912mp1l5e&#10;W+XihArKiEiUcNAB+Sp323VKxvddhyoy03BiGvNJRcjeprNYLUXdgwiDlnML4iktPOJkhXZU9Ai1&#10;FlGwa9D/QFktwaPv4kJ6W0xEsiLE4qR8pM2HQQSVuZDUGI6i4/+Dle92G2C6bfjpecWZE5ZGfvPl&#10;5+/P325/faXz5sd3lq5IqDFgTfmXbgOzh2EDifW+A5vexIfts7iHo7hqH5mcgpKiZ6evz6qse3H3&#10;XQCMb5S3LBkNN9ol2qIWu7cYqRal/k1JYeevtDF5dMaxkba4elnSRKWgfexoD8i0gTih6zkTpqdF&#10;lxEyJHqj2/R5AkLot5cG2E6k9chPIkrlHqSl2muBw5TXkjVnGZdQVN6zudMk0iRLsra+PWS1iuTR&#10;DDP4vG9pSe77ZN//x1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XGlYDTAAAACAEAAA8AAAAA&#10;AAAAAQAgAAAAIgAAAGRycy9kb3ducmV2LnhtbFBLAQIUABQAAAAIAIdO4kAuGkAI4AEAAKsDAAAO&#10;AAAAAAAAAAEAIAAAACIBAABkcnMvZTJvRG9jLnhtbFBLBQYAAAAABgAGAFkBAAB0BQAAAAA=&#10;">
                      <v:fill on="f" focussize="0,0"/>
                      <v:stroke weight="1pt" color="#000000" joinstyle="round" dashstyle="dash"/>
                      <v:imagedata o:title=""/>
                      <o:lock v:ext="edit" aspectratio="f"/>
                    </v:line>
                  </w:pict>
                </mc:Fallback>
              </mc:AlternateContent>
            </w:r>
            <w:r>
              <w:rPr>
                <w:rFonts w:hint="default"/>
                <w:color w:val="auto"/>
              </w:rPr>
              <mc:AlternateContent>
                <mc:Choice Requires="wps">
                  <w:drawing>
                    <wp:anchor distT="0" distB="0" distL="114300" distR="114300" simplePos="0" relativeHeight="251684864" behindDoc="0" locked="0" layoutInCell="1" allowOverlap="1">
                      <wp:simplePos x="0" y="0"/>
                      <wp:positionH relativeFrom="column">
                        <wp:posOffset>1060450</wp:posOffset>
                      </wp:positionH>
                      <wp:positionV relativeFrom="paragraph">
                        <wp:posOffset>3810</wp:posOffset>
                      </wp:positionV>
                      <wp:extent cx="457200" cy="5080"/>
                      <wp:effectExtent l="0" t="33655" r="0" b="37465"/>
                      <wp:wrapNone/>
                      <wp:docPr id="307" name="直接箭头连接符 307"/>
                      <wp:cNvGraphicFramePr/>
                      <a:graphic xmlns:a="http://schemas.openxmlformats.org/drawingml/2006/main">
                        <a:graphicData uri="http://schemas.microsoft.com/office/word/2010/wordprocessingShape">
                          <wps:wsp>
                            <wps:cNvCnPr/>
                            <wps:spPr>
                              <a:xfrm>
                                <a:off x="0" y="0"/>
                                <a:ext cx="457200" cy="50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83.5pt;margin-top:0.3pt;height:0.4pt;width:36pt;z-index:251684864;mso-width-relative:page;mso-height-relative:page;" filled="f" stroked="t" coordsize="21600,21600" o:gfxdata="UEsDBAoAAAAAAIdO4kAAAAAAAAAAAAAAAAAEAAAAZHJzL1BLAwQUAAAACACHTuJA0s6PENMAAAAG&#10;AQAADwAAAGRycy9kb3ducmV2LnhtbE2PwU7DMAyG70i8Q2SkXdCWrkxllKaTOqmIK9vEOWtMW9Y4&#10;VZJu4+0xJ3b8/Fu/Pxebqx3EGX3oHSlYLhIQSI0zPbUKDvt6vgYRoiajB0eo4AcDbMr7u0Lnxl3o&#10;A8+72AouoZBrBV2MYy5laDq0OizciMTZl/NWR0bfSuP1hcvtINMkyaTVPfGFTo+47bA57Sar4NHZ&#10;6jvUp7dqWjW1r7LPd2xTpWYPy+QVRMRr/F+GP31Wh5Kdjm4iE8TAnD3zL1FBBoLj9OmF8cjzFciy&#10;kLf65S9QSwMEFAAAAAgAh07iQHCgUpENAgAA8QMAAA4AAABkcnMvZTJvRG9jLnhtbK1Ty24TMRTd&#10;I/EPlvdkJoGSKsqki4SyQRAJ+ADH45mx5JfudTPJT/ADSKyAFXTVPV9D28/g2hNCKZsuyGJyPfY9&#10;557jM/OznTVsqwC1dxUfj0rOlJO+1q6t+Pt3509OOcMoXC2Md6rie4X8bPH40bwPMzXxnTe1AkYg&#10;Dmd9qHgXY5gVBcpOWYEjH5SjzcaDFZGW0BY1iJ7QrSkmZfm86D3UAbxUiPR2NWzyAyI8BNA3jZZq&#10;5eWFVS4OqKCMiCQJOx2QL/K0TaNkfNM0qCIzFSelMT+JhOpNehaLuZi1IEKn5WEE8ZAR7mmyQjsi&#10;PUKtRBTsAvQ/UFZL8OibOJLeFoOQ7AipGJf3vHnbiaCyFrIaw9F0/H+w8vV2DUzXFX9aTjlzwtKV&#10;33y8uv7w5eby+8/PV7c/PqX621eWDpBdfcAZdS3dGg4rDGtI2ncN2PRPqtguW7w/Wqx2kUl6+exk&#10;SiHgTNLWSXmaL6D40xoA40vlLUtFxTGC0G0Xl945ukoP42yy2L7CSOTU+Lsh8Tp/ro3JN2oc6ync&#10;k2nmEhTThuJBtDaQVHQtZ8K0lH8ZIUOiN7pO7QkIod0sDbCtSKnJv6Sc6P46lrhXArvhXN4a8hSF&#10;Ni9czeI+kJsRtHCtUTyNZFXNmVHEnKoB1LhEqnJaD8KSyYOtqdr4ep/dLtKKkpBnOaQ2Re3umuq7&#10;X+r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LOjxDTAAAABgEAAA8AAAAAAAAAAQAgAAAAIgAA&#10;AGRycy9kb3ducmV2LnhtbFBLAQIUABQAAAAIAIdO4kBwoFKRDQIAAPEDAAAOAAAAAAAAAAEAIAAA&#10;ACIBAABkcnMvZTJvRG9jLnhtbFBLBQYAAAAABgAGAFkBAAChBQAAAAA=&#10;">
                      <v:fill on="f" focussize="0,0"/>
                      <v:stroke weight="1pt" color="#000000" joinstyle="round" endarrow="block"/>
                      <v:imagedata o:title=""/>
                      <o:lock v:ext="edit" aspectratio="f"/>
                    </v:shape>
                  </w:pict>
                </mc:Fallback>
              </mc:AlternateContent>
            </w:r>
          </w:p>
          <w:p w14:paraId="6A8E2DB5">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757568" behindDoc="0" locked="0" layoutInCell="1" allowOverlap="1">
                      <wp:simplePos x="0" y="0"/>
                      <wp:positionH relativeFrom="column">
                        <wp:posOffset>1793875</wp:posOffset>
                      </wp:positionH>
                      <wp:positionV relativeFrom="paragraph">
                        <wp:posOffset>267970</wp:posOffset>
                      </wp:positionV>
                      <wp:extent cx="676910" cy="25717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676910" cy="257175"/>
                              </a:xfrm>
                              <a:prstGeom prst="rect">
                                <a:avLst/>
                              </a:prstGeom>
                              <a:noFill/>
                              <a:ln w="6350">
                                <a:noFill/>
                              </a:ln>
                              <a:effectLst/>
                            </wps:spPr>
                            <wps:txbx>
                              <w:txbxContent>
                                <w:p w14:paraId="1025EAC8">
                                  <w:pPr>
                                    <w:jc w:val="center"/>
                                    <w:rPr>
                                      <w:rFonts w:hint="eastAsia" w:eastAsia="宋体"/>
                                      <w:sz w:val="18"/>
                                      <w:szCs w:val="18"/>
                                      <w:lang w:eastAsia="zh-CN"/>
                                    </w:rPr>
                                  </w:pPr>
                                  <w:r>
                                    <w:rPr>
                                      <w:rFonts w:hint="eastAsia"/>
                                      <w:sz w:val="18"/>
                                      <w:szCs w:val="18"/>
                                    </w:rPr>
                                    <w:t>消耗0</w:t>
                                  </w:r>
                                  <w:r>
                                    <w:rPr>
                                      <w:rFonts w:hint="eastAsia" w:eastAsia="宋体"/>
                                      <w:sz w:val="18"/>
                                      <w:szCs w:val="18"/>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25pt;margin-top:21.1pt;height:20.25pt;width:53.3pt;z-index:251757568;mso-width-relative:page;mso-height-relative:page;" filled="f" stroked="f" coordsize="21600,21600" o:gfxdata="UEsDBAoAAAAAAIdO4kAAAAAAAAAAAAAAAAAEAAAAZHJzL1BLAwQUAAAACACHTuJAKWu/IdoAAAAJ&#10;AQAADwAAAGRycy9kb3ducmV2LnhtbE2Py07DMBBF90j8gzVI7KgTQ6kJcSoUqUJCsGjpprtJ7CYR&#10;9jjE7gO+HrOC5ege3XumXJ6dZUczhcGTgnyWATPUej1Qp2D7vrqRwEJE0mg9GQVfJsCyurwosdD+&#10;RGtz3MSOpRIKBSroYxwLzkPbG4dh5kdDKdv7yWFM59RxPeEplTvLRZbdc4cDpYUeR1P3pv3YHJyC&#10;l3r1hutGOPlt6+fX/dP4ud3Nlbq+yrNHYNGc4x8Mv/pJHark1PgD6cCsAiHFPKEK7oQAloBb+ZAD&#10;axRIsQBelfz/B9UPUEsDBBQAAAAIAIdO4kDVxyixQgIAAHUEAAAOAAAAZHJzL2Uyb0RvYy54bWyt&#10;VMFuEzEQvSPxD5bvdJPQJG3UTRWoipAqWqkgzo7X213J9hjb6W75APgDTly48139Dp69SVoVDj1w&#10;ccYzs2/mvRnn5LQ3mt0qH1qyJR8fjDhTVlLV2puSf/p4/uqIsxCFrYQmq0p+pwI/Xb58cdK5hZpQ&#10;Q7pSngHEhkXnSt7E6BZFEWSjjAgH5JRFsCZvRMTV3xSVFx3QjS4mo9Gs6MhXzpNUIcB7NgT5FtE/&#10;B5DqupXqjOTGKBsHVK+0iKAUmtYFvszd1rWS8bKug4pMlxxMYz5RBPY6ncXyRCxuvHBNK7ctiOe0&#10;8ISTEa1F0T3UmYiCbXz7F5RppadAdTyQZIqBSFYELMajJ9pcN8KpzAVSB7cXPfw/WPnh9sqztir5&#10;0YwzKwwmfv/j+/3P3/e/vjH4IFDnwgJ51w6ZsX9DPdZm5w9wJt597U36BSOGOOS928ur+sgknLP5&#10;7HiMiERoMp2P59OEUjx87HyI7xQZloySe0wviypuL0IcUncpqZal81brPEFtWYcCr6ej/ME+AnBt&#10;U67Ku7CFSYSGxpMV+3W/Zbmm6g4kPQ17Epw8b9HKhQjxSngsBrrH04mXOGpNKElbi7OG/Nd/+VM+&#10;5oUoZx0WreThy0Z4xZl+bzHJ4/HhIWBjvhxO5xNc/OPI+nHEbsxbwi6P8UidzGbKj3pn1p7MZ7yw&#10;VaqKkLAStUsed+bbOKw/XqhUq1VOwi46ES/stZMJehB3tYlUt1n3JNOgDeaVLtjGPLnty0nr/vie&#10;sx7+LZ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lrvyHaAAAACQEAAA8AAAAAAAAAAQAgAAAA&#10;IgAAAGRycy9kb3ducmV2LnhtbFBLAQIUABQAAAAIAIdO4kDVxyixQgIAAHUEAAAOAAAAAAAAAAEA&#10;IAAAACkBAABkcnMvZTJvRG9jLnhtbFBLBQYAAAAABgAGAFkBAADdBQAAAAA=&#10;">
                      <v:fill on="f" focussize="0,0"/>
                      <v:stroke on="f" weight="0.5pt"/>
                      <v:imagedata o:title=""/>
                      <o:lock v:ext="edit" aspectratio="f"/>
                      <v:textbox>
                        <w:txbxContent>
                          <w:p w14:paraId="1025EAC8">
                            <w:pPr>
                              <w:jc w:val="center"/>
                              <w:rPr>
                                <w:rFonts w:hint="eastAsia" w:eastAsia="宋体"/>
                                <w:sz w:val="18"/>
                                <w:szCs w:val="18"/>
                                <w:lang w:eastAsia="zh-CN"/>
                              </w:rPr>
                            </w:pPr>
                            <w:r>
                              <w:rPr>
                                <w:rFonts w:hint="eastAsia"/>
                                <w:sz w:val="18"/>
                                <w:szCs w:val="18"/>
                              </w:rPr>
                              <w:t>消耗0</w:t>
                            </w:r>
                            <w:r>
                              <w:rPr>
                                <w:rFonts w:hint="eastAsia" w:eastAsia="宋体"/>
                                <w:sz w:val="18"/>
                                <w:szCs w:val="18"/>
                                <w:lang w:val="en-US" w:eastAsia="zh-CN"/>
                              </w:rPr>
                              <w:t>2</w:t>
                            </w:r>
                          </w:p>
                        </w:txbxContent>
                      </v:textbox>
                    </v:shape>
                  </w:pict>
                </mc:Fallback>
              </mc:AlternateContent>
            </w:r>
            <w:r>
              <w:rPr>
                <w:rFonts w:hint="default"/>
                <w:color w:val="auto"/>
              </w:rPr>
              <mc:AlternateContent>
                <mc:Choice Requires="wps">
                  <w:drawing>
                    <wp:anchor distT="0" distB="0" distL="114300" distR="114300" simplePos="0" relativeHeight="251660288" behindDoc="1" locked="0" layoutInCell="1" allowOverlap="1">
                      <wp:simplePos x="0" y="0"/>
                      <wp:positionH relativeFrom="column">
                        <wp:posOffset>1860550</wp:posOffset>
                      </wp:positionH>
                      <wp:positionV relativeFrom="paragraph">
                        <wp:posOffset>161290</wp:posOffset>
                      </wp:positionV>
                      <wp:extent cx="1038225" cy="0"/>
                      <wp:effectExtent l="0" t="6350" r="0" b="6350"/>
                      <wp:wrapNone/>
                      <wp:docPr id="364" name="直接连接符 364"/>
                      <wp:cNvGraphicFramePr/>
                      <a:graphic xmlns:a="http://schemas.openxmlformats.org/drawingml/2006/main">
                        <a:graphicData uri="http://schemas.microsoft.com/office/word/2010/wordprocessingShape">
                          <wps:wsp>
                            <wps:cNvCnPr/>
                            <wps:spPr>
                              <a:xfrm>
                                <a:off x="0" y="0"/>
                                <a:ext cx="1038225" cy="0"/>
                              </a:xfrm>
                              <a:prstGeom prst="line">
                                <a:avLst/>
                              </a:prstGeom>
                              <a:noFill/>
                              <a:ln w="12700" cap="flat" cmpd="sng" algn="ctr">
                                <a:solidFill>
                                  <a:srgbClr val="000000"/>
                                </a:solidFill>
                                <a:prstDash val="dash"/>
                              </a:ln>
                              <a:effectLst/>
                            </wps:spPr>
                            <wps:bodyPr/>
                          </wps:wsp>
                        </a:graphicData>
                      </a:graphic>
                    </wp:anchor>
                  </w:drawing>
                </mc:Choice>
                <mc:Fallback>
                  <w:pict>
                    <v:line id="_x0000_s1026" o:spid="_x0000_s1026" o:spt="20" style="position:absolute;left:0pt;margin-left:146.5pt;margin-top:12.7pt;height:0pt;width:81.75pt;z-index:-251656192;mso-width-relative:page;mso-height-relative:page;" filled="f" stroked="t" coordsize="21600,21600" o:gfxdata="UEsDBAoAAAAAAIdO4kAAAAAAAAAAAAAAAAAEAAAAZHJzL1BLAwQUAAAACACHTuJAoTOBQtUAAAAJ&#10;AQAADwAAAGRycy9kb3ducmV2LnhtbE2PQU/DMAyF70j8h8hIXBBLV9aKlaYTmrTdGQiuaWOaisaJ&#10;mmwr/35GHOBm+z09f6/ezG4UJ5zi4EnBcpGBQOq8GahX8Pa6u38EEZMmo0dPqOAbI2ya66taV8af&#10;6QVPh9QLDqFYaQU2pVBJGTuLTseFD0isffrJ6cTr1Esz6TOHu1HmWVZKpwfiD1YH3Frsvg5Hp2Cm&#10;XViXHvOPvN3agM97l+7elbq9WWZPIBLO6c8MP/iMDg0ztf5IJopRQb5+4C6Jh2IFgg2roixAtL8H&#10;2dTyf4PmAlBLAwQUAAAACACHTuJAl/rFveABAACsAwAADgAAAGRycy9lMm9Eb2MueG1srVPNbtQw&#10;EL4j8Q6W72yyKZQq2mwPXZULgpWAB5h1nMSS/+RxN7svwQsgcYMTR+68DeUxGDvpUsqlB3JwZjyT&#10;b+b7ZrK6PBjN9jKgcrbhy0XJmbTCtcr2Df/w/vrZBWcYwbagnZUNP0rkl+unT1ajr2XlBqdbGRiB&#10;WKxH3/AhRl8XBYpBGsCF89JSsHPBQCQ39EUbYCR0o4uqLM+L0YXWByckIt1upiCfEcNjAF3XKSE3&#10;TtwYaeOEGqSGSJRwUB75OnfbdVLEt12HMjLdcGIa80lFyN6ls1ivoO4D+EGJuQV4TAsPOBlQloqe&#10;oDYQgd0E9Q+UUSI4dF1cCGeKiUhWhFgsywfavBvAy8yFpEZ/Eh3/H6x4s98GptqGn50/58yCoZHf&#10;fvr+8+OXXz8+03n77StLIRJq9FhT/pXdhtlDvw2J9aELJr2JDztkcY8nceUhMkGXy/LsoqpecCbu&#10;YsWfD33A+Eo6w5LRcK1s4g017F9jpGKUepeSrq27Vlrn2WnLRgKvXpY0UgG0kB0tApnGEym0PWeg&#10;e9p0EUOGRKdVmz5PQBj63ZUObA9pP/KTmFK5v9JS7Q3gMOW1ZM1Z2iYUmRdt7jSpNOmSrJ1rj1mu&#10;Ink0xAw+L1zakvs+2fd/s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TOBQtUAAAAJAQAADwAA&#10;AAAAAAABACAAAAAiAAAAZHJzL2Rvd25yZXYueG1sUEsBAhQAFAAAAAgAh07iQJf6xb3gAQAArAMA&#10;AA4AAAAAAAAAAQAgAAAAJAEAAGRycy9lMm9Eb2MueG1sUEsFBgAAAAAGAAYAWQEAAHYFAAAAAA==&#10;">
                      <v:fill on="f" focussize="0,0"/>
                      <v:stroke weight="1pt" color="#000000" joinstyle="round" dashstyle="dash"/>
                      <v:imagedata o:title=""/>
                      <o:lock v:ext="edit" aspectratio="f"/>
                    </v:line>
                  </w:pict>
                </mc:Fallback>
              </mc:AlternateContent>
            </w:r>
          </w:p>
          <w:p w14:paraId="5BCE64BE">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758592" behindDoc="0" locked="0" layoutInCell="1" allowOverlap="1">
                      <wp:simplePos x="0" y="0"/>
                      <wp:positionH relativeFrom="column">
                        <wp:posOffset>3880485</wp:posOffset>
                      </wp:positionH>
                      <wp:positionV relativeFrom="paragraph">
                        <wp:posOffset>127635</wp:posOffset>
                      </wp:positionV>
                      <wp:extent cx="704850" cy="532765"/>
                      <wp:effectExtent l="4445" t="4445" r="14605" b="15240"/>
                      <wp:wrapNone/>
                      <wp:docPr id="87" name="文本框 87"/>
                      <wp:cNvGraphicFramePr/>
                      <a:graphic xmlns:a="http://schemas.openxmlformats.org/drawingml/2006/main">
                        <a:graphicData uri="http://schemas.microsoft.com/office/word/2010/wordprocessingShape">
                          <wps:wsp>
                            <wps:cNvSpPr txBox="1"/>
                            <wps:spPr>
                              <a:xfrm>
                                <a:off x="0" y="0"/>
                                <a:ext cx="704850" cy="532765"/>
                              </a:xfrm>
                              <a:prstGeom prst="rect">
                                <a:avLst/>
                              </a:prstGeom>
                              <a:solidFill>
                                <a:srgbClr val="FFFFFF"/>
                              </a:solidFill>
                              <a:ln w="6350">
                                <a:solidFill>
                                  <a:prstClr val="black"/>
                                </a:solidFill>
                              </a:ln>
                              <a:effectLst/>
                            </wps:spPr>
                            <wps:txbx>
                              <w:txbxContent>
                                <w:p w14:paraId="13B57755">
                                  <w:pPr>
                                    <w:jc w:val="center"/>
                                    <w:rPr>
                                      <w:rFonts w:hint="default" w:eastAsia="宋体"/>
                                      <w:sz w:val="18"/>
                                      <w:szCs w:val="18"/>
                                      <w:lang w:val="en-US" w:eastAsia="zh-CN"/>
                                    </w:rPr>
                                  </w:pPr>
                                  <w:r>
                                    <w:rPr>
                                      <w:rFonts w:hint="eastAsia" w:eastAsia="宋体"/>
                                      <w:sz w:val="18"/>
                                      <w:szCs w:val="18"/>
                                      <w:lang w:val="en-US" w:eastAsia="zh-CN"/>
                                    </w:rPr>
                                    <w:t>园区污水处理厂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55pt;margin-top:10.05pt;height:41.95pt;width:55.5pt;z-index:251758592;mso-width-relative:page;mso-height-relative:page;" fillcolor="#FFFFFF" filled="t" stroked="t" coordsize="21600,21600" o:gfxdata="UEsDBAoAAAAAAIdO4kAAAAAAAAAAAAAAAAAEAAAAZHJzL1BLAwQUAAAACACHTuJAK6DswNUAAAAK&#10;AQAADwAAAGRycy9kb3ducmV2LnhtbE2PTU/DMAyG70j7D5EncWP5GCqoNJ0EEhLixuhlt6zx2op8&#10;VEm2jn+POcHJtvzo9eNmd/WOXTDlKQYNciOAYeijncKgoft8vXsElosJ1rgYUMM3Zti1q5vG1DYu&#10;4QMv+zIwCgm5NhrGUuaa89yP6E3exBkD7U4xeVNoTAO3ySwU7h1XQlTcmynQhdHM+DJi/7U/ew1v&#10;1XM5YGff7VZt49LxPp1c1vp2LcUTsILX8gfDrz6pQ0tOx3gONjOnoZJSEqpBCaoEPChFzZFIcS+A&#10;tw3//0L7A1BLAwQUAAAACACHTuJAydT7bV0CAADGBAAADgAAAGRycy9lMm9Eb2MueG1srVTNbhMx&#10;EL4j8Q6W73STNH9E2VShVRBSRSsVxNnxerMWtsfYTnbDA8AbcOLCnefKczD2btLScuiBPXjnb7+Z&#10;+Tyz84tGK7ITzkswOe2f9SgRhkMhzSanHz+sXk0p8YGZgikwIqd74enF4uWLeW1nYgAVqEI4giDG&#10;z2qb0yoEO8syzyuhmT8DKww6S3CaBVTdJiscqxFdq2zQ642zGlxhHXDhPVqvWiftEN1zAKEsJRdX&#10;wLdamNCiOqFYwJZ8Ja2ni1RtWQoebsrSi0BUTrHTkE5MgvI6ntlizmYbx2wleVcCe04Jj3rSTBpM&#10;eoK6YoGRrZNPoLTkDjyU4YyDztpGEiPYRb/3iJu7ilmRekGqvT2R7v8fLH+/u3VEFjmdTigxTOON&#10;H358P/z8ffj1jaANCaqtn2HcncXI0LyBBsfmaPdojH03pdPxjR0R9CO9+xO9ogmEo3HSG05H6OHo&#10;Gp0PJuNRRMnuP7bOh7cCNIlCTh3eXiKV7a59aEOPITGXByWLlVQqKW6zvlSO7Bje9Co9HfpfYcqQ&#10;Oqfjc6zjCUTEPkGsFeOfnyJgtcrEL0Uarq6uyFDLRJRCs2462tZQ7JE1B+3gectXErNcMx9umcNJ&#10;QzpwF8MNHqUCLA06iZIK3Nd/2WM8DgB6KalxcnPqv2yZE5SodwZH43V/OETYkJThaDJAxT30rB96&#10;zFZfAlLWx623PIkxPqijWDrQn3BllzErupjhmDun4ShehnafcOW5WC5TEA63ZeHa3FkeoSNhBpbb&#10;AKVMFxlparnBAYgKjncahW4V4/481FPU/e9n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roOzA&#10;1QAAAAoBAAAPAAAAAAAAAAEAIAAAACIAAABkcnMvZG93bnJldi54bWxQSwECFAAUAAAACACHTuJA&#10;ydT7bV0CAADGBAAADgAAAAAAAAABACAAAAAkAQAAZHJzL2Uyb0RvYy54bWxQSwUGAAAAAAYABgBZ&#10;AQAA8wUAAAAA&#10;">
                      <v:fill on="t" focussize="0,0"/>
                      <v:stroke weight="0.5pt" color="#000000" joinstyle="round"/>
                      <v:imagedata o:title=""/>
                      <o:lock v:ext="edit" aspectratio="f"/>
                      <v:textbox>
                        <w:txbxContent>
                          <w:p w14:paraId="13B57755">
                            <w:pPr>
                              <w:jc w:val="center"/>
                              <w:rPr>
                                <w:rFonts w:hint="default" w:eastAsia="宋体"/>
                                <w:sz w:val="18"/>
                                <w:szCs w:val="18"/>
                                <w:lang w:val="en-US" w:eastAsia="zh-CN"/>
                              </w:rPr>
                            </w:pPr>
                            <w:r>
                              <w:rPr>
                                <w:rFonts w:hint="eastAsia" w:eastAsia="宋体"/>
                                <w:sz w:val="18"/>
                                <w:szCs w:val="18"/>
                                <w:lang w:val="en-US" w:eastAsia="zh-CN"/>
                              </w:rPr>
                              <w:t>园区污水处理厂</w:t>
                            </w:r>
                          </w:p>
                        </w:txbxContent>
                      </v:textbox>
                    </v:shape>
                  </w:pict>
                </mc:Fallback>
              </mc:AlternateContent>
            </w:r>
            <w:r>
              <w:rPr>
                <w:rFonts w:hint="default"/>
                <w:color w:val="auto"/>
              </w:rPr>
              <mc:AlternateContent>
                <mc:Choice Requires="wps">
                  <w:drawing>
                    <wp:anchor distT="0" distB="0" distL="114300" distR="114300" simplePos="0" relativeHeight="251763712" behindDoc="0" locked="0" layoutInCell="1" allowOverlap="1">
                      <wp:simplePos x="0" y="0"/>
                      <wp:positionH relativeFrom="column">
                        <wp:posOffset>1014730</wp:posOffset>
                      </wp:positionH>
                      <wp:positionV relativeFrom="paragraph">
                        <wp:posOffset>180975</wp:posOffset>
                      </wp:positionV>
                      <wp:extent cx="563245" cy="25717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5DE8B3DB">
                                  <w:pPr>
                                    <w:jc w:val="center"/>
                                    <w:rPr>
                                      <w:rFonts w:hint="eastAsia" w:eastAsia="宋体"/>
                                      <w:sz w:val="18"/>
                                      <w:szCs w:val="18"/>
                                      <w:lang w:val="en-US" w:eastAsia="zh-CN"/>
                                    </w:rPr>
                                  </w:pPr>
                                  <w:r>
                                    <w:rPr>
                                      <w:rFonts w:hint="eastAsia" w:eastAsia="宋体"/>
                                      <w:sz w:val="18"/>
                                      <w:szCs w:val="18"/>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pt;margin-top:14.25pt;height:20.25pt;width:44.35pt;z-index:251763712;mso-width-relative:page;mso-height-relative:page;" filled="f" stroked="f" coordsize="21600,21600" o:gfxdata="UEsDBAoAAAAAAIdO4kAAAAAAAAAAAAAAAAAEAAAAZHJzL1BLAwQUAAAACACHTuJAjQ5jbdkAAAAJ&#10;AQAADwAAAGRycy9kb3ducmV2LnhtbE2PzU7DMBCE70i8g7VI3KjdiFRpiFOhSBUSgkNLL9w28TaJ&#10;iO0Quz/w9GxP9DajGc1+W6zOdhBHmkLvnYb5TIEg13jTu1bD7mP9kIEIEZ3BwTvS8EMBVuXtTYG5&#10;8Se3oeM2toJHXMhRQxfjmEsZmo4shpkfyXG295PFyHZqpZnwxON2kIlSC2mxd3yhw5Gqjpqv7cFq&#10;eK3W77ipE5v9DtXL2/55/N59plrf383VE4hI5/hfhgs+o0PJTLU/OBPEwD5dMnrUkGQpCC4kjxdR&#10;a1gsFciykNcflH9QSwMEFAAAAAgAh07iQCrswJpCAgAAdQQAAA4AAABkcnMvZTJvRG9jLnhtbK1U&#10;zY7aMBC+V+o7WL6XAEvYLiKs6CKqSqi7Eq16No5DItke1zYk9AHaN9hTL733uXiOjp3Aom0Pe+jF&#10;zF++8ffNmOltoyTZC+sq0Bkd9PqUCM0hr/Q2o58/Ld+8pcR5pnMmQYuMHoSjt7PXr6a1mYghlCBz&#10;YQmCaDepTUZL780kSRwvhWKuB0ZoTBZgFfPo2m2SW1YjupLJsN8fJzXY3FjgwjmMLtok7RDtSwCh&#10;KCouFsB3SmjfolohmUdKrqyMo7N426IQ3N8XhROeyIwiUx9PbIL2JpzJbMomW8tMWfHuCuwlV3jG&#10;SbFKY9Mz1IJ5Rna2+gtKVdyCg8L3OKikJRIVQRaD/jNt1iUzInJBqZ05i+7+Hyz/uH+wpMozejOi&#10;RDOFEz8+/jj+/H389Z1gDAWqjZtg3dpgpW/eQYNrc4o7DAbeTWFV+EVGBPMo7+Esr2g84RhMx1fD&#10;UUoJx9QwvR5cpwElefrYWOffC1AkGBm1OL0oKtuvnG9LTyWhl4ZlJWWcoNSkzuj4Ku3HD84ZBJc6&#10;1Iq4Cx1MINRePFi+2TQdyw3kByRpod0TZ/iywqusmPMPzOJiIC98Ov4ej0ICtoTOoqQE++1f8VCP&#10;88IsJTUuWkbd1x2zghL5QeMkbwajUdjM6IzS6yE69jKzuczonboD3OUBPlLDoxnqvTyZhQX1BV/Y&#10;PHTFFNMce2fUn8w7364/vlAu5vNYhLtomF/pteEBuhV3vvNQVFH3IFOrDc4rOLiNcXLdywnrfunH&#10;qqd/i9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Q5jbdkAAAAJAQAADwAAAAAAAAABACAAAAAi&#10;AAAAZHJzL2Rvd25yZXYueG1sUEsBAhQAFAAAAAgAh07iQCrswJpCAgAAdQQAAA4AAAAAAAAAAQAg&#10;AAAAKAEAAGRycy9lMm9Eb2MueG1sUEsFBgAAAAAGAAYAWQEAANwFAAAAAA==&#10;">
                      <v:fill on="f" focussize="0,0"/>
                      <v:stroke on="f" weight="0.5pt"/>
                      <v:imagedata o:title=""/>
                      <o:lock v:ext="edit" aspectratio="f"/>
                      <v:textbox>
                        <w:txbxContent>
                          <w:p w14:paraId="5DE8B3DB">
                            <w:pPr>
                              <w:jc w:val="center"/>
                              <w:rPr>
                                <w:rFonts w:hint="eastAsia" w:eastAsia="宋体"/>
                                <w:sz w:val="18"/>
                                <w:szCs w:val="18"/>
                                <w:lang w:val="en-US" w:eastAsia="zh-CN"/>
                              </w:rPr>
                            </w:pPr>
                            <w:r>
                              <w:rPr>
                                <w:rFonts w:hint="eastAsia" w:eastAsia="宋体"/>
                                <w:sz w:val="18"/>
                                <w:szCs w:val="18"/>
                                <w:lang w:val="en-US" w:eastAsia="zh-CN"/>
                              </w:rPr>
                              <w:t>1</w:t>
                            </w:r>
                          </w:p>
                        </w:txbxContent>
                      </v:textbox>
                    </v:shape>
                  </w:pict>
                </mc:Fallback>
              </mc:AlternateContent>
            </w:r>
            <w:r>
              <w:rPr>
                <w:rFonts w:hint="default"/>
                <w:color w:val="auto"/>
              </w:rPr>
              <mc:AlternateContent>
                <mc:Choice Requires="wps">
                  <w:drawing>
                    <wp:anchor distT="0" distB="0" distL="114300" distR="114300" simplePos="0" relativeHeight="251688960" behindDoc="0" locked="0" layoutInCell="1" allowOverlap="1">
                      <wp:simplePos x="0" y="0"/>
                      <wp:positionH relativeFrom="column">
                        <wp:posOffset>3310255</wp:posOffset>
                      </wp:positionH>
                      <wp:positionV relativeFrom="paragraph">
                        <wp:posOffset>200025</wp:posOffset>
                      </wp:positionV>
                      <wp:extent cx="563245" cy="257175"/>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563245" cy="257175"/>
                              </a:xfrm>
                              <a:prstGeom prst="rect">
                                <a:avLst/>
                              </a:prstGeom>
                              <a:noFill/>
                              <a:ln w="6350">
                                <a:noFill/>
                              </a:ln>
                              <a:effectLst/>
                            </wps:spPr>
                            <wps:txbx>
                              <w:txbxContent>
                                <w:p w14:paraId="08AD6715">
                                  <w:pPr>
                                    <w:jc w:val="center"/>
                                    <w:rPr>
                                      <w:rFonts w:hint="eastAsia" w:eastAsia="宋体"/>
                                      <w:sz w:val="18"/>
                                      <w:szCs w:val="18"/>
                                      <w:lang w:eastAsia="zh-CN"/>
                                    </w:rPr>
                                  </w:pPr>
                                  <w:r>
                                    <w:rPr>
                                      <w:rFonts w:hint="eastAsia"/>
                                      <w:sz w:val="18"/>
                                      <w:szCs w:val="18"/>
                                    </w:rPr>
                                    <w:t>0.</w:t>
                                  </w:r>
                                  <w:r>
                                    <w:rPr>
                                      <w:rFonts w:hint="eastAsia" w:eastAsia="宋体"/>
                                      <w:sz w:val="18"/>
                                      <w:szCs w:val="18"/>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65pt;margin-top:15.75pt;height:20.25pt;width:44.35pt;z-index:251688960;mso-width-relative:page;mso-height-relative:page;" filled="f" stroked="f" coordsize="21600,21600" o:gfxdata="UEsDBAoAAAAAAIdO4kAAAAAAAAAAAAAAAAAEAAAAZHJzL1BLAwQUAAAACACHTuJA7M2r5NoAAAAJ&#10;AQAADwAAAGRycy9kb3ducmV2LnhtbE2Py07DMBBF90j8gzVI7KjtVClViFOhSBUSoouWbtg58TSJ&#10;sMchdh/w9TUrWI7m6N5zy9XFWXbCKQyeFMiZAIbUejNQp2D/vn5YAgtRk9HWEyr4xgCr6vam1IXx&#10;Z9riaRc7lkIoFFpBH+NYcB7aHp0OMz8ipd/BT07HdE4dN5M+p3BneSbEgjs9UGro9Yh1j+3n7ugU&#10;vNbrjd42mVv+2Prl7fA8fu0/cqXu76R4AhbxEv9g+NVP6lAlp8YfyQRmFeSZnCdUwVzmwBKwkCKN&#10;axQ8ZgJ4VfL/C6orUEsDBBQAAAAIAIdO4kDov08YQwIAAHcEAAAOAAAAZHJzL2Uyb0RvYy54bWyt&#10;VM2O0zAQviPxDpbvNE3/Fqqmq7JVEVLFrlQQZ9dxmki2x9huk/IA8AacuHDnufocjJ20Wy0c9sDF&#10;Hc9MvvH3zUxnt42S5CCsq0BnNO31KRGaQ17pXUY/fVy9ek2J80znTIIWGT0KR2/nL1/MajMVAyhB&#10;5sISBNFuWpuMlt6baZI4XgrFXA+M0BgswCrm8Wp3SW5ZjehKJoN+f5LUYHNjgQvn0Ltsg7RDtM8B&#10;hKKouFgC3yuhfYtqhWQeKbmyMo7O42uLQnB/XxROeCIzikx9PLEI2ttwJvMZm+4sM2XFuyew5zzh&#10;CSfFKo1FL1BL5hnZ2+ovKFVxCw4K3+OgkpZIVARZpP0n2mxKZkTkglI7cxHd/T9Y/uHwYEmVZ3SY&#10;TijRTGHLTz++n37+Pv36RoITJaqNm2LmxmCub95Cg4Nz9jt0BuZNYVX4RU4E4yjw8SKwaDzh6BxP&#10;hoPRmBKOocH4Jr0ZB5Tk8WNjnX8nQJFgZNRi/6Ks7LB2vk09p4RaGlaVlLGHUpM6o5PhuB8/uEQQ&#10;XOqQK+I0dDCBUPvwYPlm23Qst5AfkaSFdlKc4asKn7Jmzj8wi6OBvHB5/D0ehQQsCZ1FSQn267/8&#10;IR87hlFKahy1jLove2YFJfK9xl6+SUejMJvxMhrfDPBiryPb64jeqzvAaU5xTQ2PZsj38mwWFtRn&#10;3LFFqIohpjnWzqg/m3e+XQDcUS4Wi5iE02iYX+uN4QG6FXex91BUUfcgU6sN9itccB5j57rdCQN/&#10;fY9Zj/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zavk2gAAAAkBAAAPAAAAAAAAAAEAIAAA&#10;ACIAAABkcnMvZG93bnJldi54bWxQSwECFAAUAAAACACHTuJA6L9PGEMCAAB3BAAADgAAAAAAAAAB&#10;ACAAAAApAQAAZHJzL2Uyb0RvYy54bWxQSwUGAAAAAAYABgBZAQAA3gUAAAAA&#10;">
                      <v:fill on="f" focussize="0,0"/>
                      <v:stroke on="f" weight="0.5pt"/>
                      <v:imagedata o:title=""/>
                      <o:lock v:ext="edit" aspectratio="f"/>
                      <v:textbox>
                        <w:txbxContent>
                          <w:p w14:paraId="08AD6715">
                            <w:pPr>
                              <w:jc w:val="center"/>
                              <w:rPr>
                                <w:rFonts w:hint="eastAsia" w:eastAsia="宋体"/>
                                <w:sz w:val="18"/>
                                <w:szCs w:val="18"/>
                                <w:lang w:eastAsia="zh-CN"/>
                              </w:rPr>
                            </w:pPr>
                            <w:r>
                              <w:rPr>
                                <w:rFonts w:hint="eastAsia"/>
                                <w:sz w:val="18"/>
                                <w:szCs w:val="18"/>
                              </w:rPr>
                              <w:t>0.</w:t>
                            </w:r>
                            <w:r>
                              <w:rPr>
                                <w:rFonts w:hint="eastAsia" w:eastAsia="宋体"/>
                                <w:sz w:val="18"/>
                                <w:szCs w:val="18"/>
                                <w:lang w:val="en-US" w:eastAsia="zh-CN"/>
                              </w:rPr>
                              <w:t>8</w:t>
                            </w:r>
                          </w:p>
                        </w:txbxContent>
                      </v:textbox>
                    </v:shape>
                  </w:pict>
                </mc:Fallback>
              </mc:AlternateContent>
            </w:r>
            <w:r>
              <w:rPr>
                <w:rFonts w:hint="default"/>
                <w:color w:val="auto"/>
              </w:rPr>
              <mc:AlternateContent>
                <mc:Choice Requires="wps">
                  <w:drawing>
                    <wp:anchor distT="0" distB="0" distL="114300" distR="114300" simplePos="0" relativeHeight="251760640" behindDoc="0" locked="0" layoutInCell="1" allowOverlap="1">
                      <wp:simplePos x="0" y="0"/>
                      <wp:positionH relativeFrom="column">
                        <wp:posOffset>2708910</wp:posOffset>
                      </wp:positionH>
                      <wp:positionV relativeFrom="paragraph">
                        <wp:posOffset>276225</wp:posOffset>
                      </wp:positionV>
                      <wp:extent cx="704850" cy="276225"/>
                      <wp:effectExtent l="4445" t="4445" r="14605" b="5080"/>
                      <wp:wrapNone/>
                      <wp:docPr id="90" name="文本框 90"/>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rgbClr val="FFFFFF"/>
                              </a:solidFill>
                              <a:ln w="6350">
                                <a:solidFill>
                                  <a:prstClr val="black"/>
                                </a:solidFill>
                              </a:ln>
                              <a:effectLst/>
                            </wps:spPr>
                            <wps:txbx>
                              <w:txbxContent>
                                <w:p w14:paraId="1BD7A009">
                                  <w:pPr>
                                    <w:jc w:val="center"/>
                                    <w:rPr>
                                      <w:rFonts w:hint="default" w:eastAsia="宋体"/>
                                      <w:sz w:val="18"/>
                                      <w:szCs w:val="18"/>
                                      <w:lang w:val="en-US" w:eastAsia="zh-CN"/>
                                    </w:rPr>
                                  </w:pPr>
                                  <w:r>
                                    <w:rPr>
                                      <w:rFonts w:hint="eastAsia" w:eastAsia="宋体"/>
                                      <w:sz w:val="18"/>
                                      <w:szCs w:val="18"/>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3pt;margin-top:21.75pt;height:21.75pt;width:55.5pt;z-index:251760640;mso-width-relative:page;mso-height-relative:page;" fillcolor="#FFFFFF" filled="t" stroked="t" coordsize="21600,21600" o:gfxdata="UEsDBAoAAAAAAIdO4kAAAAAAAAAAAAAAAAAEAAAAZHJzL1BLAwQUAAAACACHTuJA5KOdY9YAAAAJ&#10;AQAADwAAAGRycy9kb3ducmV2LnhtbE2PTU/DMAyG70j8h8iTuLFkLeum0nQSSEiIG1sv3LLGa6s1&#10;TpVk6/j3mBPc/PHo9eNqd3OjuGKIgycNq6UCgdR6O1CnoTm8PW5BxGTImtETavjGCLv6/q4ypfUz&#10;feJ1nzrBIRRLo6FPaSqljG2PzsSln5B4d/LBmcRt6KQNZuZwN8pMqUI6MxBf6M2Erz225/3FaXgv&#10;XtIXNvbD5lnu50a24TRGrR8WK/UMIuEt/cHwq8/qULPT0V/IRjFqeMqKglEu8jUIBtb5hgdHDduN&#10;AllX8v8H9Q9QSwMEFAAAAAgAh07iQFMASVpcAgAAxgQAAA4AAABkcnMvZTJvRG9jLnhtbK1US27b&#10;MBDdF+gdCO4b2a7zMyIHbgIXBYImgFt0TVOUJZS/krSl9ADtDbrqpvueK+foIyU7btxFFtWCmp/e&#10;zDzO6OKyVZJshPO10TkdHg0oEZqbotarnH78MH91RokPTBdMGi1yei88vZy+fHHR2IkYmcrIQjgC&#10;EO0njc1pFYKdZJnnlVDMHxkrNJylcYoFqG6VFY41QFcyGw0GJ1ljXGGd4cJ7WK87J+0R3XMATVnW&#10;XFwbvlZChw7VCckCWvJVbT2dpmrLUvBwW5ZeBCJzik5DOpEE8jKe2fSCTVaO2armfQnsOSU86Umx&#10;WiPpDuqaBUbWrj6AUjV3xpsyHHGjsq6RxAi6GA6ecLOomBWpF1Dt7Y50//9g+fvNnSN1kdNzUKKZ&#10;wo0//Pj+8PP3w69vBDYQ1Fg/QdzCIjK0b0yLsdnaPYyx77Z0Kr7REYEfWPc7ekUbCIfxdDA+O4aH&#10;wzU6PRmNjiNK9vixdT68FUaRKOTU4fYSqWxz40MXug2JubyRdTGvpUyKWy2vpCMbhpuep6dH/ytM&#10;atLk9OQ16jiAiNg7iKVk/PMhAqqVOn4p0nD1dUWGOiaiFNpl29O2NMU9WHOmGzxv+bxGlhvmwx1z&#10;mDTQgV0MtzhKaVCa6SVKKuO+/sse4zEA8FLSYHJz6r+smROUyHcao3E+HI8BG5IyPj4dQXH7nuW+&#10;R6/VlQFlQ2y95UmM8UFuxdIZ9QkrO4tZ4WKaI3dOw1a8Ct0+YeW5mM1SEIbbsnCjF5ZH6EiYNrN1&#10;MGWdLjLS1HGDAYgKxjuNQr+KcX/29RT1+PuZ/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o51j&#10;1gAAAAkBAAAPAAAAAAAAAAEAIAAAACIAAABkcnMvZG93bnJldi54bWxQSwECFAAUAAAACACHTuJA&#10;UwBJWlwCAADGBAAADgAAAAAAAAABACAAAAAlAQAAZHJzL2Uyb0RvYy54bWxQSwUGAAAAAAYABgBZ&#10;AQAA8wUAAAAA&#10;">
                      <v:fill on="t" focussize="0,0"/>
                      <v:stroke weight="0.5pt" color="#000000" joinstyle="round"/>
                      <v:imagedata o:title=""/>
                      <o:lock v:ext="edit" aspectratio="f"/>
                      <v:textbox>
                        <w:txbxContent>
                          <w:p w14:paraId="1BD7A009">
                            <w:pPr>
                              <w:jc w:val="center"/>
                              <w:rPr>
                                <w:rFonts w:hint="default" w:eastAsia="宋体"/>
                                <w:sz w:val="18"/>
                                <w:szCs w:val="18"/>
                                <w:lang w:val="en-US" w:eastAsia="zh-CN"/>
                              </w:rPr>
                            </w:pPr>
                            <w:r>
                              <w:rPr>
                                <w:rFonts w:hint="eastAsia" w:eastAsia="宋体"/>
                                <w:sz w:val="18"/>
                                <w:szCs w:val="18"/>
                                <w:lang w:val="en-US" w:eastAsia="zh-CN"/>
                              </w:rPr>
                              <w:t>化粪池</w:t>
                            </w:r>
                          </w:p>
                        </w:txbxContent>
                      </v:textbox>
                    </v:shape>
                  </w:pict>
                </mc:Fallback>
              </mc:AlternateContent>
            </w:r>
            <w:r>
              <w:rPr>
                <w:rFonts w:hint="default"/>
                <w:color w:val="auto"/>
              </w:rPr>
              <mc:AlternateContent>
                <mc:Choice Requires="wps">
                  <w:drawing>
                    <wp:anchor distT="0" distB="0" distL="114300" distR="114300" simplePos="0" relativeHeight="251659264" behindDoc="1" locked="0" layoutInCell="1" allowOverlap="1">
                      <wp:simplePos x="0" y="0"/>
                      <wp:positionH relativeFrom="column">
                        <wp:posOffset>1721485</wp:posOffset>
                      </wp:positionH>
                      <wp:positionV relativeFrom="paragraph">
                        <wp:posOffset>74295</wp:posOffset>
                      </wp:positionV>
                      <wp:extent cx="161925" cy="213995"/>
                      <wp:effectExtent l="6350" t="24765" r="8255" b="3810"/>
                      <wp:wrapNone/>
                      <wp:docPr id="7" name="曲线连接符 7"/>
                      <wp:cNvGraphicFramePr/>
                      <a:graphic xmlns:a="http://schemas.openxmlformats.org/drawingml/2006/main">
                        <a:graphicData uri="http://schemas.microsoft.com/office/word/2010/wordprocessingShape">
                          <wps:wsp>
                            <wps:cNvCnPr/>
                            <wps:spPr>
                              <a:xfrm rot="-5400000">
                                <a:off x="0" y="0"/>
                                <a:ext cx="161925" cy="213995"/>
                              </a:xfrm>
                              <a:prstGeom prst="curvedConnector2">
                                <a:avLst/>
                              </a:prstGeom>
                              <a:ln w="12700" cap="flat" cmpd="sng">
                                <a:solidFill>
                                  <a:srgbClr val="000000"/>
                                </a:solidFill>
                                <a:prstDash val="sysDash"/>
                                <a:headEnd type="none" w="med" len="med"/>
                                <a:tailEnd type="triangle" w="med" len="med"/>
                              </a:ln>
                            </wps:spPr>
                            <wps:bodyPr/>
                          </wps:wsp>
                        </a:graphicData>
                      </a:graphic>
                    </wp:anchor>
                  </w:drawing>
                </mc:Choice>
                <mc:Fallback>
                  <w:pict>
                    <v:shape id="_x0000_s1026" o:spid="_x0000_s1026" o:spt="37" type="#_x0000_t37" style="position:absolute;left:0pt;margin-left:135.55pt;margin-top:5.85pt;height:16.85pt;width:12.75pt;rotation:-5898240f;z-index:-251657216;mso-width-relative:page;mso-height-relative:page;" filled="f" stroked="t" coordsize="21600,21600" o:gfxdata="UEsDBAoAAAAAAIdO4kAAAAAAAAAAAAAAAAAEAAAAZHJzL1BLAwQUAAAACACHTuJAhIvqGdgAAAAJ&#10;AQAADwAAAGRycy9kb3ducmV2LnhtbE2PwU7DMBBE70j8g7VI3KjjKKQQ4lQCUXGCiNIeuLnxkgTi&#10;dRS7Tfl7lhMcV/M087ZcndwgjjiF3pMGtUhAIDXe9tRq2L6tr25AhGjImsETavjGAKvq/Kw0hfUz&#10;veJxE1vBJRQKo6GLcSykDE2HzoSFH5E4+/CTM5HPqZV2MjOXu0GmSZJLZ3rihc6M+NBh87U5OA3z&#10;+xPd7x4zV++ew7quZ/w02xetLy9Ucgci4in+wfCrz+pQsdPeH8gGMWhIl0oxyoFagmAgvc1zEHsN&#10;2XUGsirl/w+qH1BLAwQUAAAACACHTuJAQiWJUBACAAD+AwAADgAAAGRycy9lMm9Eb2MueG1srVPN&#10;bhMxEL4j8Q6W780mC2nIKpseEsoFQSXgARzbu2vJf/I42eQleAEkbnDixLGXvk3LYzD2hhSKkHrA&#10;B2vGnvlmvs/jxcXeaLKTAZSzNZ2MxpRIy51Qtq3ph/eXZy8ogcisYNpZWdODBHqxfPpk0ftKlq5z&#10;WshAEMRC1fuadjH6qiiAd9IwGDkvLV42LhgW0Q1tIQLrEd3oohyPz4veBeGD4xIAT9fDJT0ihscA&#10;uqZRXK4d3xpp44AapGYRKUGnPNBl7rZpJI9vmwZkJLqmyDTmHYugvUl7sVywqg3Md4ofW2CPaeEB&#10;J8OUxaInqDWLjGyD+gvKKB4cuCaOuDPFQCQrgiwm4wfavOuYl5kLSg3+JDr8P1j+ZncViBI1nVFi&#10;mcEHv/30/e765sfN59uPX+6+fSWzJFLvocLYlb0KRw/8VUiM900wJDhU9mz6fJxWFgKpkX3W+XDS&#10;We4j4Xg4OZ/MyyklHK/KybP5fJpKFANWwvQB4ivpDElGTfk27KRYOWvxPV0ocwG2ew1xSPsVnlK1&#10;JT1WKGfYB+EMB7TBwUDTeCQJts3J4LQSl0rrlAKh3ax0IDuWhmSgMAD/EZaqrBl0QxwcIDnDAHWS&#10;iZdWkHjwKKDFf0NTF0YKSrTEb5YshGRVZErfR8agmG31P6JREG1Rl6T9oHayNk4c8iPkcxyLrNxx&#10;hNPc/e7n7Ptv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IvqGdgAAAAJAQAADwAAAAAAAAAB&#10;ACAAAAAiAAAAZHJzL2Rvd25yZXYueG1sUEsBAhQAFAAAAAgAh07iQEIliVAQAgAA/gMAAA4AAAAA&#10;AAAAAQAgAAAAJwEAAGRycy9lMm9Eb2MueG1sUEsFBgAAAAAGAAYAWQEAAKkFAAAAAA==&#10;">
                      <v:fill on="f" focussize="0,0"/>
                      <v:stroke weight="1pt" color="#000000" joinstyle="round" dashstyle="3 1"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685888" behindDoc="0" locked="0" layoutInCell="1" allowOverlap="1">
                      <wp:simplePos x="0" y="0"/>
                      <wp:positionH relativeFrom="column">
                        <wp:posOffset>1518285</wp:posOffset>
                      </wp:positionH>
                      <wp:positionV relativeFrom="paragraph">
                        <wp:posOffset>266700</wp:posOffset>
                      </wp:positionV>
                      <wp:extent cx="704850" cy="276225"/>
                      <wp:effectExtent l="4445" t="4445" r="14605" b="5080"/>
                      <wp:wrapNone/>
                      <wp:docPr id="310" name="文本框 310"/>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rgbClr val="FFFFFF"/>
                              </a:solidFill>
                              <a:ln w="6350">
                                <a:solidFill>
                                  <a:prstClr val="black"/>
                                </a:solidFill>
                              </a:ln>
                              <a:effectLst/>
                            </wps:spPr>
                            <wps:txbx>
                              <w:txbxContent>
                                <w:p w14:paraId="4C821D4F">
                                  <w:pPr>
                                    <w:jc w:val="center"/>
                                    <w:rPr>
                                      <w:rFonts w:hint="default" w:eastAsia="宋体"/>
                                      <w:sz w:val="18"/>
                                      <w:szCs w:val="18"/>
                                      <w:lang w:val="en-US" w:eastAsia="zh-CN"/>
                                    </w:rPr>
                                  </w:pPr>
                                  <w:r>
                                    <w:rPr>
                                      <w:rFonts w:hint="eastAsia" w:eastAsia="宋体"/>
                                      <w:sz w:val="18"/>
                                      <w:szCs w:val="18"/>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5pt;margin-top:21pt;height:21.75pt;width:55.5pt;z-index:251685888;mso-width-relative:page;mso-height-relative:page;" fillcolor="#FFFFFF" filled="t" stroked="t" coordsize="21600,21600" o:gfxdata="UEsDBAoAAAAAAIdO4kAAAAAAAAAAAAAAAAAEAAAAZHJzL1BLAwQUAAAACACHTuJA0GdmsdYAAAAJ&#10;AQAADwAAAGRycy9kb3ducmV2LnhtbE2PTU/DMAyG70j8h8iTuLGkLZ1GqTsJJCTEjdELt6zx2mr5&#10;qJpsHf8ec4Kj7Uevn7feXZ0VF5rjGDxCtlYgyHfBjL5HaD9f77cgYtLeaBs8IXxThF1ze1PryoTF&#10;f9Bln3rBIT5WGmFIaaqkjN1ATsd1mMjz7RhmpxOPcy/NrBcOd1bmSm2k06PnD4Oe6GWg7rQ/O4S3&#10;zXP6ota8myIvwtLKbj7aiHi3ytQTiETX9AfDrz6rQ8NOh3D2JgqLkBePGaMIDzl3YqAoFS8OCNuy&#10;BNnU8n+D5gdQSwMEFAAAAAgAh07iQOcUXgZdAgAAyAQAAA4AAABkcnMvZTJvRG9jLnhtbK1UzY7T&#10;MBC+I/EOlu9s2m73h6rpqrQqQlqxKxXE2XWcxsL2GNttsjwAvAEnLtx5rj4HYyftli2HPZCDM3/5&#10;ZubzTMY3jVZkK5yXYHLaP+tRIgyHQpp1Tj9+WLy6psQHZgqmwIicPghPbyYvX4xrOxIDqEAVwhEE&#10;MX5U25xWIdhRlnleCc38GVhh0FmC0yyg6tZZ4ViN6Fplg17vMqvBFdYBF96jdd46aYfongMIZSm5&#10;mAPfaGFCi+qEYgFb8pW0nk5StWUpeLgrSy8CUTnFTkM6MQnKq3hmkzEbrR2zleRdCew5JTzpSTNp&#10;MOkBas4CIxsnT6C05A48lOGMg87aRhIj2EW/94SbZcWsSL0g1d4eSPf/D5a/3947IoucnveRE8M0&#10;Xvnux/fdz9+7X99INCJFtfUjjFxajA3NG2hwcPZ2j8bYeVM6Hd/YE0E/gj0cCBZNIByNV73h9QV6&#10;OLoGV5eDwUVEyR4/ts6HtwI0iUJOHd5fopVtb31oQ/chMZcHJYuFVCopbr2aKUe2DO96kZ4O/a8w&#10;ZUid08tzrOMEImIfIFaK8c+nCFitMvFLkcarqysy1DIRpdCsmo62FRQPyJqDdvS85QuJWW6ZD/fM&#10;4awhHbiN4Q6PUgGWBp1ESQXu67/sMR5HAL2U1Di7OfVfNswJStQ7g8Pxuj8cImxIyvDiaoCKO/as&#10;jj1mo2eAlPVx7y1PYowPai+WDvQnXNppzIouZjjmzmnYi7PQbhQuPRfTaQrC8bYs3Jql5RE6EmZg&#10;uglQynSRkaaWGxyAqOCAp1HoljFu0LGeoh5/QJ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Gdm&#10;sdYAAAAJAQAADwAAAAAAAAABACAAAAAiAAAAZHJzL2Rvd25yZXYueG1sUEsBAhQAFAAAAAgAh07i&#10;QOcUXgZdAgAAyAQAAA4AAAAAAAAAAQAgAAAAJQEAAGRycy9lMm9Eb2MueG1sUEsFBgAAAAAGAAYA&#10;WQEAAPQFAAAAAA==&#10;">
                      <v:fill on="t" focussize="0,0"/>
                      <v:stroke weight="0.5pt" color="#000000" joinstyle="round"/>
                      <v:imagedata o:title=""/>
                      <o:lock v:ext="edit" aspectratio="f"/>
                      <v:textbox>
                        <w:txbxContent>
                          <w:p w14:paraId="4C821D4F">
                            <w:pPr>
                              <w:jc w:val="center"/>
                              <w:rPr>
                                <w:rFonts w:hint="default" w:eastAsia="宋体"/>
                                <w:sz w:val="18"/>
                                <w:szCs w:val="18"/>
                                <w:lang w:val="en-US" w:eastAsia="zh-CN"/>
                              </w:rPr>
                            </w:pPr>
                            <w:r>
                              <w:rPr>
                                <w:rFonts w:hint="eastAsia" w:eastAsia="宋体"/>
                                <w:sz w:val="18"/>
                                <w:szCs w:val="18"/>
                                <w:lang w:val="en-US" w:eastAsia="zh-CN"/>
                              </w:rPr>
                              <w:t>生活用水</w:t>
                            </w:r>
                          </w:p>
                        </w:txbxContent>
                      </v:textbox>
                    </v:shape>
                  </w:pict>
                </mc:Fallback>
              </mc:AlternateContent>
            </w:r>
          </w:p>
          <w:p w14:paraId="57E874F4">
            <w:pPr>
              <w:pStyle w:val="2"/>
              <w:spacing w:line="360" w:lineRule="auto"/>
              <w:ind w:firstLine="480" w:firstLineChars="200"/>
              <w:rPr>
                <w:rFonts w:hint="default"/>
                <w:color w:val="auto"/>
              </w:rPr>
            </w:pPr>
            <w:r>
              <w:rPr>
                <w:rFonts w:hint="default"/>
                <w:color w:val="auto"/>
              </w:rPr>
              <mc:AlternateContent>
                <mc:Choice Requires="wps">
                  <w:drawing>
                    <wp:anchor distT="0" distB="0" distL="114300" distR="114300" simplePos="0" relativeHeight="251761664" behindDoc="0" locked="0" layoutInCell="1" allowOverlap="1">
                      <wp:simplePos x="0" y="0"/>
                      <wp:positionH relativeFrom="column">
                        <wp:posOffset>3429635</wp:posOffset>
                      </wp:positionH>
                      <wp:positionV relativeFrom="paragraph">
                        <wp:posOffset>124460</wp:posOffset>
                      </wp:positionV>
                      <wp:extent cx="457200" cy="5080"/>
                      <wp:effectExtent l="0" t="33655" r="0" b="37465"/>
                      <wp:wrapNone/>
                      <wp:docPr id="92" name="直接箭头连接符 92"/>
                      <wp:cNvGraphicFramePr/>
                      <a:graphic xmlns:a="http://schemas.openxmlformats.org/drawingml/2006/main">
                        <a:graphicData uri="http://schemas.microsoft.com/office/word/2010/wordprocessingShape">
                          <wps:wsp>
                            <wps:cNvCnPr/>
                            <wps:spPr>
                              <a:xfrm>
                                <a:off x="0" y="0"/>
                                <a:ext cx="457200" cy="50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270.05pt;margin-top:9.8pt;height:0.4pt;width:36pt;z-index:251761664;mso-width-relative:page;mso-height-relative:page;" filled="f" stroked="t" coordsize="21600,21600" o:gfxdata="UEsDBAoAAAAAAIdO4kAAAAAAAAAAAAAAAAAEAAAAZHJzL1BLAwQUAAAACACHTuJA13w+5dUAAAAJ&#10;AQAADwAAAGRycy9kb3ducmV2LnhtbE2PwU7DMAyG70i8Q2QkLoglrUoFpemkIhVxZSDOWWPassap&#10;knQbb485wdH+P/3+XG/PbhZHDHHypCHbKBBIvbcTDRre37rbexAxGbJm9oQavjHCtrm8qE1l/Yle&#10;8bhLg+ASipXRMKa0VFLGfkRn4sYvSJx9+uBM4jEM0gZz4nI3y1ypUjozEV8YzYJPI/aH3eo03HjX&#10;fsXu8NyuRd+Ftvx4wSHX+voqU48gEp7THwy/+qwODTvt/Uo2ilnDXaEyRjl4KEEwUGY5L/YaclWA&#10;bGr5/4PmB1BLAwQUAAAACACHTuJAW4dbqQwCAADvAwAADgAAAGRycy9lMm9Eb2MueG1srVPLjtMw&#10;FN0j8Q+W9zRpxTBD1XQWLcMGQSXgA1zHSSz5pXs9TfsT/AASK2AFs5o9XwPDZ3DthDIMm1mQRXId&#10;555zz/HJ4nxvDdspQO1dxaeTkjPlpK+1ayv+9s3FozPOMApXC+OdqvhBIT9fPnyw6MNczXznTa2A&#10;EYjDeR8q3sUY5kWBslNW4MQH5Wiz8WBFpCW0RQ2iJ3RrillZPil6D3UALxUivV0Pm3xEhPsA+qbR&#10;Uq29vLTKxQEVlBGRJGGnA/JlnrZplIyvmgZVZKbipDTmO5FQvU33YrkQ8xZE6LQcRxD3GeGOJiu0&#10;I9Ij1FpEwS5B/wNltQSPvokT6W0xCMmOkIppeceb150IKmshqzEcTcf/Bytf7jbAdF3xpzPOnLB0&#10;4jfvr3+8+3Rz9fX7x+uf3z6k+stnRvtkVh9wTj0rt4FxhWEDSfm+AZuepInts8GHo8FqH5mkl49P&#10;TikCnEnaOinPsv3Fn9YAGJ8rb1kqKo4RhG67uPLO0UF6mGaLxe4FRiKnxt8Nidf5C21MPk/jWE/R&#10;np1mLkEhbSgcRGsDCUXXciZMS+mXETIkeqPr1J6AENrtygDbiZSZfCXlRPfXZ4l7LbAbvstbQ5qi&#10;0OaZq1k8BDIzghauNYqnkayqOTOKmFM1gBqXSFXO6igsmTzYmqqtrw/Z7SKtKAd5ljGzKWi311Tf&#10;/k+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fD7l1QAAAAkBAAAPAAAAAAAAAAEAIAAAACIA&#10;AABkcnMvZG93bnJldi54bWxQSwECFAAUAAAACACHTuJAW4dbqQwCAADvAwAADgAAAAAAAAABACAA&#10;AAAkAQAAZHJzL2Uyb0RvYy54bWxQSwUGAAAAAAYABgBZAQAAogUAAAAA&#10;">
                      <v:fill on="f" focussize="0,0"/>
                      <v:stroke weight="1pt" color="#000000" joinstyle="round"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759616" behindDoc="0" locked="0" layoutInCell="1" allowOverlap="1">
                      <wp:simplePos x="0" y="0"/>
                      <wp:positionH relativeFrom="column">
                        <wp:posOffset>2219960</wp:posOffset>
                      </wp:positionH>
                      <wp:positionV relativeFrom="paragraph">
                        <wp:posOffset>133985</wp:posOffset>
                      </wp:positionV>
                      <wp:extent cx="457200" cy="5080"/>
                      <wp:effectExtent l="0" t="33655" r="0" b="37465"/>
                      <wp:wrapNone/>
                      <wp:docPr id="91" name="直接箭头连接符 91"/>
                      <wp:cNvGraphicFramePr/>
                      <a:graphic xmlns:a="http://schemas.openxmlformats.org/drawingml/2006/main">
                        <a:graphicData uri="http://schemas.microsoft.com/office/word/2010/wordprocessingShape">
                          <wps:wsp>
                            <wps:cNvCnPr/>
                            <wps:spPr>
                              <a:xfrm>
                                <a:off x="0" y="0"/>
                                <a:ext cx="457200" cy="50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174.8pt;margin-top:10.55pt;height:0.4pt;width:36pt;z-index:251759616;mso-width-relative:page;mso-height-relative:page;" filled="f" stroked="t" coordsize="21600,21600" o:gfxdata="UEsDBAoAAAAAAIdO4kAAAAAAAAAAAAAAAAAEAAAAZHJzL1BLAwQUAAAACACHTuJA2ViBstYAAAAJ&#10;AQAADwAAAGRycy9kb3ducmV2LnhtbE2PwU7DMAyG70i8Q2QkLmhLU6qKlaaTilTElYE4Z43XljVO&#10;1aTbeHu8Exz9+9Pvz+X24kZxwjkMnjSodQICqfV2oE7D50ezegIRoiFrRk+o4QcDbKvbm9IU1p/p&#10;HU+72AkuoVAYDX2MUyFlaHt0Jqz9hMS7g5+diTzOnbSzOXO5G2WaJLl0ZiC+0JsJX3psj7vFaXjw&#10;rv4OzfG1XrK2mev86w27VOv7O5U8g4h4iX8wXPVZHSp22vuFbBCjhsdskzOqIVUKBANZqjjYX4MN&#10;yKqU/z+ofgFQSwMEFAAAAAgAh07iQAP2u3UMAgAA7wMAAA4AAABkcnMvZTJvRG9jLnhtbK1Ty47T&#10;MBTdI/EPlvc0acUwQ9V0Fi3DBkEl4ANcx0ks+aV7PU37E/wAEitgBbOaPV8Dw2dw7YQyDJtZkEVy&#10;Heeec8/xyeJ8bw3bKUDtXcWnk5Iz5aSvtWsr/vbNxaMzzjAKVwvjnar4QSE/Xz58sOjDXM18502t&#10;gBGIw3kfKt7FGOZFgbJTVuDEB+Vos/FgRaQltEUNoid0a4pZWT4peg91AC8VIr1dD5t8RIT7APqm&#10;0VKtvby0ysUBFZQRkSRhpwPyZZ62aZSMr5oGVWSm4qQ05juRUL1N92K5EPMWROi0HEcQ9xnhjiYr&#10;tCPSI9RaRMEuQf8DZbUEj76JE+ltMQjJjpCKaXnHm9edCCprIasxHE3H/wcrX+42wHRd8adTzpyw&#10;dOI3769/vPt0c/X1+8frn98+pPrLZ0b7ZFYfcE49K7eBcYVhA0n5vgGbnqSJ7bPBh6PBah+ZpJeP&#10;T04pApxJ2jopz7L9xZ/WABifK29ZKiqOEYRuu7jyztFBephmi8XuBUYip8bfDYnX+QttTD5P41hP&#10;0Z6dZi5BIW0oHERrAwlF13ImTEvplxEyJHqj69SegBDa7coA24mUmXwl5UT312eJey2wG77LW0Oa&#10;otDmmatZPAQyM4IWrjWKp5GsqjkziphTNYAal0hVzuooLJk82Jqqra8P2e0irSgHeZYxsylot9dU&#10;3/5P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ViBstYAAAAJAQAADwAAAAAAAAABACAAAAAi&#10;AAAAZHJzL2Rvd25yZXYueG1sUEsBAhQAFAAAAAgAh07iQAP2u3UMAgAA7wMAAA4AAAAAAAAAAQAg&#10;AAAAJQEAAGRycy9lMm9Eb2MueG1sUEsFBgAAAAAGAAYAWQEAAKMFAAAAAA==&#10;">
                      <v:fill on="f" focussize="0,0"/>
                      <v:stroke weight="1pt" color="#000000" joinstyle="round" endarrow="block"/>
                      <v:imagedata o:title=""/>
                      <o:lock v:ext="edit" aspectratio="f"/>
                    </v:shape>
                  </w:pict>
                </mc:Fallback>
              </mc:AlternateContent>
            </w:r>
            <w:r>
              <w:rPr>
                <w:rFonts w:hint="default"/>
                <w:color w:val="auto"/>
              </w:rPr>
              <mc:AlternateContent>
                <mc:Choice Requires="wps">
                  <w:drawing>
                    <wp:anchor distT="0" distB="0" distL="114300" distR="114300" simplePos="0" relativeHeight="251678720" behindDoc="0" locked="0" layoutInCell="1" allowOverlap="1">
                      <wp:simplePos x="0" y="0"/>
                      <wp:positionH relativeFrom="column">
                        <wp:posOffset>1029335</wp:posOffset>
                      </wp:positionH>
                      <wp:positionV relativeFrom="paragraph">
                        <wp:posOffset>124460</wp:posOffset>
                      </wp:positionV>
                      <wp:extent cx="457200" cy="5080"/>
                      <wp:effectExtent l="0" t="33655" r="0" b="37465"/>
                      <wp:wrapNone/>
                      <wp:docPr id="309" name="直接箭头连接符 309"/>
                      <wp:cNvGraphicFramePr/>
                      <a:graphic xmlns:a="http://schemas.openxmlformats.org/drawingml/2006/main">
                        <a:graphicData uri="http://schemas.microsoft.com/office/word/2010/wordprocessingShape">
                          <wps:wsp>
                            <wps:cNvCnPr/>
                            <wps:spPr>
                              <a:xfrm>
                                <a:off x="0" y="0"/>
                                <a:ext cx="457200" cy="5080"/>
                              </a:xfrm>
                              <a:prstGeom prst="straightConnector1">
                                <a:avLst/>
                              </a:prstGeom>
                              <a:noFill/>
                              <a:ln w="12700"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81.05pt;margin-top:9.8pt;height:0.4pt;width:36pt;z-index:251678720;mso-width-relative:page;mso-height-relative:page;" filled="f" stroked="t" coordsize="21600,21600" o:gfxdata="UEsDBAoAAAAAAIdO4kAAAAAAAAAAAAAAAAAEAAAAZHJzL1BLAwQUAAAACACHTuJA2wZVytQAAAAJ&#10;AQAADwAAAGRycy9kb3ducmV2LnhtbE2PQU/DMAyF70j8h8hIXBBLWqoKStNJRSriykCcs8a0ZY1T&#10;Jek2/j3mBLf37Kfnz/X27GZxxBAnTxqyjQKB1Hs70aDh/a27vQcRkyFrZk+o4RsjbJvLi9pU1p/o&#10;FY+7NAguoVgZDWNKSyVl7Ed0Jm78gsS7Tx+cSWzDIG0wJy53s8yVKqUzE/GF0Sz4NGJ/2K1Ow413&#10;7VfsDs/tWvRdaMuPFxxyra+vMvUIIuE5/YXhF5/RoWGmvV/JRjGzL/OMoyweShAcyO8KHuxZqAJk&#10;U8v/HzQ/UEsDBBQAAAAIAIdO4kDUOXYPDQIAAPEDAAAOAAAAZHJzL2Uyb0RvYy54bWytU0uS0zAQ&#10;3VPFHVTaEzuBYQZXnFkkDBsKUgUcQJFlW1X6VbcmTi7BBahiBayA1ew5DQzHoCWHMAybWZCF07LU&#10;7/V7ep6f76xhWwWovav5dFJyppz0jXZdzd+8vnhwxhlG4RphvFM13yvk54v79+ZDqNTM9940ChiB&#10;OKyGUPM+xlAVBcpeWYETH5SjzdaDFZGW0BUNiIHQrSlmZfm4GDw0AbxUiPR2NW7yAyLcBdC3rZZq&#10;5eWlVS6OqKCMiCQJex2QL/K0batkfNm2qCIzNSelMT+JhOpNehaLuag6EKHX8jCCuMsItzRZoR2R&#10;HqFWIgp2CfofKKslePRtnEhvi1FIdoRUTMtb3rzqRVBZC1mN4Wg6/j9Y+WK7Bqabmj8sn3DmhKUr&#10;v3539ePtx+uvX75/uPr57X2qP39i6QDZNQSsqGvp1nBYYVhD0r5rwaZ/UsV22eL90WK1i0zSy0cn&#10;pxQCziRtnZRn+QKKP60BMD5T3rJU1BwjCN31cemdo6v0MM0mi+1zjEROjb8bEq/zF9qYfKPGsYHC&#10;PTvNXIJi2lI8iNYGkoqu40yYjvIvI2RI9EY3qT0BIXSbpQG2FSk1+ZeUE91fxxL3SmA/nstbY56i&#10;0Oapa1jcB3IzghauM4qnkaxqODOKmFM1ghqXSFVO60FYMnm0NVUb3+yz20VaURLyLIfUpqjdXFN9&#10;80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BlXK1AAAAAkBAAAPAAAAAAAAAAEAIAAAACIA&#10;AABkcnMvZG93bnJldi54bWxQSwECFAAUAAAACACHTuJA1Dl2Dw0CAADxAwAADgAAAAAAAAABACAA&#10;AAAjAQAAZHJzL2Uyb0RvYy54bWxQSwUGAAAAAAYABgBZAQAAogUAAAAA&#10;">
                      <v:fill on="f" focussize="0,0"/>
                      <v:stroke weight="1pt" color="#000000" joinstyle="round" endarrow="block"/>
                      <v:imagedata o:title=""/>
                      <o:lock v:ext="edit" aspectratio="f"/>
                    </v:shape>
                  </w:pict>
                </mc:Fallback>
              </mc:AlternateContent>
            </w:r>
          </w:p>
          <w:p w14:paraId="0FC2A7B3">
            <w:pPr>
              <w:pStyle w:val="2"/>
              <w:spacing w:line="360" w:lineRule="auto"/>
              <w:ind w:firstLine="480" w:firstLineChars="200"/>
              <w:rPr>
                <w:rFonts w:hint="default"/>
                <w:color w:val="auto"/>
              </w:rPr>
            </w:pPr>
          </w:p>
          <w:p w14:paraId="5FFF10F3">
            <w:pPr>
              <w:pStyle w:val="2"/>
              <w:spacing w:line="360" w:lineRule="auto"/>
              <w:jc w:val="center"/>
              <w:rPr>
                <w:rFonts w:hint="default"/>
                <w:color w:val="auto"/>
                <w:sz w:val="21"/>
                <w:szCs w:val="21"/>
              </w:rPr>
            </w:pPr>
            <w:r>
              <w:rPr>
                <w:rFonts w:hint="default" w:ascii="Times New Roman"/>
                <w:b/>
                <w:bCs/>
                <w:color w:val="auto"/>
                <w:sz w:val="21"/>
                <w:szCs w:val="21"/>
              </w:rPr>
              <w:t>图</w:t>
            </w:r>
            <w:r>
              <w:rPr>
                <w:rFonts w:ascii="Times New Roman"/>
                <w:b/>
                <w:bCs/>
                <w:color w:val="auto"/>
                <w:sz w:val="21"/>
                <w:szCs w:val="21"/>
              </w:rPr>
              <w:t>2</w:t>
            </w:r>
            <w:r>
              <w:rPr>
                <w:rFonts w:hint="eastAsia" w:ascii="Times New Roman"/>
                <w:b/>
                <w:bCs/>
                <w:color w:val="auto"/>
                <w:sz w:val="21"/>
                <w:szCs w:val="21"/>
                <w:lang w:val="en-US" w:eastAsia="zh-CN"/>
              </w:rPr>
              <w:t>-</w:t>
            </w:r>
            <w:r>
              <w:rPr>
                <w:rFonts w:ascii="Times New Roman"/>
                <w:b/>
                <w:bCs/>
                <w:color w:val="auto"/>
                <w:sz w:val="21"/>
                <w:szCs w:val="21"/>
              </w:rPr>
              <w:t>2</w:t>
            </w:r>
            <w:r>
              <w:rPr>
                <w:rFonts w:hint="default" w:ascii="Times New Roman"/>
                <w:b/>
                <w:bCs/>
                <w:color w:val="auto"/>
                <w:sz w:val="21"/>
                <w:szCs w:val="21"/>
              </w:rPr>
              <w:t xml:space="preserve">   项目废塑料造粒生产线</w:t>
            </w:r>
            <w:r>
              <w:rPr>
                <w:rFonts w:ascii="Times New Roman"/>
                <w:b/>
                <w:bCs/>
                <w:color w:val="auto"/>
                <w:sz w:val="21"/>
                <w:szCs w:val="21"/>
              </w:rPr>
              <w:t>水</w:t>
            </w:r>
            <w:r>
              <w:rPr>
                <w:rFonts w:hint="default" w:ascii="Times New Roman"/>
                <w:b/>
                <w:bCs/>
                <w:color w:val="auto"/>
                <w:sz w:val="21"/>
                <w:szCs w:val="21"/>
              </w:rPr>
              <w:t>平衡图</w:t>
            </w:r>
            <w:r>
              <w:rPr>
                <w:rFonts w:ascii="Times New Roman"/>
                <w:b/>
                <w:bCs/>
                <w:color w:val="auto"/>
                <w:sz w:val="21"/>
                <w:szCs w:val="21"/>
              </w:rPr>
              <w:t>（单位 t/d）</w:t>
            </w:r>
          </w:p>
          <w:p w14:paraId="38FBB5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rPr>
              <w:t>、项目总平面布置</w:t>
            </w:r>
          </w:p>
          <w:p w14:paraId="159658A1">
            <w:pPr>
              <w:pageBreakBefore w:val="0"/>
              <w:topLinePunct w:val="0"/>
              <w:bidi w:val="0"/>
              <w:adjustRightInd/>
              <w:snapToGrid/>
              <w:spacing w:beforeAutospacing="0" w:afterAutospacing="0" w:line="360" w:lineRule="auto"/>
              <w:ind w:left="0" w:leftChars="0" w:right="0" w:rightChars="0" w:firstLine="480" w:firstLineChars="200"/>
              <w:rPr>
                <w:rFonts w:hint="default" w:ascii="Times New Roman" w:hAnsi="Times New Roman" w:eastAsia="宋体" w:cs="Times New Roman"/>
                <w:bCs/>
                <w:color w:val="auto"/>
                <w:szCs w:val="21"/>
                <w:lang w:val="en-US"/>
              </w:rPr>
            </w:pPr>
            <w:r>
              <w:rPr>
                <w:rFonts w:hAnsi="宋体"/>
                <w:color w:val="auto"/>
                <w:sz w:val="24"/>
                <w:szCs w:val="24"/>
              </w:rPr>
              <w:t>项目</w:t>
            </w:r>
            <w:r>
              <w:rPr>
                <w:rFonts w:hint="eastAsia" w:hAnsi="宋体"/>
                <w:color w:val="auto"/>
                <w:sz w:val="24"/>
                <w:szCs w:val="24"/>
              </w:rPr>
              <w:t>所在厂区</w:t>
            </w:r>
            <w:r>
              <w:rPr>
                <w:rFonts w:hAnsi="宋体"/>
                <w:color w:val="auto"/>
                <w:sz w:val="24"/>
                <w:szCs w:val="24"/>
              </w:rPr>
              <w:t>总体规划布局严格按照地块用地性质进行设计</w:t>
            </w:r>
            <w:r>
              <w:rPr>
                <w:rFonts w:hint="eastAsia" w:hAnsi="宋体"/>
                <w:color w:val="auto"/>
                <w:sz w:val="24"/>
                <w:szCs w:val="24"/>
                <w:lang w:eastAsia="zh-CN"/>
              </w:rPr>
              <w:t>。本项目</w:t>
            </w:r>
            <w:r>
              <w:rPr>
                <w:rFonts w:hint="eastAsia"/>
                <w:color w:val="auto"/>
                <w:sz w:val="24"/>
                <w:szCs w:val="24"/>
              </w:rPr>
              <w:t>建设</w:t>
            </w:r>
            <w:r>
              <w:rPr>
                <w:color w:val="auto"/>
                <w:sz w:val="24"/>
                <w:szCs w:val="24"/>
              </w:rPr>
              <w:t>地块被规划为</w:t>
            </w:r>
            <w:r>
              <w:rPr>
                <w:rFonts w:hint="eastAsia"/>
                <w:color w:val="auto"/>
                <w:sz w:val="24"/>
                <w:szCs w:val="24"/>
              </w:rPr>
              <w:t>工业</w:t>
            </w:r>
            <w:r>
              <w:rPr>
                <w:color w:val="auto"/>
                <w:sz w:val="24"/>
                <w:szCs w:val="24"/>
              </w:rPr>
              <w:t>用地</w:t>
            </w:r>
            <w:r>
              <w:rPr>
                <w:rFonts w:hint="eastAsia" w:eastAsia="宋体"/>
                <w:color w:val="auto"/>
                <w:sz w:val="24"/>
                <w:szCs w:val="24"/>
                <w:lang w:eastAsia="zh-CN"/>
              </w:rPr>
              <w:t>，</w:t>
            </w:r>
            <w:r>
              <w:rPr>
                <w:rFonts w:hint="eastAsia" w:hAnsi="宋体"/>
                <w:color w:val="auto"/>
                <w:sz w:val="24"/>
                <w:szCs w:val="24"/>
                <w:lang w:val="en-US" w:eastAsia="zh-CN"/>
              </w:rPr>
              <w:t>整个厂区主</w:t>
            </w:r>
            <w:r>
              <w:rPr>
                <w:rFonts w:hint="eastAsia" w:hAnsi="宋体"/>
                <w:color w:val="auto"/>
                <w:sz w:val="24"/>
                <w:szCs w:val="24"/>
                <w:lang w:eastAsia="zh-CN"/>
              </w:rPr>
              <w:t>分为</w:t>
            </w:r>
            <w:r>
              <w:rPr>
                <w:rFonts w:hint="eastAsia" w:hAnsi="宋体"/>
                <w:color w:val="auto"/>
                <w:sz w:val="24"/>
                <w:szCs w:val="24"/>
                <w:lang w:val="en-US" w:eastAsia="zh-CN"/>
              </w:rPr>
              <w:t>办公区，</w:t>
            </w:r>
            <w:r>
              <w:rPr>
                <w:rFonts w:hint="eastAsia" w:hAnsi="宋体"/>
                <w:color w:val="auto"/>
                <w:sz w:val="24"/>
                <w:szCs w:val="24"/>
                <w:lang w:eastAsia="zh-CN"/>
              </w:rPr>
              <w:t>生产区、污水处理区。</w:t>
            </w:r>
            <w:r>
              <w:rPr>
                <w:rFonts w:hint="eastAsia"/>
                <w:color w:val="auto"/>
                <w:sz w:val="24"/>
                <w:szCs w:val="24"/>
              </w:rPr>
              <w:t>项目</w:t>
            </w:r>
            <w:r>
              <w:rPr>
                <w:rFonts w:hint="eastAsia" w:eastAsia="宋体"/>
                <w:color w:val="auto"/>
                <w:sz w:val="24"/>
                <w:szCs w:val="24"/>
                <w:lang w:val="en-US" w:eastAsia="zh-CN"/>
              </w:rPr>
              <w:t>技改</w:t>
            </w:r>
            <w:r>
              <w:rPr>
                <w:rFonts w:hint="eastAsia"/>
                <w:color w:val="auto"/>
                <w:sz w:val="24"/>
                <w:szCs w:val="24"/>
              </w:rPr>
              <w:t>后厂区平面布置未</w:t>
            </w:r>
            <w:r>
              <w:rPr>
                <w:rFonts w:hint="eastAsia" w:eastAsia="宋体"/>
                <w:color w:val="auto"/>
                <w:sz w:val="24"/>
                <w:szCs w:val="24"/>
                <w:lang w:val="en-US" w:eastAsia="zh-CN"/>
              </w:rPr>
              <w:t>发生</w:t>
            </w:r>
            <w:r>
              <w:rPr>
                <w:rFonts w:hint="eastAsia"/>
                <w:color w:val="auto"/>
                <w:sz w:val="24"/>
                <w:szCs w:val="24"/>
              </w:rPr>
              <w:t>变化</w:t>
            </w:r>
            <w:r>
              <w:rPr>
                <w:rFonts w:hint="eastAsia" w:eastAsia="宋体"/>
                <w:color w:val="auto"/>
                <w:sz w:val="24"/>
                <w:szCs w:val="24"/>
                <w:lang w:eastAsia="zh-CN"/>
              </w:rPr>
              <w:t>，</w:t>
            </w:r>
            <w:r>
              <w:rPr>
                <w:rFonts w:hint="eastAsia" w:hAnsi="宋体"/>
                <w:color w:val="auto"/>
                <w:sz w:val="24"/>
                <w:szCs w:val="24"/>
                <w:lang w:val="en-US" w:eastAsia="zh-CN"/>
              </w:rPr>
              <w:t>由平面布置图可知，办公楼位于厂区东北侧，厂区南面为生产厂房，污水处理站设置在生产厂房的南侧。</w:t>
            </w:r>
            <w:r>
              <w:rPr>
                <w:rFonts w:hint="eastAsia"/>
                <w:color w:val="auto"/>
                <w:sz w:val="24"/>
                <w:szCs w:val="24"/>
              </w:rPr>
              <w:t>项目生产区与非生产区功能明确，总体布局着重按照工艺流程的连续性进行布置，有利于日常安全管理</w:t>
            </w:r>
            <w:r>
              <w:rPr>
                <w:rFonts w:hint="eastAsia"/>
                <w:color w:val="auto"/>
                <w:sz w:val="24"/>
                <w:szCs w:val="24"/>
                <w:lang w:eastAsia="zh-CN"/>
              </w:rPr>
              <w:t>，</w:t>
            </w:r>
            <w:r>
              <w:rPr>
                <w:rFonts w:hAnsi="宋体"/>
                <w:color w:val="auto"/>
                <w:sz w:val="24"/>
                <w:szCs w:val="24"/>
              </w:rPr>
              <w:t>项目总图布置工艺流程顺畅，场地功能分区明确，整体布置紧凑合理，较好地利用了现有场地，占地面积小，节省了土地。办公区尽量远离生产区，减少生产过程对办公区域的影响，在目前项目用地条件下，其布局比较合理</w:t>
            </w:r>
            <w:r>
              <w:rPr>
                <w:rFonts w:hint="eastAsia" w:hAnsi="宋体" w:eastAsia="宋体"/>
                <w:color w:val="auto"/>
                <w:sz w:val="24"/>
                <w:szCs w:val="24"/>
                <w:lang w:eastAsia="zh-CN"/>
              </w:rPr>
              <w:t>。</w:t>
            </w:r>
          </w:p>
        </w:tc>
      </w:tr>
      <w:tr w14:paraId="15BA8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shd w:val="clear" w:color="auto" w:fill="auto"/>
            <w:noWrap w:val="0"/>
            <w:vAlign w:val="center"/>
          </w:tcPr>
          <w:p w14:paraId="49282E6A">
            <w:pPr>
              <w:pStyle w:val="14"/>
              <w:pageBreakBefore w:val="0"/>
              <w:topLinePunct w:val="0"/>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工艺流程和产排污环节</w:t>
            </w:r>
          </w:p>
        </w:tc>
        <w:tc>
          <w:tcPr>
            <w:tcW w:w="4542" w:type="pct"/>
            <w:shd w:val="clear" w:color="auto" w:fill="auto"/>
            <w:noWrap w:val="0"/>
            <w:vAlign w:val="top"/>
          </w:tcPr>
          <w:p w14:paraId="17E16715">
            <w:pPr>
              <w:keepNext w:val="0"/>
              <w:keepLines w:val="0"/>
              <w:pageBreakBefore w:val="0"/>
              <w:kinsoku/>
              <w:wordWrap/>
              <w:overflowPunct/>
              <w:topLinePunct w:val="0"/>
              <w:bidi w:val="0"/>
              <w:adjustRightInd/>
              <w:snapToGrid/>
              <w:spacing w:beforeLines="0" w:afterLines="0" w:line="360" w:lineRule="auto"/>
              <w:ind w:firstLine="0" w:firstLineChars="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一、施工期</w:t>
            </w:r>
          </w:p>
          <w:p w14:paraId="2BCA668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根据现场踏勘，主体工程及装修已全部完成，</w:t>
            </w:r>
            <w:r>
              <w:rPr>
                <w:rFonts w:hint="eastAsia" w:ascii="宋体" w:eastAsia="宋体"/>
                <w:color w:val="auto"/>
                <w:sz w:val="24"/>
                <w:szCs w:val="24"/>
                <w:lang w:eastAsia="zh-CN"/>
              </w:rPr>
              <w:t>本次</w:t>
            </w:r>
            <w:r>
              <w:rPr>
                <w:rFonts w:hint="eastAsia" w:ascii="宋体" w:eastAsia="宋体"/>
                <w:color w:val="auto"/>
                <w:sz w:val="24"/>
                <w:szCs w:val="24"/>
                <w:lang w:val="en-US" w:eastAsia="zh-CN"/>
              </w:rPr>
              <w:t>技改</w:t>
            </w:r>
            <w:r>
              <w:rPr>
                <w:rFonts w:hint="eastAsia" w:ascii="Times New Roman" w:hAnsi="宋体" w:eastAsia="宋体" w:cs="Times New Roman"/>
                <w:color w:val="auto"/>
                <w:sz w:val="24"/>
                <w:szCs w:val="24"/>
                <w:lang w:val="en-US" w:eastAsia="zh-CN"/>
              </w:rPr>
              <w:t>内容为原有废水经过处理后循环使用，但为了加工后的产品效果更优质，项目废水变更为经过废水装置处理后定期</w:t>
            </w:r>
            <w:r>
              <w:rPr>
                <w:rFonts w:hint="eastAsia" w:hAnsi="宋体" w:eastAsia="宋体" w:cs="Times New Roman"/>
                <w:color w:val="auto"/>
                <w:sz w:val="24"/>
                <w:szCs w:val="24"/>
                <w:lang w:val="en-US" w:eastAsia="zh-CN"/>
              </w:rPr>
              <w:t>少量</w:t>
            </w:r>
            <w:r>
              <w:rPr>
                <w:rFonts w:hint="eastAsia" w:ascii="Times New Roman" w:hAnsi="宋体" w:eastAsia="宋体" w:cs="Times New Roman"/>
                <w:color w:val="auto"/>
                <w:sz w:val="24"/>
                <w:szCs w:val="24"/>
                <w:lang w:val="en-US" w:eastAsia="zh-CN"/>
              </w:rPr>
              <w:t>外排；并</w:t>
            </w:r>
            <w:r>
              <w:rPr>
                <w:rFonts w:hint="eastAsia" w:eastAsia="宋体"/>
                <w:color w:val="auto"/>
                <w:sz w:val="24"/>
                <w:highlight w:val="none"/>
                <w:lang w:val="en-US" w:eastAsia="zh-CN"/>
              </w:rPr>
              <w:t>新增造粒生产线4条仅</w:t>
            </w:r>
            <w:r>
              <w:rPr>
                <w:rFonts w:hint="eastAsia" w:ascii="Times New Roman" w:hAnsi="宋体" w:eastAsia="宋体" w:cs="Times New Roman"/>
                <w:color w:val="auto"/>
                <w:sz w:val="24"/>
                <w:szCs w:val="24"/>
                <w:lang w:val="en-US" w:eastAsia="zh-CN"/>
              </w:rPr>
              <w:t>需安装相应设备，</w:t>
            </w:r>
            <w:r>
              <w:rPr>
                <w:rFonts w:hint="eastAsia" w:ascii="宋体" w:hAnsi="宋体" w:eastAsia="宋体" w:cs="宋体"/>
                <w:color w:val="auto"/>
                <w:sz w:val="24"/>
                <w:szCs w:val="24"/>
                <w:lang w:eastAsia="zh-CN"/>
              </w:rPr>
              <w:t>主要污染物为噪声，随着施工期的结束噪声污染随之结束，</w:t>
            </w:r>
            <w:r>
              <w:rPr>
                <w:rFonts w:hint="eastAsia" w:ascii="Times New Roman" w:hAnsi="宋体" w:eastAsia="宋体" w:cs="Times New Roman"/>
                <w:color w:val="auto"/>
                <w:sz w:val="24"/>
                <w:szCs w:val="24"/>
                <w:lang w:val="en-US" w:eastAsia="zh-CN"/>
              </w:rPr>
              <w:t>因此本次不对施工期进行具体评价分析。</w:t>
            </w:r>
          </w:p>
          <w:p w14:paraId="40BD8182">
            <w:pPr>
              <w:pStyle w:val="8"/>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360" w:lineRule="auto"/>
              <w:ind w:right="0" w:firstLine="0" w:firstLineChars="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二、运营期</w:t>
            </w:r>
          </w:p>
          <w:p w14:paraId="080762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rPr>
              <w:t>生产工艺</w:t>
            </w:r>
            <w:r>
              <w:rPr>
                <w:rFonts w:hint="eastAsia" w:ascii="宋体" w:hAnsi="宋体" w:eastAsia="宋体" w:cs="宋体"/>
                <w:color w:val="auto"/>
                <w:sz w:val="24"/>
                <w:szCs w:val="24"/>
                <w:lang w:eastAsia="zh-CN"/>
              </w:rPr>
              <w:t>流程</w:t>
            </w:r>
            <w:r>
              <w:rPr>
                <w:rFonts w:hint="eastAsia" w:ascii="宋体" w:hAnsi="宋体" w:eastAsia="宋体" w:cs="宋体"/>
                <w:color w:val="auto"/>
                <w:sz w:val="24"/>
                <w:szCs w:val="24"/>
              </w:rPr>
              <w:t>及产污</w:t>
            </w:r>
            <w:r>
              <w:rPr>
                <w:rFonts w:hint="eastAsia" w:ascii="宋体" w:hAnsi="宋体" w:eastAsia="宋体" w:cs="宋体"/>
                <w:color w:val="auto"/>
                <w:sz w:val="24"/>
                <w:szCs w:val="24"/>
                <w:lang w:eastAsia="zh-CN"/>
              </w:rPr>
              <w:t>流程</w:t>
            </w:r>
            <w:r>
              <w:rPr>
                <w:rFonts w:hint="eastAsia" w:ascii="宋体" w:hAnsi="宋体" w:eastAsia="宋体" w:cs="宋体"/>
                <w:color w:val="auto"/>
                <w:sz w:val="24"/>
                <w:szCs w:val="24"/>
              </w:rPr>
              <w:t>图</w:t>
            </w:r>
          </w:p>
          <w:p w14:paraId="781C04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highlight w:val="none"/>
                <w:lang w:val="en-US" w:eastAsia="zh-CN"/>
              </w:rPr>
            </w:pPr>
            <w:r>
              <w:rPr>
                <w:rFonts w:hint="eastAsia"/>
                <w:color w:val="auto"/>
                <w:sz w:val="24"/>
                <w:szCs w:val="24"/>
              </w:rPr>
              <w:t>项目</w:t>
            </w:r>
            <w:r>
              <w:rPr>
                <w:rFonts w:hint="eastAsia" w:eastAsia="宋体"/>
                <w:color w:val="auto"/>
                <w:sz w:val="24"/>
                <w:szCs w:val="24"/>
                <w:lang w:val="en-US" w:eastAsia="zh-CN"/>
              </w:rPr>
              <w:t>技改</w:t>
            </w:r>
            <w:r>
              <w:rPr>
                <w:rFonts w:hint="eastAsia"/>
                <w:color w:val="auto"/>
                <w:sz w:val="24"/>
                <w:szCs w:val="24"/>
              </w:rPr>
              <w:t>前后生产工艺大部分不变，</w:t>
            </w:r>
            <w:r>
              <w:rPr>
                <w:rFonts w:hint="eastAsia" w:eastAsia="宋体"/>
                <w:color w:val="auto"/>
                <w:sz w:val="24"/>
                <w:highlight w:val="none"/>
                <w:lang w:val="en-US" w:eastAsia="zh-CN"/>
              </w:rPr>
              <w:t>为优化公司产品</w:t>
            </w:r>
            <w:r>
              <w:rPr>
                <w:rFonts w:hint="eastAsia" w:eastAsia="宋体"/>
                <w:color w:val="auto"/>
                <w:sz w:val="24"/>
                <w:szCs w:val="24"/>
                <w:lang w:val="en-US" w:eastAsia="zh-CN"/>
              </w:rPr>
              <w:t>，技改</w:t>
            </w:r>
            <w:r>
              <w:rPr>
                <w:rFonts w:hint="eastAsia"/>
                <w:color w:val="auto"/>
                <w:sz w:val="24"/>
                <w:szCs w:val="24"/>
              </w:rPr>
              <w:t>后</w:t>
            </w:r>
            <w:r>
              <w:rPr>
                <w:rFonts w:hint="eastAsia"/>
                <w:color w:val="auto"/>
                <w:sz w:val="24"/>
                <w:szCs w:val="24"/>
                <w:lang w:val="en-US" w:eastAsia="zh-CN"/>
              </w:rPr>
              <w:t>新增静电分选、色选辅助工艺</w:t>
            </w:r>
            <w:r>
              <w:rPr>
                <w:rFonts w:hint="eastAsia" w:eastAsia="宋体"/>
                <w:color w:val="auto"/>
                <w:sz w:val="24"/>
                <w:szCs w:val="24"/>
                <w:lang w:eastAsia="zh-CN"/>
              </w:rPr>
              <w:t>；</w:t>
            </w:r>
            <w:r>
              <w:rPr>
                <w:rFonts w:hint="eastAsia" w:eastAsia="宋体"/>
                <w:color w:val="auto"/>
                <w:sz w:val="24"/>
                <w:szCs w:val="24"/>
                <w:lang w:val="en-US" w:eastAsia="zh-CN"/>
              </w:rPr>
              <w:t>原有废水经过处理后循环使用技改</w:t>
            </w:r>
            <w:r>
              <w:rPr>
                <w:rFonts w:hint="eastAsia" w:eastAsia="宋体"/>
                <w:color w:val="auto"/>
                <w:sz w:val="24"/>
                <w:highlight w:val="none"/>
                <w:lang w:eastAsia="zh-CN"/>
              </w:rPr>
              <w:t>成处理后</w:t>
            </w:r>
            <w:r>
              <w:rPr>
                <w:rFonts w:hint="eastAsia" w:eastAsia="宋体"/>
                <w:color w:val="auto"/>
                <w:sz w:val="24"/>
                <w:highlight w:val="none"/>
                <w:lang w:val="en-US" w:eastAsia="zh-CN"/>
              </w:rPr>
              <w:t>部分生产废水外排</w:t>
            </w:r>
            <w:r>
              <w:rPr>
                <w:rFonts w:hint="eastAsia" w:eastAsia="宋体"/>
                <w:color w:val="auto"/>
                <w:sz w:val="24"/>
                <w:highlight w:val="none"/>
                <w:lang w:eastAsia="zh-CN"/>
              </w:rPr>
              <w:t>至</w:t>
            </w:r>
            <w:r>
              <w:rPr>
                <w:rFonts w:hint="eastAsia" w:eastAsia="宋体"/>
                <w:color w:val="auto"/>
                <w:sz w:val="24"/>
                <w:highlight w:val="none"/>
                <w:lang w:val="en-US" w:eastAsia="zh-CN"/>
              </w:rPr>
              <w:t>星火工业园</w:t>
            </w:r>
            <w:r>
              <w:rPr>
                <w:rFonts w:hint="eastAsia" w:eastAsia="宋体"/>
                <w:color w:val="auto"/>
                <w:sz w:val="24"/>
                <w:highlight w:val="none"/>
                <w:lang w:eastAsia="zh-CN"/>
              </w:rPr>
              <w:t>园区污水处理厂处理。</w:t>
            </w:r>
          </w:p>
          <w:p w14:paraId="739AF722">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szCs w:val="24"/>
                <w:lang w:eastAsia="zh-CN"/>
              </w:rPr>
            </w:pPr>
            <w:r>
              <w:rPr>
                <w:rFonts w:hint="eastAsia"/>
                <w:color w:val="auto"/>
                <w:sz w:val="24"/>
                <w:szCs w:val="24"/>
              </w:rPr>
              <w:t>生产工艺流程及产污流程详见</w:t>
            </w:r>
            <w:r>
              <w:rPr>
                <w:rFonts w:hint="eastAsia"/>
                <w:color w:val="auto"/>
                <w:sz w:val="24"/>
                <w:szCs w:val="24"/>
                <w:lang w:eastAsia="zh-CN"/>
              </w:rPr>
              <w:t>下</w:t>
            </w:r>
            <w:r>
              <w:rPr>
                <w:rFonts w:hint="eastAsia"/>
                <w:color w:val="auto"/>
                <w:sz w:val="24"/>
                <w:szCs w:val="24"/>
              </w:rPr>
              <w:t>图</w:t>
            </w:r>
            <w:r>
              <w:rPr>
                <w:rFonts w:hint="eastAsia"/>
                <w:color w:val="auto"/>
                <w:sz w:val="24"/>
                <w:szCs w:val="24"/>
                <w:lang w:eastAsia="zh-CN"/>
              </w:rPr>
              <w:t>。</w:t>
            </w:r>
          </w:p>
          <w:p w14:paraId="5847759B">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5011ABFB">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5B1060E4">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13476113">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010797D3">
            <w:pPr>
              <w:pStyle w:val="4"/>
              <w:rPr>
                <w:rFonts w:hint="default" w:hAnsi="宋体"/>
                <w:color w:val="auto"/>
              </w:rPr>
            </w:pPr>
          </w:p>
          <w:p w14:paraId="78C6CF5D">
            <w:pPr>
              <w:rPr>
                <w:rFonts w:hint="default" w:hAnsi="宋体"/>
                <w:color w:val="auto"/>
              </w:rPr>
            </w:pPr>
          </w:p>
          <w:p w14:paraId="4912822C">
            <w:pPr>
              <w:pStyle w:val="9"/>
              <w:rPr>
                <w:rFonts w:hint="default" w:hAnsi="宋体"/>
                <w:color w:val="auto"/>
              </w:rPr>
            </w:pPr>
          </w:p>
          <w:p w14:paraId="2ED041D2">
            <w:pPr>
              <w:rPr>
                <w:rFonts w:hint="default" w:hAnsi="宋体"/>
                <w:color w:val="auto"/>
              </w:rPr>
            </w:pPr>
          </w:p>
          <w:p w14:paraId="6880E208">
            <w:pPr>
              <w:pStyle w:val="9"/>
              <w:rPr>
                <w:rFonts w:hint="default" w:hAnsi="宋体"/>
                <w:color w:val="auto"/>
              </w:rPr>
            </w:pPr>
          </w:p>
          <w:p w14:paraId="116F97BC">
            <w:pPr>
              <w:rPr>
                <w:rFonts w:hint="default"/>
                <w:color w:val="auto"/>
              </w:rPr>
            </w:pPr>
          </w:p>
          <w:p w14:paraId="1151C4FD">
            <w:pPr>
              <w:pStyle w:val="4"/>
              <w:rPr>
                <w:rFonts w:hint="default" w:hAnsi="宋体"/>
                <w:color w:val="auto"/>
              </w:rPr>
            </w:pPr>
          </w:p>
          <w:p w14:paraId="16BCA32B">
            <w:pPr>
              <w:rPr>
                <w:rFonts w:hint="default"/>
                <w:color w:val="auto"/>
              </w:rPr>
            </w:pPr>
          </w:p>
          <w:p w14:paraId="6E887ABE">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3701885D">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4C6FF1C6">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28F61FFE">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p>
          <w:p w14:paraId="30265579">
            <w:pPr>
              <w:pStyle w:val="2"/>
              <w:keepNext w:val="0"/>
              <w:keepLines w:val="0"/>
              <w:pageBreakBefore w:val="0"/>
              <w:kinsoku/>
              <w:wordWrap/>
              <w:overflowPunct/>
              <w:topLinePunct w:val="0"/>
              <w:bidi w:val="0"/>
              <w:adjustRightInd/>
              <w:snapToGrid/>
              <w:ind w:firstLine="0" w:firstLineChars="0"/>
              <w:textAlignment w:val="auto"/>
              <w:rPr>
                <w:rFonts w:hint="default" w:hAnsi="宋体"/>
                <w:color w:val="auto"/>
              </w:rPr>
            </w:pPr>
            <w:r>
              <w:rPr>
                <w:rFonts w:hint="default"/>
                <w:color w:val="auto"/>
              </w:rPr>
              <mc:AlternateContent>
                <mc:Choice Requires="wps">
                  <w:drawing>
                    <wp:anchor distT="0" distB="0" distL="114300" distR="114300" simplePos="0" relativeHeight="251697152" behindDoc="0" locked="0" layoutInCell="1" allowOverlap="1">
                      <wp:simplePos x="0" y="0"/>
                      <wp:positionH relativeFrom="character">
                        <wp:posOffset>1046480</wp:posOffset>
                      </wp:positionH>
                      <wp:positionV relativeFrom="line">
                        <wp:posOffset>76835</wp:posOffset>
                      </wp:positionV>
                      <wp:extent cx="1187450" cy="306705"/>
                      <wp:effectExtent l="4445" t="5080" r="8255" b="12065"/>
                      <wp:wrapNone/>
                      <wp:docPr id="321" name="矩形 321"/>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C8867F">
                                  <w:pPr>
                                    <w:jc w:val="center"/>
                                    <w:rPr>
                                      <w:szCs w:val="21"/>
                                    </w:rPr>
                                  </w:pPr>
                                  <w:r>
                                    <w:rPr>
                                      <w:rFonts w:hint="eastAsia"/>
                                      <w:szCs w:val="21"/>
                                    </w:rPr>
                                    <w:t>废塑料</w:t>
                                  </w:r>
                                </w:p>
                              </w:txbxContent>
                            </wps:txbx>
                            <wps:bodyPr lIns="90526" tIns="45263" rIns="90526" bIns="45263" upright="1"/>
                          </wps:wsp>
                        </a:graphicData>
                      </a:graphic>
                    </wp:anchor>
                  </w:drawing>
                </mc:Choice>
                <mc:Fallback>
                  <w:pict>
                    <v:rect id="_x0000_s1026" o:spid="_x0000_s1026" o:spt="1" style="position:absolute;left:0pt;margin-left:82.4pt;margin-top:6.05pt;height:24.15pt;width:93.5pt;mso-position-horizontal-relative:char;mso-position-vertical-relative:line;z-index:251697152;mso-width-relative:page;mso-height-relative:page;" fillcolor="#FFFFFF" filled="t" stroked="t" coordsize="21600,21600" o:gfxdata="UEsDBAoAAAAAAIdO4kAAAAAAAAAAAAAAAAAEAAAAZHJzL1BLAwQUAAAACACHTuJA3fOo8NYAAAAJ&#10;AQAADwAAAGRycy9kb3ducmV2LnhtbE2PMU/DMBCFdyT+g3VIbNROKKFK43QoQmJggLZiduNrEhGf&#10;rdhp2n/PMcF27+7p3feqzcUN4oxj7D1pyBYKBFLjbU+thsP+9WEFIiZD1gyeUMMVI2zq25vKlNbP&#10;9InnXWoFh1AsjYYupVBKGZsOnYkLH5D4dvKjM4nl2Eo7mpnD3SBzpQrpTE/8oTMBtx0237vJaZgm&#10;DO/bfDg9zx+Hl2tMXn6FN63v7zK1BpHwkv7M8IvP6FAz09FPZKMYWBdLRk885BkINjw+Zbw4aijU&#10;EmRdyf8N6h9QSwMEFAAAAAgAh07iQL0SjRQhAgAAbwQAAA4AAABkcnMvZTJvRG9jLnhtbK1UzY7T&#10;MBC+I/EOlu80abvt7kZN90ApQkKw0sIDuI6TWPKfPG6TPg0SNx6Cx0G8BmMndLu7HHogh/Qbz+Sb&#10;mW/GXd31WpGD8CCtKel0klMiDLeVNE1Jv37ZvrmhBAIzFVPWiJIeBdC79etXq84VYmZbqyrhCZIY&#10;KDpX0jYEV2QZ8FZoBhPrhEFnbb1mAU3fZJVnHbJrlc3yfJl11lfOWy4A8HQzOOnI6C8htHUtudhY&#10;vtfChIHVC8UCtgStdEDXqdq6Fjx8rmsQgaiSYqchvTEJ4l18Z+sVKxrPXCv5WAK7pIRnPWkmDSY9&#10;UW1YYGTv5QsqLbm3YOsw4VZnQyNJEeximj/T5qFlTqReUGpwJ9Hh/9HyT4d7T2RV0vlsSolhGkf+&#10;+9uPXz+/k3iC+nQOCgx7cPd+tABhbLavvY6/2Abpk6bHk6aiD4Tj4XR6c321QLk5+ub58jpfRNLs&#10;8WvnIbwXVpMISupxZklKdvgIYQj9GxKTgVWy2kqlkuGb3VvlyYHhfLfpGdmfhClDupLeLmYLrIPh&#10;0ta4LAi1w8bBNCnfky/gnDhPz7+IY2EbBu1QQGKIYazQMgifUCtY9c5UJBwdSmvwTtFYjBYVJUrg&#10;FYwoRQYm1SWRqJ0yMYlICz6qFMc0DCai0O96JI1wZ6sjzlh9MLg3t/litsR7kIwrxHNK/Llnd+7Z&#10;Oy+bFoeSFiGLbLiHaXrjnYmLfm4jPv+fW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fOo8NYA&#10;AAAJAQAADwAAAAAAAAABACAAAAAiAAAAZHJzL2Rvd25yZXYueG1sUEsBAhQAFAAAAAgAh07iQL0S&#10;jRQhAgAAbwQAAA4AAAAAAAAAAQAgAAAAJQEAAGRycy9lMm9Eb2MueG1sUEsFBgAAAAAGAAYAWQEA&#10;ALgFAAAAAA==&#10;">
                      <v:fill on="t" focussize="0,0"/>
                      <v:stroke color="#000000" joinstyle="miter"/>
                      <v:imagedata o:title=""/>
                      <o:lock v:ext="edit" aspectratio="f"/>
                      <v:textbox inset="7.12803149606299pt,3.5640157480315pt,7.12803149606299pt,3.5640157480315pt">
                        <w:txbxContent>
                          <w:p w14:paraId="0CC8867F">
                            <w:pPr>
                              <w:jc w:val="center"/>
                              <w:rPr>
                                <w:szCs w:val="21"/>
                              </w:rPr>
                            </w:pPr>
                            <w:r>
                              <w:rPr>
                                <w:rFonts w:hint="eastAsia"/>
                                <w:szCs w:val="21"/>
                              </w:rPr>
                              <w:t>废塑料</w:t>
                            </w:r>
                          </w:p>
                        </w:txbxContent>
                      </v:textbox>
                    </v:rect>
                  </w:pict>
                </mc:Fallback>
              </mc:AlternateContent>
            </w:r>
          </w:p>
          <w:p w14:paraId="269632B1">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696128" behindDoc="0" locked="0" layoutInCell="1" allowOverlap="1">
                      <wp:simplePos x="0" y="0"/>
                      <wp:positionH relativeFrom="character">
                        <wp:posOffset>-744220</wp:posOffset>
                      </wp:positionH>
                      <wp:positionV relativeFrom="line">
                        <wp:posOffset>187325</wp:posOffset>
                      </wp:positionV>
                      <wp:extent cx="635" cy="254000"/>
                      <wp:effectExtent l="37465" t="0" r="38100" b="12700"/>
                      <wp:wrapNone/>
                      <wp:docPr id="253" name="直接连接符 2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8.6pt;margin-top:14.75pt;height:20pt;width:0.05pt;mso-position-horizontal-relative:char;mso-position-vertical-relative:line;z-index:251696128;mso-width-relative:page;mso-height-relative:page;" filled="f" stroked="t" coordsize="21600,21600" o:gfxdata="UEsDBAoAAAAAAIdO4kAAAAAAAAAAAAAAAAAEAAAAZHJzL1BLAwQUAAAACACHTuJAM9HFCdoAAAAL&#10;AQAADwAAAGRycy9kb3ducmV2LnhtbE2PwU7DMAyG70i8Q2QkbluaSoxSmu6ANC4boG0IwS1rTFvR&#10;OFWTbuXt8U7j6N+ffn8ulpPrxBGH0HrSoOYJCKTK25ZqDe/71SwDEaIhazpPqOEXAyzL66vC5Naf&#10;aIvHXawFl1DIjYYmxj6XMlQNOhPmvkfi3bcfnIk8DrW0gzlxuetkmiQL6UxLfKExPT41WP3sRqdh&#10;u1mts4/1OFXD17N63b9tXj5DpvXtjUoeQUSc4gWGsz6rQ8lOBz+SDaLTMFPqPmVWQ/pwB4KJc6JA&#10;HDQsOJFlIf//UP4BUEsDBBQAAAAIAIdO4kDe948YGgIAACoEAAAOAAAAZHJzL2Uyb0RvYy54bWyt&#10;U0tuFDEQ3SNxB8t7pjsTJoLW9ERohrCJIFLgADVud7eFf3J5fpfgAkjsYMWSPbchHIOyezKTBCFl&#10;QS9aZVf5ud6r5+n51mi2lgGVszU/GZWcSStco2xX8w/vL5694Awj2Aa0s7LmO4n8fPb0yXTjKzl2&#10;vdONDIxALFYbX/M+Rl8VBYpeGsCR89JSsnXBQKRl6IomwIbQjS7GZXlWbFxofHBCItLuYkjyPWJ4&#10;DKBrWyXkwomVkTYOqEFqiEQJe+WRz3K3bStFfNe2KCPTNSemMf/pEoqX6V/MplB1AXyvxL4FeEwL&#10;DzgZUJYuPUAtIAJbBfUXlFEiOHRtHAlnioFIVoRYnJQPtLnuwcvMhaRGfxAd/x+seLu+Ckw1NR9P&#10;TjmzYGjkN59//Pr09ffPL/S/+f6NpRQJtfFYUf3cXoVEVWzttb904iMy6+Y92E6+Qk+Kk6tSeXGv&#10;Pi3QDye3bTAJgeizbZ7F7jALuY1M0ObZ6YQzQfvjyfOyzIMqoLo96QPGN9IZloKaa2WTTlDB+hJj&#10;uhuq25K0rS3b1PzlZJwwgUzbklkoNJ6Io+3yWXRaNRdK63QCQ7ec68DWkIyTv8yJMnfL0iULwH6o&#10;y6nBUr2E5rVtWNx5EtTSS+KpBSMbzrSkh5eibL4ISh8rY1AkpP5HNdHSNrUns7X3XI/Spmjpmh2N&#10;dOWD6vp7syALZWX2dk8evbvOEzs+8d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9HFCdoAAAAL&#10;AQAADwAAAAAAAAABACAAAAAiAAAAZHJzL2Rvd25yZXYueG1sUEsBAhQAFAAAAAgAh07iQN73jxga&#10;AgAAKgQAAA4AAAAAAAAAAQAgAAAAKQEAAGRycy9lMm9Eb2MueG1sUEsFBgAAAAAGAAYAWQEAALUF&#10;AAAAAA==&#10;">
                      <v:fill on="f" focussize="0,0"/>
                      <v:stroke color="#000000" joinstyle="round" endarrow="block"/>
                      <v:imagedata o:title=""/>
                      <o:lock v:ext="edit" aspectratio="t"/>
                    </v:line>
                  </w:pict>
                </mc:Fallback>
              </mc:AlternateContent>
            </w:r>
          </w:p>
          <w:p w14:paraId="3EDA18FA">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22752" behindDoc="0" locked="0" layoutInCell="1" allowOverlap="1">
                      <wp:simplePos x="0" y="0"/>
                      <wp:positionH relativeFrom="column">
                        <wp:posOffset>2635885</wp:posOffset>
                      </wp:positionH>
                      <wp:positionV relativeFrom="paragraph">
                        <wp:posOffset>179070</wp:posOffset>
                      </wp:positionV>
                      <wp:extent cx="417830" cy="25717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417830" cy="257175"/>
                              </a:xfrm>
                              <a:prstGeom prst="rect">
                                <a:avLst/>
                              </a:prstGeom>
                              <a:noFill/>
                              <a:ln w="6350">
                                <a:noFill/>
                              </a:ln>
                              <a:effectLst/>
                            </wps:spPr>
                            <wps:txbx>
                              <w:txbxContent>
                                <w:p w14:paraId="5F5B7041">
                                  <w:pPr>
                                    <w:jc w:val="center"/>
                                    <w:rPr>
                                      <w:rFonts w:hint="default" w:eastAsia="宋体"/>
                                      <w:sz w:val="18"/>
                                      <w:szCs w:val="18"/>
                                      <w:lang w:val="en-US" w:eastAsia="zh-CN"/>
                                    </w:rPr>
                                  </w:pPr>
                                  <w:r>
                                    <w:rPr>
                                      <w:rFonts w:hint="eastAsia" w:eastAsia="宋体"/>
                                      <w:sz w:val="18"/>
                                      <w:szCs w:val="18"/>
                                      <w:lang w:val="en-US" w:eastAsia="zh-CN"/>
                                    </w:rPr>
                                    <w:t>S、N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55pt;margin-top:14.1pt;height:20.25pt;width:32.9pt;z-index:251722752;mso-width-relative:page;mso-height-relative:page;" filled="f" stroked="f" coordsize="21600,21600" o:gfxdata="UEsDBAoAAAAAAIdO4kAAAAAAAAAAAAAAAAAEAAAAZHJzL1BLAwQUAAAACACHTuJAV2qYrNoAAAAJ&#10;AQAADwAAAGRycy9kb3ducmV2LnhtbE2Py07DMBBF90j8gzVI7KidqC0mZFKhSBUSgkVLN+wmsZtE&#10;+BFi9wFfj1mV5ege3XumXJ2tYUc9hcE7hGwmgGnXejW4DmH3vr6TwEIkp8h4pxG+dYBVdX1VUqH8&#10;yW30cRs7lkpcKAihj3EsOA9try2FmR+1S9neT5ZiOqeOq4lOqdwangux5JYGlxZ6GnXd6/Zze7AI&#10;L/X6jTZNbuWPqZ9f90/j1+5jgXh7k4lHYFGf4wWGP/2kDlVyavzBqcAMwjxbZAlFyGUOLAFzKR6A&#10;NQhLeQ+8Kvn/D6pfUEsDBBQAAAAIAIdO4kB80iXxQgIAAHcEAAAOAAAAZHJzL2Uyb0RvYy54bWyt&#10;VM1uEzEQviPxDpbvdJM0ISXqpgqtipAqWqkgzo7X213J9hjb6W55AHgDTly481x9Dj57k7QqHHrg&#10;4szffjPzzUyOT3qj2a3yoSVb8vHBiDNlJVWtvSn5p4/nr444C1HYSmiyquR3KvCT5csXx51bqAk1&#10;pCvlGUBsWHSu5E2MblEUQTbKiHBATlk4a/JGRKj+pqi86IBudDEZjV4XHfnKeZIqBFjPBiffIvrn&#10;AFJdt1KdkdwYZeOA6pUWES2FpnWBL3O1da1kvKzroCLTJUenMb9IAnmd3mJ5LBY3XrimldsSxHNK&#10;eNKTEa1F0j3UmYiCbXz7F5RppadAdTyQZIqhkcwIuhiPnnBz3Qinci+gOrg96eH/wcoPt1eetVXJ&#10;J3NwYoXByO9/fL//+fv+1zeWjKCoc2GByGuH2Ni/pR6Ls7MHGFPnfe1N+kVPDH6A3e0JVn1kEsbp&#10;eH50CI+EazKbj+ezhFI8fOx8iO8UGZaEknvML9Mqbi9CHEJ3ISmXpfNW6zxDbVlX8teHs1H+YO8B&#10;uLYpVuVt2MKkhobCkxT7db/tck3VHZr0NGxKcPK8RSkXIsQr4bEaqB7HEy/x1JqQkrYSZw35r/+y&#10;p3hMDF7OOqxaycOXjfCKM/3eYpZvxtMpYGNWprP5BIp/7Fk/9tiNOSVs8xhn6mQWU3zUO7H2ZD7j&#10;xlYpK1zCSuQuedyJp3E4ANyoVKtVDsI2OhEv7LWTCXogd7WJVLeZ90TTwA3mlRTsY57c9nbSwj/W&#10;c9TD/8X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dqmKzaAAAACQEAAA8AAAAAAAAAAQAgAAAA&#10;IgAAAGRycy9kb3ducmV2LnhtbFBLAQIUABQAAAAIAIdO4kB80iXxQgIAAHcEAAAOAAAAAAAAAAEA&#10;IAAAACkBAABkcnMvZTJvRG9jLnhtbFBLBQYAAAAABgAGAFkBAADdBQAAAAA=&#10;">
                      <v:fill on="f" focussize="0,0"/>
                      <v:stroke on="f" weight="0.5pt"/>
                      <v:imagedata o:title=""/>
                      <o:lock v:ext="edit" aspectratio="f"/>
                      <v:textbox>
                        <w:txbxContent>
                          <w:p w14:paraId="5F5B7041">
                            <w:pPr>
                              <w:jc w:val="center"/>
                              <w:rPr>
                                <w:rFonts w:hint="default" w:eastAsia="宋体"/>
                                <w:sz w:val="18"/>
                                <w:szCs w:val="18"/>
                                <w:lang w:val="en-US" w:eastAsia="zh-CN"/>
                              </w:rPr>
                            </w:pPr>
                            <w:r>
                              <w:rPr>
                                <w:rFonts w:hint="eastAsia" w:eastAsia="宋体"/>
                                <w:sz w:val="18"/>
                                <w:szCs w:val="18"/>
                                <w:lang w:val="en-US" w:eastAsia="zh-CN"/>
                              </w:rPr>
                              <w:t>S、N</w:t>
                            </w:r>
                          </w:p>
                        </w:txbxContent>
                      </v:textbox>
                    </v:shape>
                  </w:pict>
                </mc:Fallback>
              </mc:AlternateContent>
            </w:r>
            <w:r>
              <w:rPr>
                <w:color w:val="auto"/>
              </w:rPr>
              <mc:AlternateContent>
                <mc:Choice Requires="wps">
                  <w:drawing>
                    <wp:anchor distT="0" distB="0" distL="114300" distR="114300" simplePos="0" relativeHeight="251695104" behindDoc="0" locked="0" layoutInCell="1" allowOverlap="1">
                      <wp:simplePos x="0" y="0"/>
                      <wp:positionH relativeFrom="character">
                        <wp:posOffset>-1335405</wp:posOffset>
                      </wp:positionH>
                      <wp:positionV relativeFrom="line">
                        <wp:posOffset>165100</wp:posOffset>
                      </wp:positionV>
                      <wp:extent cx="1187450" cy="306705"/>
                      <wp:effectExtent l="4445" t="5080" r="8255" b="12065"/>
                      <wp:wrapNone/>
                      <wp:docPr id="18" name="矩形 18"/>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B70A45">
                                  <w:pPr>
                                    <w:jc w:val="center"/>
                                    <w:rPr>
                                      <w:szCs w:val="21"/>
                                    </w:rPr>
                                  </w:pPr>
                                  <w:r>
                                    <w:rPr>
                                      <w:rFonts w:hint="eastAsia" w:eastAsia="宋体"/>
                                      <w:szCs w:val="21"/>
                                      <w:lang w:val="en-US" w:eastAsia="zh-CN"/>
                                    </w:rPr>
                                    <w:t>金属分选</w:t>
                                  </w:r>
                                </w:p>
                              </w:txbxContent>
                            </wps:txbx>
                            <wps:bodyPr lIns="90526" tIns="45263" rIns="90526" bIns="45263" upright="1"/>
                          </wps:wsp>
                        </a:graphicData>
                      </a:graphic>
                    </wp:anchor>
                  </w:drawing>
                </mc:Choice>
                <mc:Fallback>
                  <w:pict>
                    <v:rect id="_x0000_s1026" o:spid="_x0000_s1026" o:spt="1" style="position:absolute;left:0pt;margin-left:-105.15pt;margin-top:13pt;height:24.15pt;width:93.5pt;mso-position-horizontal-relative:char;mso-position-vertical-relative:line;z-index:251695104;mso-width-relative:page;mso-height-relative:page;" fillcolor="#FFFFFF" filled="t" stroked="t" coordsize="21600,21600" o:gfxdata="UEsDBAoAAAAAAIdO4kAAAAAAAAAAAAAAAAAEAAAAZHJzL1BLAwQUAAAACACHTuJAGS1gV9cAAAAK&#10;AQAADwAAAGRycy9kb3ducmV2LnhtbE2PPU/DMBCGdyT+g3VIbKkdB7UoxOlQhMTAAKViduNrEuEv&#10;xU7T/nuOCca7e/Te8zbbi7PsjFMag1dQrgQw9F0wo+8VHD5fikdgKWtvtA0eFVwxwba9vWl0bcLi&#10;P/C8zz2jEJ9qrWDIOdacp25Ap9MqRPR0O4XJ6Uzj1HMz6YXCneVSiDV3evT0YdARdwN23/vZKZhn&#10;jG87aU+b5f3wfE058K/4qtT9XSmegGW85D8YfvVJHVpyOobZm8SsgkKWoiJWgVxTKSIKWdHiqGDz&#10;UAFvG/6/QvsDUEsDBBQAAAAIAIdO4kCIXLbrHwIAAG0EAAAOAAAAZHJzL2Uyb0RvYy54bWytVM2O&#10;0zAQviPxDpbvNGl3292Nmu6BUoSEYKWFB3AdJ7HkP43dJn0aJG48BI+DeA3GTijZhUMP5JB+45l8&#10;M/PNuOv7XityFOClNSWdz3JKhOG2kqYp6edPu1e3lPjATMWUNaKkJ+Hp/ebli3XnCrGwrVWVAIIk&#10;xhedK2kbgiuyzPNWaOZn1gmDztqCZgFNaLIKWIfsWmWLPF9lnYXKgeXCezzdDk46MsIlhLauJRdb&#10;yw9amDCwglAsYEu+lc7TTaq2rgUPH+vai0BUSbHTkN6YBPE+vrPNmhUNMNdKPpbALinhWU+aSYNJ&#10;z1RbFhg5gPyLSksO1ts6zLjV2dBIUgS7mOfPtHlsmROpF5Tau7Po/v/R8g/HByCywk3AuRumceI/&#10;v3z78f0rwQNUp3O+wKBH9wCj5RHGVvsadPzFJkifFD2dFRV9IBwP5/Pbm+slis3Rd5WvbvJlJM3+&#10;fO3Ah7fCahJBSQEnloRkx/c+DKG/Q2Iyb5WsdlKpZECzf62AHBlOd5eekf1JmDKkK+ndcrHEOhiu&#10;bI2rglA7bNubJuV78oWfEufp+RdxLGzLfDsUkBhiGCu0DAISagWr3piKhJNDZQ3eKBqL0aKiRAm8&#10;gBGlyMCkuiQStVMmJhFpvUeV4piGwUQU+n2PpBHubXXCCat3BrfmLl8uVngLknGN+IoSmHr2U8/B&#10;gWxaHMo8NR/ZcAvT9MYbE9d8aiOe/kts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LWBX1wAA&#10;AAoBAAAPAAAAAAAAAAEAIAAAACIAAABkcnMvZG93bnJldi54bWxQSwECFAAUAAAACACHTuJAiFy2&#10;6x8CAABtBAAADgAAAAAAAAABACAAAAAmAQAAZHJzL2Uyb0RvYy54bWxQSwUGAAAAAAYABgBZAQAA&#10;twUAAAAA&#10;">
                      <v:fill on="t" focussize="0,0"/>
                      <v:stroke color="#000000" joinstyle="miter"/>
                      <v:imagedata o:title=""/>
                      <o:lock v:ext="edit" aspectratio="f"/>
                      <v:textbox inset="7.12803149606299pt,3.5640157480315pt,7.12803149606299pt,3.5640157480315pt">
                        <w:txbxContent>
                          <w:p w14:paraId="79B70A45">
                            <w:pPr>
                              <w:jc w:val="center"/>
                              <w:rPr>
                                <w:szCs w:val="21"/>
                              </w:rPr>
                            </w:pPr>
                            <w:r>
                              <w:rPr>
                                <w:rFonts w:hint="eastAsia" w:eastAsia="宋体"/>
                                <w:szCs w:val="21"/>
                                <w:lang w:val="en-US" w:eastAsia="zh-CN"/>
                              </w:rPr>
                              <w:t>金属分选</w:t>
                            </w:r>
                          </w:p>
                        </w:txbxContent>
                      </v:textbox>
                    </v:rect>
                  </w:pict>
                </mc:Fallback>
              </mc:AlternateContent>
            </w:r>
          </w:p>
          <w:p w14:paraId="6B10917D">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sz w:val="20"/>
              </w:rPr>
              <mc:AlternateContent>
                <mc:Choice Requires="wps">
                  <w:drawing>
                    <wp:anchor distT="0" distB="0" distL="114300" distR="114300" simplePos="0" relativeHeight="251724800" behindDoc="0" locked="0" layoutInCell="1" allowOverlap="1">
                      <wp:simplePos x="0" y="0"/>
                      <wp:positionH relativeFrom="column">
                        <wp:posOffset>2240915</wp:posOffset>
                      </wp:positionH>
                      <wp:positionV relativeFrom="paragraph">
                        <wp:posOffset>21590</wp:posOffset>
                      </wp:positionV>
                      <wp:extent cx="454025" cy="0"/>
                      <wp:effectExtent l="0" t="50800" r="3175" b="63500"/>
                      <wp:wrapNone/>
                      <wp:docPr id="11" name="直接箭头连接符 11"/>
                      <wp:cNvGraphicFramePr/>
                      <a:graphic xmlns:a="http://schemas.openxmlformats.org/drawingml/2006/main">
                        <a:graphicData uri="http://schemas.microsoft.com/office/word/2010/wordprocessingShape">
                          <wps:wsp>
                            <wps:cNvCnPr>
                              <a:stCxn id="18" idx="3"/>
                            </wps:cNvCnPr>
                            <wps:spPr>
                              <a:xfrm>
                                <a:off x="3879215" y="193294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6.45pt;margin-top:1.7pt;height:0pt;width:35.75pt;z-index:251724800;mso-width-relative:page;mso-height-relative:page;" filled="f" stroked="t" coordsize="21600,21600" o:gfxdata="UEsDBAoAAAAAAIdO4kAAAAAAAAAAAAAAAAAEAAAAZHJzL1BLAwQUAAAACACHTuJAabBLLdgAAAAH&#10;AQAADwAAAGRycy9kb3ducmV2LnhtbE2OQUvDQBSE74L/YXmCF2k3jWmpMZseigpaEIyieNtmX5PQ&#10;7NuQ3bSpv96nF73NMMPMl61G24oD9r5xpGA2jUAglc40VCl4e72fLEH4oMno1hEqOKGHVX5+lunU&#10;uCO94KEIleAR8qlWUIfQpVL6skar/dR1SJztXG91YNtX0vT6yOO2lXEULaTVDfFDrTtc11jui8Eq&#10;WNPu82t8/Jg/v+8f7pZXTyfaDIVSlxez6BZEwDH8leEHn9EhZ6atG8h40Sq4nsc3XGWRgOA8iRMW&#10;218v80z+58+/AVBLAwQUAAAACACHTuJAIaQEzTcCAAA1BAAADgAAAGRycy9lMm9Eb2MueG1srVPN&#10;jtMwEL4j8Q6W7zRp2rJt1HQPLcsFwUrAA3gdJ7HkP3m8TfsSvAASJ+AEnPbO08DyGIyd7MIulz2Q&#10;Q2R7Zj5/883n9elBK7IXHqQ1FZ1OckqE4baWpq3o2zdnT5aUQGCmZsoaUdGjAHq6efxo3btSFLaz&#10;qhaeIIiBsncV7UJwZZYB74RmMLFOGAw21msWcOvbrPasR3StsiLPn2a99bXzlgsAPN0NQToi+ocA&#10;2qaRXOwsv9TChAHVC8UCtgSddEA3iW3TCB5eNQ2IQFRFsdOQ/ngJri/iP9usWdl65jrJRwrsIRTu&#10;9aSZNHjpLdSOBUYuvfwHSkvuLdgmTLjV2dBIUgS7mOb3tHndMSdSLyg1uFvR4f/B8pf7c09kjU6Y&#10;UmKYxolfv7/6+e7T9bevPz5e/fr+Ia6/fCYYR7F6ByXWbM25j+1C2B7MUI62kfWhorOYlt3Jixtw&#10;Q8Wh8TpWYuskZi9PVsV0QckRGaxmxWo+zkQcAuGYMF/M8wLjHBNSKGPlDYbzEJ4Lq0lcVBSCZ7Lt&#10;wtYag4O3fppGwvYvIEROrLwpiASMPZNKpfkrQ3q8vjjJ0RacoakbNBMutUNhwLSUMNXia+HBJ0iw&#10;StaxPGng24ut8mTP0GOzYjFbLYakjtViOF3k+CVdULIhPfG5gxPJ7Rh0QwkcYWfD4E8tAz45JXVF&#10;lxFplCgwqZ6ZmoSjw6kx720/3qHMOIJB9aj/ha2P5/5mNOimRGB0frTr3/tU/ee1b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bBLLdgAAAAHAQAADwAAAAAAAAABACAAAAAiAAAAZHJzL2Rvd25y&#10;ZXYueG1sUEsBAhQAFAAAAAgAh07iQCGkBM03AgAANQQAAA4AAAAAAAAAAQAgAAAAJwEAAGRycy9l&#10;Mm9Eb2MueG1sUEsFBgAAAAAGAAYAWQEAANAFAAA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698176" behindDoc="0" locked="0" layoutInCell="1" allowOverlap="1">
                      <wp:simplePos x="0" y="0"/>
                      <wp:positionH relativeFrom="character">
                        <wp:posOffset>-734695</wp:posOffset>
                      </wp:positionH>
                      <wp:positionV relativeFrom="line">
                        <wp:posOffset>185420</wp:posOffset>
                      </wp:positionV>
                      <wp:extent cx="635" cy="254000"/>
                      <wp:effectExtent l="37465" t="0" r="38100" b="12700"/>
                      <wp:wrapNone/>
                      <wp:docPr id="255" name="直接连接符 2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7.85pt;margin-top:14.6pt;height:20pt;width:0.05pt;mso-position-horizontal-relative:char;mso-position-vertical-relative:line;z-index:251698176;mso-width-relative:page;mso-height-relative:page;" filled="f" stroked="t" coordsize="21600,21600" o:gfxdata="UEsDBAoAAAAAAIdO4kAAAAAAAAAAAAAAAAAEAAAAZHJzL1BLAwQUAAAACACHTuJAgju5GdoAAAAL&#10;AQAADwAAAGRycy9kb3ducmV2LnhtbE2PwU7DMAyG70i8Q2QkbluaSpRS6u6ANC4boG0IbbesMW1F&#10;k1RJupW3JzuNo39/+v25XEy6ZydyvrMGQcwTYGRqqzrTIHzulrMcmA/SKNlbQwi/5GFR3d6UslD2&#10;bDZ02oaGxRLjC4nQhjAUnPu6JS393A5k4u7bOi1DHF3DlZPnWK57niZJxrXsTLzQyoFeWqp/tqNG&#10;2KyXq/xrNU61O7yK993H+m3vc8T7O5E8Aws0hSsMF/2oDlV0OtrRKM96hJkQD4+RRUifUmCRuCQZ&#10;sCNCFhNelfz/D9UfUEsDBBQAAAAIAIdO4kBEAv/uGgIAACoEAAAOAAAAZHJzL2Uyb0RvYy54bWyt&#10;U81uEzEQviPxDpbvZLeBVLDKpkIJ5VJBpcIDTLzeXQv/yeNkk5fgBZC4wYlj77wN5TEYO2nSFiH1&#10;wB5WY8/483zffJ6ebYxmaxlQOVvzk1HJmbTCNcp2Nf/44fzZS84wgm1AOytrvpXIz2ZPn0wHX8mx&#10;651uZGAEYrEafM37GH1VFCh6aQBHzktLydYFA5GWoSuaAAOhG12My/K0GFxofHBCItLuYpfke8Tw&#10;GEDXtkrIhRMrI23coQapIRIl7JVHPsvdtq0U8X3booxM15yYxvynSyhepn8xm0LVBfC9EvsW4DEt&#10;POBkQFm69AC1gAhsFdRfUEaJ4NC1cSScKXZEsiLE4qR8oM1VD15mLiQ1+oPo+P9gxbv1ZWCqqfl4&#10;MuHMgqGR33y5/vX52++fX+l/8+M7SykSavBYUf3cXoZEVWzslb9w4hMy6+Y92E6+Rk+Kk6tSeXGv&#10;Pi3Q705u2mASAtFnmzyL7WEWchOZoM3T59SOoP3x5EVZ5kEVUN2e9AHjW+kMS0HNtbJJJ6hgfYEx&#10;3Q3VbUna1pYNNX81GSdMINO2ZBYKjSfiaLt8Fp1WzbnSOp3A0C3nOrA1JOPkL3OizN2ydMkCsN/V&#10;5dTOUr2E5o1tWNx6EtTSS+KpBSMbzrSkh5eibL4ISh8rY1AkpP5HNdHSNrUns7X3XI/Spmjpmi2N&#10;dOWD6vp7syALZWX2dk8evbvOEzs+8d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ju5GdoAAAAL&#10;AQAADwAAAAAAAAABACAAAAAiAAAAZHJzL2Rvd25yZXYueG1sUEsBAhQAFAAAAAgAh07iQEQC/+4a&#10;AgAAKgQAAA4AAAAAAAAAAQAgAAAAKQEAAGRycy9lMm9Eb2MueG1sUEsFBgAAAAAGAAYAWQEAALUF&#10;AAAAAA==&#10;">
                      <v:fill on="f" focussize="0,0"/>
                      <v:stroke color="#000000" joinstyle="round" endarrow="block"/>
                      <v:imagedata o:title=""/>
                      <o:lock v:ext="edit" aspectratio="t"/>
                    </v:line>
                  </w:pict>
                </mc:Fallback>
              </mc:AlternateContent>
            </w:r>
          </w:p>
          <w:p w14:paraId="0FA24090">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35040" behindDoc="0" locked="0" layoutInCell="1" allowOverlap="1">
                      <wp:simplePos x="0" y="0"/>
                      <wp:positionH relativeFrom="column">
                        <wp:posOffset>2702560</wp:posOffset>
                      </wp:positionH>
                      <wp:positionV relativeFrom="paragraph">
                        <wp:posOffset>184785</wp:posOffset>
                      </wp:positionV>
                      <wp:extent cx="417830" cy="25717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17830" cy="257175"/>
                              </a:xfrm>
                              <a:prstGeom prst="rect">
                                <a:avLst/>
                              </a:prstGeom>
                              <a:noFill/>
                              <a:ln w="6350">
                                <a:noFill/>
                              </a:ln>
                              <a:effectLst/>
                            </wps:spPr>
                            <wps:txbx>
                              <w:txbxContent>
                                <w:p w14:paraId="7113B5DD">
                                  <w:pPr>
                                    <w:jc w:val="center"/>
                                    <w:rPr>
                                      <w:rFonts w:hint="default" w:eastAsia="宋体"/>
                                      <w:sz w:val="18"/>
                                      <w:szCs w:val="18"/>
                                      <w:lang w:val="en-US" w:eastAsia="zh-CN"/>
                                    </w:rPr>
                                  </w:pPr>
                                  <w:r>
                                    <w:rPr>
                                      <w:rFonts w:hint="eastAsia" w:eastAsia="宋体"/>
                                      <w:sz w:val="18"/>
                                      <w:szCs w:val="18"/>
                                      <w:lang w:val="en-US" w:eastAsia="zh-CN"/>
                                    </w:rPr>
                                    <w:t>S、W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8pt;margin-top:14.55pt;height:20.25pt;width:32.9pt;z-index:251735040;mso-width-relative:page;mso-height-relative:page;" filled="f" stroked="f" coordsize="21600,21600" o:gfxdata="UEsDBAoAAAAAAIdO4kAAAAAAAAAAAAAAAAAEAAAAZHJzL1BLAwQUAAAACACHTuJAhDpyA9sAAAAJ&#10;AQAADwAAAGRycy9kb3ducmV2LnhtbE2PTUvDQBCG74L/YRnBm90kpKGJmRQJFEH00NqLt0l2mgSz&#10;uzG7/dBf73qyx+F9eN9nyvVFj+LEsxusQYgXEQg2rVWD6RD275uHFQjnySgarWGEb3awrm5vSiqU&#10;PZstn3a+E6HEuIIQeu+nQkrX9qzJLezEJmQHO2vy4Zw7qWY6h3I9yiSKMqlpMGGhp4nrntvP3VEj&#10;vNSbN9o2iV79jPXz6+Fp+tp/LBHv7+LoEYTni/+H4U8/qEMVnBp7NMqJESFNlllAEZI8BhGANI9T&#10;EA1Clmcgq1Jef1D9AlBLAwQUAAAACACHTuJApyHnuUICAAB1BAAADgAAAGRycy9lMm9Eb2MueG1s&#10;rVTBbhMxEL0j8Q+W73STNCEl6qYKrYqQKlqpIM6O19tdyfYY2+lu+QD4A05cuPNd/Q6evUlaFQ49&#10;cHHGM7Nv5r0Z5/ikN5rdKh9asiUfH4w4U1ZS1dqbkn/6eP7qiLMQha2EJqtKfqcCP1m+fHHcuYWa&#10;UEO6Up4BxIZF50rexOgWRRFko4wIB+SURbAmb0TE1d8UlRcd0I0uJqPR66IjXzlPUoUA79kQ5FtE&#10;/xxAqutWqjOSG6NsHFC90iKCUmhaF/gyd1vXSsbLug4qMl1yMI35RBHY63QWy2OxuPHCNa3ctiCe&#10;08ITTka0FkX3UGciCrbx7V9QppWeAtXxQJIpBiJZEbAYj55oc90IpzIXSB3cXvTw/2Dlh9srz9qq&#10;5JMpZ1YYTPz+x/f7n7/vf31j8EGgzoUF8q4dMmP/lnqszc4f4Ey8+9qb9AtGDHHIe7eXV/WRSTin&#10;4/nRISISoclsPp7PEkrx8LHzIb5TZFgySu4xvSyquL0IcUjdpaRals5brfMEtWVdyV8fzkb5g30E&#10;4NqmXJV3YQuTCA2NJyv2637Lck3VHUh6GvYkOHneopULEeKV8FgMdI+nEy9x1JpQkrYWZw35r//y&#10;p3zMC1HOOixaycOXjfCKM/3eYpJvxtMpYGO+TGfzCS7+cWT9OGI35pSwy2M8UiezmfKj3pm1J/MZ&#10;L2yVqiIkrETtksedeRqH9ccLlWq1yknYRSfihb12MkEP4q42keo2655kGrTBvNIF25gnt305ad0f&#10;33PWw7/F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EOnID2wAAAAkBAAAPAAAAAAAAAAEAIAAA&#10;ACIAAABkcnMvZG93bnJldi54bWxQSwECFAAUAAAACACHTuJApyHnuUICAAB1BAAADgAAAAAAAAAB&#10;ACAAAAAqAQAAZHJzL2Uyb0RvYy54bWxQSwUGAAAAAAYABgBZAQAA3gUAAAAA&#10;">
                      <v:fill on="f" focussize="0,0"/>
                      <v:stroke on="f" weight="0.5pt"/>
                      <v:imagedata o:title=""/>
                      <o:lock v:ext="edit" aspectratio="f"/>
                      <v:textbox>
                        <w:txbxContent>
                          <w:p w14:paraId="7113B5DD">
                            <w:pPr>
                              <w:jc w:val="center"/>
                              <w:rPr>
                                <w:rFonts w:hint="default" w:eastAsia="宋体"/>
                                <w:sz w:val="18"/>
                                <w:szCs w:val="18"/>
                                <w:lang w:val="en-US" w:eastAsia="zh-CN"/>
                              </w:rPr>
                            </w:pPr>
                            <w:r>
                              <w:rPr>
                                <w:rFonts w:hint="eastAsia" w:eastAsia="宋体"/>
                                <w:sz w:val="18"/>
                                <w:szCs w:val="18"/>
                                <w:lang w:val="en-US" w:eastAsia="zh-CN"/>
                              </w:rPr>
                              <w:t>S、W</w:t>
                            </w:r>
                          </w:p>
                        </w:txbxContent>
                      </v:textbox>
                    </v:shape>
                  </w:pict>
                </mc:Fallback>
              </mc:AlternateContent>
            </w:r>
            <w:r>
              <w:rPr>
                <w:color w:val="auto"/>
              </w:rPr>
              <mc:AlternateContent>
                <mc:Choice Requires="wps">
                  <w:drawing>
                    <wp:anchor distT="0" distB="0" distL="114300" distR="114300" simplePos="0" relativeHeight="251699200" behindDoc="0" locked="0" layoutInCell="1" allowOverlap="1">
                      <wp:simplePos x="0" y="0"/>
                      <wp:positionH relativeFrom="character">
                        <wp:posOffset>-1335405</wp:posOffset>
                      </wp:positionH>
                      <wp:positionV relativeFrom="line">
                        <wp:posOffset>153670</wp:posOffset>
                      </wp:positionV>
                      <wp:extent cx="1187450" cy="306705"/>
                      <wp:effectExtent l="4445" t="5080" r="8255" b="12065"/>
                      <wp:wrapNone/>
                      <wp:docPr id="260" name="矩形 260"/>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E13F13">
                                  <w:pPr>
                                    <w:jc w:val="center"/>
                                    <w:rPr>
                                      <w:rFonts w:hint="default"/>
                                      <w:lang w:val="en-US" w:eastAsia="zh-CN"/>
                                    </w:rPr>
                                  </w:pPr>
                                  <w:r>
                                    <w:rPr>
                                      <w:rFonts w:hint="eastAsia" w:eastAsia="宋体"/>
                                      <w:szCs w:val="21"/>
                                      <w:lang w:val="en-US" w:eastAsia="zh-CN"/>
                                    </w:rPr>
                                    <w:t>水</w:t>
                                  </w:r>
                                  <w:r>
                                    <w:rPr>
                                      <w:rFonts w:hint="eastAsia"/>
                                      <w:szCs w:val="21"/>
                                    </w:rPr>
                                    <w:t>浮</w:t>
                                  </w:r>
                                  <w:r>
                                    <w:rPr>
                                      <w:rFonts w:hint="eastAsia" w:eastAsia="宋体"/>
                                      <w:szCs w:val="21"/>
                                      <w:lang w:val="en-US" w:eastAsia="zh-CN"/>
                                    </w:rPr>
                                    <w:t>初</w:t>
                                  </w:r>
                                  <w:r>
                                    <w:rPr>
                                      <w:rFonts w:hint="eastAsia"/>
                                      <w:szCs w:val="21"/>
                                    </w:rPr>
                                    <w:t>洗</w:t>
                                  </w:r>
                                </w:p>
                              </w:txbxContent>
                            </wps:txbx>
                            <wps:bodyPr lIns="90526" tIns="45263" rIns="90526" bIns="45263" upright="1"/>
                          </wps:wsp>
                        </a:graphicData>
                      </a:graphic>
                    </wp:anchor>
                  </w:drawing>
                </mc:Choice>
                <mc:Fallback>
                  <w:pict>
                    <v:rect id="_x0000_s1026" o:spid="_x0000_s1026" o:spt="1" style="position:absolute;left:0pt;margin-left:-105.15pt;margin-top:12.1pt;height:24.15pt;width:93.5pt;mso-position-horizontal-relative:char;mso-position-vertical-relative:line;z-index:251699200;mso-width-relative:page;mso-height-relative:page;" fillcolor="#FFFFFF" filled="t" stroked="t" coordsize="21600,21600" o:gfxdata="UEsDBAoAAAAAAIdO4kAAAAAAAAAAAAAAAAAEAAAAZHJzL1BLAwQUAAAACACHTuJAyzyeZdcAAAAK&#10;AQAADwAAAGRycy9kb3ducmV2LnhtbE2PPU/DMBCGdyT+g3VIbKkdFyhKc+lQhMTAAKViduNrEtVf&#10;ip2m/feYCca7e/Te89abizXsTGMcvEMoFwIYudbrwXUI+6/X4hlYTMppZbwjhCtF2DS3N7WqtJ/d&#10;J513qWM5xMVKIfQphYrz2PZkVVz4QC7fjn60KuVx7Lge1ZzDreFSiCdu1eDyh14F2vbUnnaTRZgm&#10;Cu9baY6r+WP/co3J8+/whnh/V4o1sESX9AfDr35WhyY7HfzkdGQGoZClWGYWQT5IYJko5DIvDggr&#10;+Qi8qfn/Cs0PUEsDBBQAAAAIAIdO4kD2a5k7IAIAAG8EAAAOAAAAZHJzL2Uyb0RvYy54bWytVM2O&#10;0zAQviPxDpbvNGl3292Nmu6BUoSEYKWFB3CdSWLJf7LdJn0aJG48BI+DeA3GTijZhUMP5JB+45l8&#10;M/PNuOv7XklyBOeF0SWdz3JKQHNTCd2U9POn3atbSnxgumLSaCjpCTy937x8se5sAQvTGlmBI0ii&#10;fdHZkrYh2CLLPG9BMT8zFjQ6a+MUC2i6Jqsc65BdyWyR56usM66yznDwHk+3g5OOjO4SQlPXgsPW&#10;8IMCHQZWB5IFbMm3wnq6SdXWNfDwsa49BCJLip2G9MYkiPfxnW3WrGgcs63gYwnskhKe9aSY0Jj0&#10;TLVlgZGDE39RKcGd8aYOM25UNjSSFMEu5vkzbR5bZiH1glJ7exbd/z9a/uH44IioSrpYoSaaKRz5&#10;zy/ffnz/SuIJ6tNZX2DYo31wo+URxmb72qn4i22QPml6OmsKfSAcD+fz25vrJVJz9F3lq5t8GUmz&#10;P19b58NbMIpEUFKHM0tSsuN7H4bQ3yExmTdSVDshZTJcs38tHTkynO8uPSP7kzCpSVfSu+ViiXUw&#10;XNoalwWhsti4103K9+QLPyXO0/Mv4ljYlvl2KCAxxDBWKBHAJdQCq97oioSTRWk13ikai1FQUSIB&#10;r2BEKTIwIS+JRO2kjkkgLfioUhzTMJiIQr/vkTTCvalOOGP5TuPe3OXLxQrvQTKuEV9R4qae/dRz&#10;sE40LQ5lnpqPbLiHaXrjnYmLPrURT/8nN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zyeZdcA&#10;AAAKAQAADwAAAAAAAAABACAAAAAiAAAAZHJzL2Rvd25yZXYueG1sUEsBAhQAFAAAAAgAh07iQPZr&#10;mTsgAgAAbwQAAA4AAAAAAAAAAQAgAAAAJgEAAGRycy9lMm9Eb2MueG1sUEsFBgAAAAAGAAYAWQEA&#10;ALgFAAAAAA==&#10;">
                      <v:fill on="t" focussize="0,0"/>
                      <v:stroke color="#000000" joinstyle="miter"/>
                      <v:imagedata o:title=""/>
                      <o:lock v:ext="edit" aspectratio="f"/>
                      <v:textbox inset="7.12803149606299pt,3.5640157480315pt,7.12803149606299pt,3.5640157480315pt">
                        <w:txbxContent>
                          <w:p w14:paraId="67E13F13">
                            <w:pPr>
                              <w:jc w:val="center"/>
                              <w:rPr>
                                <w:rFonts w:hint="default"/>
                                <w:lang w:val="en-US" w:eastAsia="zh-CN"/>
                              </w:rPr>
                            </w:pPr>
                            <w:r>
                              <w:rPr>
                                <w:rFonts w:hint="eastAsia" w:eastAsia="宋体"/>
                                <w:szCs w:val="21"/>
                                <w:lang w:val="en-US" w:eastAsia="zh-CN"/>
                              </w:rPr>
                              <w:t>水</w:t>
                            </w:r>
                            <w:r>
                              <w:rPr>
                                <w:rFonts w:hint="eastAsia"/>
                                <w:szCs w:val="21"/>
                              </w:rPr>
                              <w:t>浮</w:t>
                            </w:r>
                            <w:r>
                              <w:rPr>
                                <w:rFonts w:hint="eastAsia" w:eastAsia="宋体"/>
                                <w:szCs w:val="21"/>
                                <w:lang w:val="en-US" w:eastAsia="zh-CN"/>
                              </w:rPr>
                              <w:t>初</w:t>
                            </w:r>
                            <w:r>
                              <w:rPr>
                                <w:rFonts w:hint="eastAsia"/>
                                <w:szCs w:val="21"/>
                              </w:rPr>
                              <w:t>洗</w:t>
                            </w:r>
                          </w:p>
                        </w:txbxContent>
                      </v:textbox>
                    </v:rect>
                  </w:pict>
                </mc:Fallback>
              </mc:AlternateContent>
            </w:r>
            <w:r>
              <w:rPr>
                <w:color w:val="auto"/>
              </w:rPr>
              <mc:AlternateContent>
                <mc:Choice Requires="wps">
                  <w:drawing>
                    <wp:anchor distT="0" distB="0" distL="114300" distR="114300" simplePos="0" relativeHeight="251750400" behindDoc="1" locked="0" layoutInCell="1" allowOverlap="1">
                      <wp:simplePos x="0" y="0"/>
                      <wp:positionH relativeFrom="character">
                        <wp:posOffset>-2329180</wp:posOffset>
                      </wp:positionH>
                      <wp:positionV relativeFrom="line">
                        <wp:posOffset>163830</wp:posOffset>
                      </wp:positionV>
                      <wp:extent cx="607060" cy="306705"/>
                      <wp:effectExtent l="0" t="0" r="2540" b="17145"/>
                      <wp:wrapNone/>
                      <wp:docPr id="38" name="矩形 38"/>
                      <wp:cNvGraphicFramePr/>
                      <a:graphic xmlns:a="http://schemas.openxmlformats.org/drawingml/2006/main">
                        <a:graphicData uri="http://schemas.microsoft.com/office/word/2010/wordprocessingShape">
                          <wps:wsp>
                            <wps:cNvSpPr/>
                            <wps:spPr>
                              <a:xfrm>
                                <a:off x="0" y="0"/>
                                <a:ext cx="607060" cy="306705"/>
                              </a:xfrm>
                              <a:prstGeom prst="rect">
                                <a:avLst/>
                              </a:prstGeom>
                              <a:solidFill>
                                <a:srgbClr val="FFFFFF"/>
                              </a:solidFill>
                              <a:ln w="9525" cap="flat" cmpd="sng">
                                <a:noFill/>
                                <a:prstDash val="solid"/>
                                <a:miter/>
                                <a:headEnd type="none" w="med" len="med"/>
                                <a:tailEnd type="none" w="med" len="med"/>
                              </a:ln>
                              <a:effectLst/>
                            </wps:spPr>
                            <wps:txbx>
                              <w:txbxContent>
                                <w:p w14:paraId="6715BD9A">
                                  <w:pPr>
                                    <w:jc w:val="center"/>
                                    <w:rPr>
                                      <w:rFonts w:hint="default"/>
                                      <w:szCs w:val="21"/>
                                      <w:lang w:val="en-US"/>
                                    </w:rPr>
                                  </w:pPr>
                                  <w:r>
                                    <w:rPr>
                                      <w:rFonts w:hint="eastAsia" w:eastAsia="宋体"/>
                                      <w:szCs w:val="21"/>
                                      <w:lang w:val="en-US" w:eastAsia="zh-CN"/>
                                    </w:rPr>
                                    <w:t>工业盐</w:t>
                                  </w:r>
                                </w:p>
                              </w:txbxContent>
                            </wps:txbx>
                            <wps:bodyPr lIns="90526" tIns="45263" rIns="90526" bIns="45263" upright="1"/>
                          </wps:wsp>
                        </a:graphicData>
                      </a:graphic>
                    </wp:anchor>
                  </w:drawing>
                </mc:Choice>
                <mc:Fallback>
                  <w:pict>
                    <v:rect id="_x0000_s1026" o:spid="_x0000_s1026" o:spt="1" style="position:absolute;left:0pt;margin-left:-183.4pt;margin-top:12.9pt;height:24.15pt;width:47.8pt;mso-position-horizontal-relative:char;mso-position-vertical-relative:line;z-index:-251566080;mso-width-relative:page;mso-height-relative:page;" fillcolor="#FFFFFF" filled="t" stroked="f" coordsize="21600,21600" o:gfxdata="UEsDBAoAAAAAAIdO4kAAAAAAAAAAAAAAAAAEAAAAZHJzL1BLAwQUAAAACACHTuJAYTK7x9sAAAAL&#10;AQAADwAAAGRycy9kb3ducmV2LnhtbE2PQU+EMBCF7yb+h2ZMvLEFdMEgwx7YuIkHE1z0XmgFIp0S&#10;WnZxf/3Wk54mL/Py3vfy3apHdlKzHQwhRJsQmKLWyIE6hI/6JXgCZp0gKUZDCuFHWdgVtze5yKQ5&#10;07s6HV3HfAjZTCD0zk0Z57btlRZ2YyZF/vdlZi2cl3PH5SzOPlyPPA7DhGsxkG/oxaTKXrXfx0Uj&#10;NCs/HKr68lnW5T59W6rXal9tEe/vovAZmFOr+zPDL75Hh8IzNWYhadmIEDwkiWd3CPHWX+8I4jSK&#10;gTUI6WMEvMj5/w3FFVBLAwQUAAAACACHTuJAhWOqbxgCAABDBAAADgAAAGRycy9lMm9Eb2MueG1s&#10;rVPNjtMwEL4j8Q6W7zRpS7ts1HQPlCIkBCstPMDUdhJL/pPtNunTIHHjIXgcxGswdkIpy2UP5JDM&#10;eCbf+PtmZnM3aEVOwgdpTU3ns5ISYZjl0rQ1/fxp/+IVJSGC4aCsETU9i0Dvts+fbXpXiYXtrOLC&#10;EwQxoepdTbsYXVUUgXVCQ5hZJwwGG+s1RHR9W3APPaJrVSzKcl301nPnLRMh4OluDNIJ0T8F0DaN&#10;ZGJn2VELE0dULxREpBQ66QLd5ts2jWDxY9MEEYmqKTKN+Y1F0D6kd7HdQNV6cJ1k0xXgKVd4xEmD&#10;NFj0ArWDCOTo5T9QWjJvg23ijFldjESyIshiXj7S5qEDJzIXlDq4i+jh/8GyD6d7TySv6RL7bkBj&#10;x39++fbj+1eCB6hO70KFSQ/u3k9eQDNRHRqv0xdJkCErer4oKoZIGB6uy5tyjVozDC3L9U25SpjF&#10;n5+dD/GtsJoko6YeG5Z1hNP7EMfU3ympVrBK8r1UKju+PbxWnpwAm7vPz4T+V5oypK/p7WqxwnsA&#10;TmyDk4Kmdsg6mDbXMzahYkGoUr0dhG7EzVAJFioto0giQNUJ4G8MJ/HsUC+De0JTDS04JUrgWiUr&#10;Z0aQ6imZKIkyCVrkoZ3IJ/FHuZMVh8OAoMk8WH7Gvql3Bmfhtlwt1jjb2XmJ9pISfx05XEeOzsu2&#10;Q63nWayEhrOVmzLtQRreax/t693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hMrvH2wAAAAsB&#10;AAAPAAAAAAAAAAEAIAAAACIAAABkcnMvZG93bnJldi54bWxQSwECFAAUAAAACACHTuJAhWOqbxgC&#10;AABDBAAADgAAAAAAAAABACAAAAAqAQAAZHJzL2Uyb0RvYy54bWxQSwUGAAAAAAYABgBZAQAAtAUA&#10;AAAA&#10;">
                      <v:fill on="t" focussize="0,0"/>
                      <v:stroke on="f" joinstyle="miter"/>
                      <v:imagedata o:title=""/>
                      <o:lock v:ext="edit" aspectratio="f"/>
                      <v:textbox inset="7.12803149606299pt,3.5640157480315pt,7.12803149606299pt,3.5640157480315pt">
                        <w:txbxContent>
                          <w:p w14:paraId="6715BD9A">
                            <w:pPr>
                              <w:jc w:val="center"/>
                              <w:rPr>
                                <w:rFonts w:hint="default"/>
                                <w:szCs w:val="21"/>
                                <w:lang w:val="en-US"/>
                              </w:rPr>
                            </w:pPr>
                            <w:r>
                              <w:rPr>
                                <w:rFonts w:hint="eastAsia" w:eastAsia="宋体"/>
                                <w:szCs w:val="21"/>
                                <w:lang w:val="en-US" w:eastAsia="zh-CN"/>
                              </w:rPr>
                              <w:t>工业盐</w:t>
                            </w:r>
                          </w:p>
                        </w:txbxContent>
                      </v:textbox>
                    </v:rect>
                  </w:pict>
                </mc:Fallback>
              </mc:AlternateContent>
            </w:r>
          </w:p>
          <w:p w14:paraId="46235B17">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49376" behindDoc="1" locked="0" layoutInCell="1" allowOverlap="1">
                      <wp:simplePos x="0" y="0"/>
                      <wp:positionH relativeFrom="column">
                        <wp:posOffset>701040</wp:posOffset>
                      </wp:positionH>
                      <wp:positionV relativeFrom="paragraph">
                        <wp:posOffset>26035</wp:posOffset>
                      </wp:positionV>
                      <wp:extent cx="361950" cy="0"/>
                      <wp:effectExtent l="0" t="38100" r="0" b="38100"/>
                      <wp:wrapNone/>
                      <wp:docPr id="37" name="直接箭头连接符 37"/>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9525"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55.2pt;margin-top:2.05pt;height:0pt;width:28.5pt;z-index:-251567104;mso-width-relative:page;mso-height-relative:page;" filled="f" stroked="t" coordsize="21600,21600" o:gfxdata="UEsDBAoAAAAAAIdO4kAAAAAAAAAAAAAAAAAEAAAAZHJzL1BLAwQUAAAACACHTuJAg9Ecl9QAAAAH&#10;AQAADwAAAGRycy9kb3ducmV2LnhtbE2OTU/DMBBE70j8B2uRuFE7qAoQ4lSCCpELSG1R1aObLLFF&#10;vI5i94tfz5YLHJ9mNPPK2dH3Yo9jdIE0ZBMFAqkJraNOw8fq5eYeREyGWtMHQg0njDCrLi9KU7Th&#10;QAvcL1MneIRiYTTYlIZCythY9CZOwoDE2WcYvUmMYyfb0Rx43PfyVqlceuOIH6wZ8Nli87XceQ1p&#10;vjnZfN08Pbj31etb7r7rup5rfX2VqUcQCY/prwxnfVaHip22YUdtFD1zpqZc1TDNQJzz/I55+8uy&#10;KuV//+oHUEsDBBQAAAAIAIdO4kAl+JZQCQIAAOsDAAAOAAAAZHJzL2Uyb0RvYy54bWytU82O0zAQ&#10;viPxDpbvNG1XXdiq6R5alguCSsADuI6TWPKfZrxN+xK8ABIn4AR72jtPA8tjMHayZVkueyAHZ5zx&#10;fDPf5y+L8701bKcAtXcln4zGnCknfaVdU/J3by+ePOMMo3CVMN6pkh8U8vPl40eLLszV1LfeVAoY&#10;gTicd6HkbYxhXhQoW2UFjnxQjpK1BysibaEpKhAdoVtTTMfj06LzUAXwUiHS13Wf5AMiPATQ17WW&#10;au3lpVUu9qigjIhECVsdkC/ztHWtZHxd16giMyUnpjGv1ITibVqL5ULMGxCh1XIYQTxkhHucrNCO&#10;mh6h1iIKdgn6HyirJXj0dRxJb4ueSFaEWEzG97R504qgMheSGsNRdPx/sPLVbgNMVyU/ecqZE5Zu&#10;/ObD9c/3n2+uvv34dP3r+8cUf/3CKE9idQHnVLNyGxh2GDaQmO9rsOlNnNg+C3w4Cqz2kUn6eHI6&#10;OZuR9PI2VfypC4DxhfKWpaDkGEHopo0r7xzdoodJ1lfsXmKkzlR4W5CaOn+hjcmXaRzrSn42m86o&#10;jyCD1mQMCm0gkugazoRpyPkyQkZEb3SVqhMOQrNdGWA7kfySn8Sauv11LLVeC2z7cznVOykKbZ67&#10;isVDICEjaOEao3iayKqKM6Ooc4p6UONSU5V9OvBKAveSpmjrq0NWukg78kCeZfBrMtndPcV3/9H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PRHJfUAAAABwEAAA8AAAAAAAAAAQAgAAAAIgAAAGRy&#10;cy9kb3ducmV2LnhtbFBLAQIUABQAAAAIAIdO4kAl+JZQCQIAAOsDAAAOAAAAAAAAAAEAIAAAACMB&#10;AABkcnMvZTJvRG9jLnhtbFBLBQYAAAAABgAGAFkBAACeBQAAAAA=&#10;">
                      <v:fill on="f" focussize="0,0"/>
                      <v:stroke color="#000000" joinstyle="round" endarrow="block"/>
                      <v:imagedata o:title=""/>
                      <o:lock v:ext="edit" aspectratio="f"/>
                    </v:shape>
                  </w:pict>
                </mc:Fallback>
              </mc:AlternateContent>
            </w:r>
            <w:r>
              <w:rPr>
                <w:color w:val="auto"/>
                <w:sz w:val="20"/>
              </w:rPr>
              <mc:AlternateContent>
                <mc:Choice Requires="wps">
                  <w:drawing>
                    <wp:anchor distT="0" distB="0" distL="114300" distR="114300" simplePos="0" relativeHeight="251725824" behindDoc="0" locked="0" layoutInCell="1" allowOverlap="1">
                      <wp:simplePos x="0" y="0"/>
                      <wp:positionH relativeFrom="column">
                        <wp:posOffset>2259965</wp:posOffset>
                      </wp:positionH>
                      <wp:positionV relativeFrom="paragraph">
                        <wp:posOffset>27305</wp:posOffset>
                      </wp:positionV>
                      <wp:extent cx="454025" cy="0"/>
                      <wp:effectExtent l="0" t="50800" r="3175" b="63500"/>
                      <wp:wrapNone/>
                      <wp:docPr id="12" name="直接箭头连接符 12"/>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7.95pt;margin-top:2.15pt;height:0pt;width:35.75pt;z-index:251725824;mso-width-relative:page;mso-height-relative:page;" filled="f" stroked="t" coordsize="21600,21600" o:gfxdata="UEsDBAoAAAAAAIdO4kAAAAAAAAAAAAAAAAAEAAAAZHJzL1BLAwQUAAAACACHTuJAADhWZNkAAAAH&#10;AQAADwAAAGRycy9kb3ducmV2LnhtbE2OwUrDQBRF94L/MDzBjdhJ20RrzKSLooIVBKMo7l4zr0lo&#10;5k3ITNrUr3d0o8vLvZx7suVoWrGn3jWWFUwnEQji0uqGKwVvr/eXCxDOI2tsLZOCIzlY5qcnGaba&#10;HviF9oWvRICwS1FB7X2XSunKmgy6ie2IQ7e1vUEfYl9J3eMhwE0rZ1F0JQ02HB5q7GhVU7krBqNg&#10;xdvPr/HxI3l+3z3cLS7WR34aCqXOz6bRLQhPo/8bw49+UIc8OG3swNqJVsE8SW7CVEE8BxH6eHYd&#10;g9j8Zpln8r9//g1QSwMEFAAAAAgAh07iQAMi3W0XAgAAAgQAAA4AAABkcnMvZTJvRG9jLnhtbK1T&#10;zY7TMBC+I/EOlu802e4WlqrpHlqWC4JKwAO4jpNY8p9mvE37ErwAEifgBJz2ztPA8hiMneyPlsse&#10;yCEZ25lv5vvm8+Jsbw3bKUDtXcWPJiVnyklfa9dW/P278yennGEUrhbGO1Xxg0J+tnz8aNGHuZr6&#10;zptaASMQh/M+VLyLMcyLAmWnrMCJD8rRYePBikhLaIsaRE/o1hTTsnxa9B7qAF4qRNpdD4d8RISH&#10;APqm0VKtvbywysUBFZQRkShhpwPyZe62aZSMb5oGVWSm4sQ05jcVoXib3sVyIeYtiNBpObYgHtLC&#10;PU5WaEdFb6DWIgp2AfofKKslePRNnEhvi4FIVoRYHJX3tHnbiaAyF5Iaw43o+P9g5evdBpiuyQlT&#10;zpywNPGrj5e/P3y5+vH91+fLPz8/pfjbV0bnJFYfcE45K7eBcYVhA4n5vgGbvsSJ7bPAhxuB1T4y&#10;SZsns5NyOuNMXh8Vt3kBML5U3rIUVBwjCN12ceWdoyl6OMr6it0rjFSZEq8TUlHnz7UxeZjGsT6x&#10;eVbSjKUghzbkDAptIJboWs6Eacn6MkKGRG90ndITEEK7XRlgO0GGOZ7Ojp/Php86Uathd1bSk7Sg&#10;Hsbfh/guTmpuLbAbUvCAax8Hs1kd6f4YbSt+mpBGD0ahzQtXs3gINAIB4PuxhnEEn3QflE7R1teH&#10;PIC8T9bIDYw2Tt67u87Zt1d3+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OFZk2QAAAAcBAAAP&#10;AAAAAAAAAAEAIAAAACIAAABkcnMvZG93bnJldi54bWxQSwECFAAUAAAACACHTuJAAyLdbRcCAAAC&#10;BAAADgAAAAAAAAABACAAAAAoAQAAZHJzL2Uyb0RvYy54bWxQSwUGAAAAAAYABgBZAQAAsQUAA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00224" behindDoc="0" locked="0" layoutInCell="1" allowOverlap="1">
                      <wp:simplePos x="0" y="0"/>
                      <wp:positionH relativeFrom="character">
                        <wp:posOffset>-725170</wp:posOffset>
                      </wp:positionH>
                      <wp:positionV relativeFrom="line">
                        <wp:posOffset>173990</wp:posOffset>
                      </wp:positionV>
                      <wp:extent cx="635" cy="254000"/>
                      <wp:effectExtent l="37465" t="0" r="38100" b="12700"/>
                      <wp:wrapNone/>
                      <wp:docPr id="256" name="直接连接符 2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7.1pt;margin-top:13.7pt;height:20pt;width:0.05pt;mso-position-horizontal-relative:char;mso-position-vertical-relative:line;z-index:251700224;mso-width-relative:page;mso-height-relative:page;" filled="f" stroked="t" coordsize="21600,21600" o:gfxdata="UEsDBAoAAAAAAIdO4kAAAAAAAAAAAAAAAAAEAAAAZHJzL1BLAwQUAAAACACHTuJA2Vwa6doAAAAL&#10;AQAADwAAAGRycy9kb3ducmV2LnhtbE2PwU7DMAyG70i8Q2QkbluaahpVqbsD0rhsgLYhBLesCW1F&#10;41RNupW3xzuNo39/+v25WE2uEyc7hNYTgponICxV3rRUI7wf1rMMRIiajO48WYRfG2BV3t4UOjf+&#10;TDt72sdacAmFXCM0Mfa5lKFqrNNh7ntLvPv2g9ORx6GWZtBnLnedTJNkKZ1uiS80urdPja1+9qND&#10;2G3Xm+xjM07V8PWsXg9v25fPkCHe36nkEUS0U7zCcNFndSjZ6ehHMkF0CDOlFimzCOnDAgQTl0SB&#10;OCIsOZFlIf//UP4BUEsDBBQAAAAIAIdO4kCJeMeVGwIAACoEAAAOAAAAZHJzL2Uyb0RvYy54bWyt&#10;U81uEzEQviPxDpbvZLeBVLDKpkIJ5VJBpcIDTLzeXQv/yeNkk5fgBZC4wYlj77wN5TEYO2nSFiH1&#10;wB5WY8/483zffJ6ebYxmaxlQOVvzk1HJmbTCNcp2Nf/44fzZS84wgm1AOytrvpXIz2ZPn0wHX8mx&#10;651uZGAEYrEafM37GH1VFCh6aQBHzktLydYFA5GWoSuaAAOhG12My/K0GFxofHBCItLuYpfke8Tw&#10;GEDXtkrIhRMrI23coQapIRIl7JVHPsvdtq0U8X3booxM15yYxvynSyhepn8xm0LVBfC9EvsW4DEt&#10;POBkQFm69AC1gAhsFdRfUEaJ4NC1cSScKXZEsiLE4qR8oM1VD15mLiQ1+oPo+P9gxbv1ZWCqqfl4&#10;csqZBUMjv/ly/evzt98/v9L/5sd3llIk1OCxovq5vQyJqtjYK3/hxCdk1s17sJ18jZ4UJ1el8uJe&#10;fVqg353ctMEkBKLPNnkW28Ms5CYyQZunzyecCdofT16UZR5UAdXtSR8wvpXOsBTUXCubdIIK1hcY&#10;091Q3ZakbW3ZUPNXk3HCBDJtS2ah0HgijrbLZ9Fp1ZwrrdMJDN1yrgNbQzJO/jInytwtS5csAPtd&#10;XU7tLNVLaN7YhsWtJ0EtvSSeWjCy4UxLengpyuaLoPSxMgZFQup/VBMtbVN7Mlt7z/UobYqWrtnS&#10;SFc+qK6/NwuyUFZmb/fk0bvrPLHjE5/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lcGunaAAAA&#10;CwEAAA8AAAAAAAAAAQAgAAAAIgAAAGRycy9kb3ducmV2LnhtbFBLAQIUABQAAAAIAIdO4kCJeMeV&#10;GwIAACoEAAAOAAAAAAAAAAEAIAAAACkBAABkcnMvZTJvRG9jLnhtbFBLBQYAAAAABgAGAFkBAAC2&#10;BQAAAAA=&#10;">
                      <v:fill on="f" focussize="0,0"/>
                      <v:stroke color="#000000" joinstyle="round" endarrow="block"/>
                      <v:imagedata o:title=""/>
                      <o:lock v:ext="edit" aspectratio="t"/>
                    </v:line>
                  </w:pict>
                </mc:Fallback>
              </mc:AlternateContent>
            </w:r>
          </w:p>
          <w:p w14:paraId="40A9B6C5">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36064" behindDoc="0" locked="0" layoutInCell="1" allowOverlap="1">
                      <wp:simplePos x="0" y="0"/>
                      <wp:positionH relativeFrom="column">
                        <wp:posOffset>2616835</wp:posOffset>
                      </wp:positionH>
                      <wp:positionV relativeFrom="paragraph">
                        <wp:posOffset>142875</wp:posOffset>
                      </wp:positionV>
                      <wp:extent cx="417830" cy="25717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17830" cy="257175"/>
                              </a:xfrm>
                              <a:prstGeom prst="rect">
                                <a:avLst/>
                              </a:prstGeom>
                              <a:noFill/>
                              <a:ln w="6350">
                                <a:noFill/>
                              </a:ln>
                              <a:effectLst/>
                            </wps:spPr>
                            <wps:txbx>
                              <w:txbxContent>
                                <w:p w14:paraId="75B10112">
                                  <w:pPr>
                                    <w:jc w:val="center"/>
                                    <w:rPr>
                                      <w:rFonts w:hint="default" w:eastAsia="宋体"/>
                                      <w:sz w:val="18"/>
                                      <w:szCs w:val="18"/>
                                      <w:lang w:val="en-US" w:eastAsia="zh-CN"/>
                                    </w:rPr>
                                  </w:pPr>
                                  <w:r>
                                    <w:rPr>
                                      <w:rFonts w:hint="eastAsia" w:eastAsia="宋体"/>
                                      <w:sz w:val="18"/>
                                      <w:szCs w:val="1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05pt;margin-top:11.25pt;height:20.25pt;width:32.9pt;z-index:251736064;mso-width-relative:page;mso-height-relative:page;" filled="f" stroked="f" coordsize="21600,21600" o:gfxdata="UEsDBAoAAAAAAIdO4kAAAAAAAAAAAAAAAAAEAAAAZHJzL1BLAwQUAAAACACHTuJAJjbgCtoAAAAJ&#10;AQAADwAAAGRycy9kb3ducmV2LnhtbE2Py07DMBBF90j8gzVI7Kgd0xchkwpFqpAQXbR0w24Su0mE&#10;HyF2H/D1mBUsR/fo3jPF6mINO+kx9N4hZBMBTLvGq961CPu39d0SWIjkFBnvNMKXDrAqr68KypU/&#10;u60+7WLLUokLOSF0MQ4556HptKUw8YN2KTv40VJM59hyNdI5lVvDpRBzbql3aaGjQVedbj52R4vw&#10;Uq03tK2lXX6b6vn18DR87t9niLc3mXgEFvUl/sHwq5/UoUxOtT86FZhBmGYySyiClDNgCZguFg/A&#10;aoT5vQBeFvz/B+UPUEsDBBQAAAAIAIdO4kAS0ZNrQwIAAHUEAAAOAAAAZHJzL2Uyb0RvYy54bWyt&#10;VMFuEzEQvSPxD5bvdJM0ISXqpgqtipAqWqkgzo7X213J9hjb6W75APgDTly48139Dp69SVoVDj1w&#10;2Yxnxm/mvRnn+KQ3mt0qH1qyJR8fjDhTVlLV2puSf/p4/uqIsxCFrYQmq0p+pwI/Wb58cdy5hZpQ&#10;Q7pSngHEhkXnSt7E6BZFEWSjjAgH5JRFsCZvRMTR3xSVFx3QjS4mo9HroiNfOU9ShQDv2RDkW0T/&#10;HECq61aqM5Ibo2wcUL3SIoJSaFoX+DJ3W9dKxsu6DioyXXIwjfmLIrDX6Vssj8XixgvXtHLbgnhO&#10;C084GdFaFN1DnYko2Ma3f0GZVnoKVMcDSaYYiGRFwGI8eqLNdSOcylwgdXB70cP/g5Ufbq88a6uS&#10;T2acWWEw8fsf3+9//r7/9Y3BB4E6FxbIu3bIjP1b6rE2O3+AM/Hua2/SLxgxxCHv3V5e1Ucm4ZyO&#10;50eHiEiEJrP5eJ7Ri4fLzof4TpFhySi5x/SyqOL2IkQ0gtRdSqpl6bzVOk9QW9aV/PXhbJQv7CO4&#10;oW3KVXkXtjCJ0NB4smK/7rcs11TdgaSnYU+Ck+ctWrkQIV4Jj8VA93g68RKfWhNK0tbirCH/9V/+&#10;lI95IcpZh0UrefiyEV5xpt9bTPLNeDoFbMyH6Ww+wcE/jqwfR+zGnBJ2eYxH6mQ2U37UO7P2ZD7j&#10;ha1SVYSElahd8rgzT+Ow/nihUq1WOQm76ES8sNdOJuhB3NUmUt1m3ZNMgzYYQjpgG/M4ti8nrfvj&#10;c856+Ld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mNuAK2gAAAAkBAAAPAAAAAAAAAAEAIAAA&#10;ACIAAABkcnMvZG93bnJldi54bWxQSwECFAAUAAAACACHTuJAEtGTa0MCAAB1BAAADgAAAAAAAAAB&#10;ACAAAAApAQAAZHJzL2Uyb0RvYy54bWxQSwUGAAAAAAYABgBZAQAA3gUAAAAA&#10;">
                      <v:fill on="f" focussize="0,0"/>
                      <v:stroke on="f" weight="0.5pt"/>
                      <v:imagedata o:title=""/>
                      <o:lock v:ext="edit" aspectratio="f"/>
                      <v:textbox>
                        <w:txbxContent>
                          <w:p w14:paraId="75B10112">
                            <w:pPr>
                              <w:jc w:val="center"/>
                              <w:rPr>
                                <w:rFonts w:hint="default" w:eastAsia="宋体"/>
                                <w:sz w:val="18"/>
                                <w:szCs w:val="18"/>
                                <w:lang w:val="en-US" w:eastAsia="zh-CN"/>
                              </w:rPr>
                            </w:pPr>
                            <w:r>
                              <w:rPr>
                                <w:rFonts w:hint="eastAsia" w:eastAsia="宋体"/>
                                <w:sz w:val="18"/>
                                <w:szCs w:val="18"/>
                                <w:lang w:val="en-US" w:eastAsia="zh-CN"/>
                              </w:rPr>
                              <w:t>N</w:t>
                            </w:r>
                          </w:p>
                        </w:txbxContent>
                      </v:textbox>
                    </v:shape>
                  </w:pict>
                </mc:Fallback>
              </mc:AlternateContent>
            </w:r>
            <w:r>
              <w:rPr>
                <w:color w:val="auto"/>
                <w:sz w:val="20"/>
              </w:rPr>
              <mc:AlternateContent>
                <mc:Choice Requires="wps">
                  <w:drawing>
                    <wp:anchor distT="0" distB="0" distL="114300" distR="114300" simplePos="0" relativeHeight="251726848" behindDoc="0" locked="0" layoutInCell="1" allowOverlap="1">
                      <wp:simplePos x="0" y="0"/>
                      <wp:positionH relativeFrom="column">
                        <wp:posOffset>2259965</wp:posOffset>
                      </wp:positionH>
                      <wp:positionV relativeFrom="paragraph">
                        <wp:posOffset>292100</wp:posOffset>
                      </wp:positionV>
                      <wp:extent cx="454025" cy="0"/>
                      <wp:effectExtent l="0" t="50800" r="3175" b="63500"/>
                      <wp:wrapNone/>
                      <wp:docPr id="13" name="直接箭头连接符 13"/>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7.95pt;margin-top:23pt;height:0pt;width:35.75pt;z-index:251726848;mso-width-relative:page;mso-height-relative:page;" filled="f" stroked="t" coordsize="21600,21600" o:gfxdata="UEsDBAoAAAAAAIdO4kAAAAAAAAAAAAAAAAAEAAAAZHJzL1BLAwQUAAAACACHTuJAVwNtWNsAAAAJ&#10;AQAADwAAAGRycy9kb3ducmV2LnhtbE2PwUrDQBCG74LvsIzgReymNak1ZtNDUcEKglEUb9vsNAnN&#10;zobspk19ekc86HFmPv75/mw52lbssfeNIwXTSQQCqXSmoUrB2+v95QKED5qMbh2hgiN6WOanJ5lO&#10;jTvQC+6LUAkOIZ9qBXUIXSqlL2u02k9ch8S3reutDjz2lTS9PnC4beUsiubS6ob4Q607XNVY7orB&#10;KljR9vNrfPxInt93D3eLi/WRnoZCqfOzaXQLIuAY/mD40Wd1yNlp4wYyXrQKrpLkhlEF8Zw7MRDP&#10;rmMQm9+FzDP5v0H+DVBLAwQUAAAACACHTuJAk6PIFBgCAAACBAAADgAAAGRycy9lMm9Eb2MueG1s&#10;rVPNjtMwEL4j8Q6W7zTZdgtL1XQPLcsFwUrAA7iOk1jyn2a8TfsSvAASJ+AEnPbO08DyGIyd7I+W&#10;yx7IIRnbmW/m++bz8nRvDdspQO1dxY8mJWfKSV9r11b8/buzJyecYRSuFsY7VfGDQn66evxo2YeF&#10;mvrOm1oBIxCHiz5UvIsxLIoCZaeswIkPytFh48GKSEtoixpET+jWFNOyfFr0HuoAXipE2t0Mh3xE&#10;hIcA+qbRUm28vLDKxQEVlBGRKGGnA/JV7rZplIxvmgZVZKbixDTmNxWheJvexWopFi2I0Gk5tiAe&#10;0sI9TlZoR0VvoDYiCnYB+h8oqyV49E2cSG+LgUhWhFgclfe0eduJoDIXkhrDjej4/2Dl6905MF2T&#10;E2acOWFp4lcfL39/+HL14/uvz5d/fn5K8bevjM5JrD7ggnLW7hzGFYZzSMz3Ddj0JU5snwU+3Ais&#10;9pFJ2jyeH5fTOWfy+qi4zQuA8aXylqWg4hhB6LaLa+8cTdHDUdZX7F5hpMqUeJ2Qijp/po3JwzSO&#10;9cRm+qykGUtBDm3IGRTaQCzRtZwJ05L1ZYQMid7oOqUnIIR2uzbAdoIMM5vOZ8/nw0+dqNWwOy/p&#10;SVpQD+PvQ3wXJzW3EdgNKXjAjY+D2ayOdH+MthU/SUijB6PQ5oWrWTwEGoEA8P1YwziCT7oPSqdo&#10;6+tDHkDeJ2vkBkYbJ+/dXefs26u7+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A21Y2wAAAAkB&#10;AAAPAAAAAAAAAAEAIAAAACIAAABkcnMvZG93bnJldi54bWxQSwECFAAUAAAACACHTuJAk6PIFBgC&#10;AAACBAAADgAAAAAAAAABACAAAAAqAQAAZHJzL2Uyb0RvYy54bWxQSwUGAAAAAAYABgBZAQAAtAUA&#10;A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01248" behindDoc="0" locked="0" layoutInCell="1" allowOverlap="1">
                      <wp:simplePos x="0" y="0"/>
                      <wp:positionH relativeFrom="character">
                        <wp:posOffset>-1325880</wp:posOffset>
                      </wp:positionH>
                      <wp:positionV relativeFrom="line">
                        <wp:posOffset>132715</wp:posOffset>
                      </wp:positionV>
                      <wp:extent cx="1187450" cy="306705"/>
                      <wp:effectExtent l="4445" t="5080" r="8255" b="12065"/>
                      <wp:wrapNone/>
                      <wp:docPr id="266" name="矩形 266"/>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5E140A">
                                  <w:pPr>
                                    <w:jc w:val="center"/>
                                    <w:rPr>
                                      <w:rFonts w:hint="default" w:eastAsia="宋体"/>
                                      <w:szCs w:val="21"/>
                                      <w:lang w:val="en-US" w:eastAsia="zh-CN"/>
                                    </w:rPr>
                                  </w:pPr>
                                  <w:r>
                                    <w:rPr>
                                      <w:rFonts w:hint="eastAsia" w:eastAsia="宋体"/>
                                      <w:szCs w:val="21"/>
                                      <w:lang w:val="en-US" w:eastAsia="zh-CN"/>
                                    </w:rPr>
                                    <w:t>破碎</w:t>
                                  </w:r>
                                </w:p>
                                <w:p w14:paraId="2E28C911"/>
                              </w:txbxContent>
                            </wps:txbx>
                            <wps:bodyPr lIns="90526" tIns="45263" rIns="90526" bIns="45263" upright="1"/>
                          </wps:wsp>
                        </a:graphicData>
                      </a:graphic>
                    </wp:anchor>
                  </w:drawing>
                </mc:Choice>
                <mc:Fallback>
                  <w:pict>
                    <v:rect id="_x0000_s1026" o:spid="_x0000_s1026" o:spt="1" style="position:absolute;left:0pt;margin-left:-104.4pt;margin-top:10.45pt;height:24.15pt;width:93.5pt;mso-position-horizontal-relative:char;mso-position-vertical-relative:line;z-index:251701248;mso-width-relative:page;mso-height-relative:page;" fillcolor="#FFFFFF" filled="t" stroked="t" coordsize="21600,21600" o:gfxdata="UEsDBAoAAAAAAIdO4kAAAAAAAAAAAAAAAAAEAAAAZHJzL1BLAwQUAAAACACHTuJAuXUBHdcAAAAK&#10;AQAADwAAAGRycy9kb3ducmV2LnhtbE2PzW7CMBCE75V4B2uRegt2fKCQxuFAVamHHlqKOJt4SaL6&#10;T7FD4O27PbXHnR3NfFPvbs6yK45pCF5BuRLA0LfBDL5TcPx6LTbAUtbeaBs8Krhjgl2zeKh1ZcLs&#10;P/F6yB2jEJ8qraDPOVacp7ZHp9MqRPT0u4TR6Uzn2HEz6pnCneVSiDV3evDU0OuI+x7b78PkFEwT&#10;xve9tJen+eP4ck858FN8U+pxWYpnYBlv+c8Mv/iEDg0xncPkTWJWQSHFhtizAim2wMhRyJKEs4L1&#10;VgJvav5/QvMDUEsDBBQAAAAIAIdO4kA1OdW3IAIAAG8EAAAOAAAAZHJzL2Uyb0RvYy54bWytVM2O&#10;0zAQviPxDpbvNGl3292Nmu6BUoSEYKWFB3AdJ7HkP43dJn0aJG48BI+DeA3GTijZhUMP5JB+45l8&#10;M/PNuOv7XityFOClNSWdz3JKhOG2kqYp6edPu1e3lPjATMWUNaKkJ+Hp/ebli3XnCrGwrVWVAIIk&#10;xhedK2kbgiuyzPNWaOZn1gmDztqCZgFNaLIKWIfsWmWLPF9lnYXKgeXCezzdDk46MsIlhLauJRdb&#10;yw9amDCwglAsYEu+lc7TTaq2rgUPH+vai0BUSbHTkN6YBPE+vrPNmhUNMNdKPpbALinhWU+aSYNJ&#10;z1RbFhg5gPyLSksO1ts6zLjV2dBIUgS7mOfPtHlsmROpF5Tau7Po/v/R8g/HByCyKulitaLEMI0j&#10;//nl24/vX0k8QX065wsMe3QPMFoeYWy2r0HHX2yD9EnT01lT0QfC8XA+v725XqLcHH1X+eomX0bS&#10;7M/XDnx4K6wmEZQUcGZJSnZ878MQ+jskJvNWyWonlUoGNPvXCsiR4Xx36RnZn4QpQ7qS3i0XS6yD&#10;4dLWuCwItcPGvWlSvidf+Clxnp5/EcfCtsy3QwGJIYaxQssgIKFWsOqNqUg4OZTW4J2isRgtKkqU&#10;wCsYUYoMTKpLIlE7ZWISkRZ8VCmOaRhMRKHf90ga4d5WJ5yxemdwb+7y5QLnHJJxjfiKEph69lPP&#10;wYFsWhzKPDUf2XAP0/TGOxMXfWojnv5Pb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XUBHdcA&#10;AAAKAQAADwAAAAAAAAABACAAAAAiAAAAZHJzL2Rvd25yZXYueG1sUEsBAhQAFAAAAAgAh07iQDU5&#10;1bcgAgAAbwQAAA4AAAAAAAAAAQAgAAAAJgEAAGRycy9lMm9Eb2MueG1sUEsFBgAAAAAGAAYAWQEA&#10;ALgFAAAAAA==&#10;">
                      <v:fill on="t" focussize="0,0"/>
                      <v:stroke color="#000000" joinstyle="miter"/>
                      <v:imagedata o:title=""/>
                      <o:lock v:ext="edit" aspectratio="f"/>
                      <v:textbox inset="7.12803149606299pt,3.5640157480315pt,7.12803149606299pt,3.5640157480315pt">
                        <w:txbxContent>
                          <w:p w14:paraId="085E140A">
                            <w:pPr>
                              <w:jc w:val="center"/>
                              <w:rPr>
                                <w:rFonts w:hint="default" w:eastAsia="宋体"/>
                                <w:szCs w:val="21"/>
                                <w:lang w:val="en-US" w:eastAsia="zh-CN"/>
                              </w:rPr>
                            </w:pPr>
                            <w:r>
                              <w:rPr>
                                <w:rFonts w:hint="eastAsia" w:eastAsia="宋体"/>
                                <w:szCs w:val="21"/>
                                <w:lang w:val="en-US" w:eastAsia="zh-CN"/>
                              </w:rPr>
                              <w:t>破碎</w:t>
                            </w:r>
                          </w:p>
                          <w:p w14:paraId="2E28C911"/>
                        </w:txbxContent>
                      </v:textbox>
                    </v:rect>
                  </w:pict>
                </mc:Fallback>
              </mc:AlternateContent>
            </w:r>
          </w:p>
          <w:p w14:paraId="32C1B357">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02272" behindDoc="0" locked="0" layoutInCell="1" allowOverlap="1">
                      <wp:simplePos x="0" y="0"/>
                      <wp:positionH relativeFrom="character">
                        <wp:posOffset>-706120</wp:posOffset>
                      </wp:positionH>
                      <wp:positionV relativeFrom="line">
                        <wp:posOffset>162560</wp:posOffset>
                      </wp:positionV>
                      <wp:extent cx="635" cy="254000"/>
                      <wp:effectExtent l="37465" t="0" r="38100" b="12700"/>
                      <wp:wrapNone/>
                      <wp:docPr id="271" name="直接连接符 27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5.6pt;margin-top:12.8pt;height:20pt;width:0.05pt;mso-position-horizontal-relative:char;mso-position-vertical-relative:line;z-index:251702272;mso-width-relative:page;mso-height-relative:page;" filled="f" stroked="t" coordsize="21600,21600" o:gfxdata="UEsDBAoAAAAAAIdO4kAAAAAAAAAAAAAAAAAEAAAAZHJzL1BLAwQUAAAACACHTuJAqQNtEdkAAAAL&#10;AQAADwAAAGRycy9kb3ducmV2LnhtbE2PwU7DMAyG70i8Q2QkbluaSlRVaboD0rhsgLYhBLesMW1F&#10;41RNupW3xzuxo39/+v25XM2uFyccQ+dJg1omIJBqbztqNLwf1oscRIiGrOk9oYZfDLCqbm9KU1h/&#10;ph2e9rERXEKhMBraGIdCylC36ExY+gGJd99+dCbyODbSjubM5a6XaZJk0pmO+EJrBnxqsf7ZT07D&#10;brve5B+baa7Hr2f1enjbvnyGXOv7O5U8gog4x38YLvqsDhU7Hf1ENohew0IplTKrIX3IQDBxSRSI&#10;o4aME1mV8vqH6g9QSwMEFAAAAAgAh07iQPKglPMaAgAAKgQAAA4AAABkcnMvZTJvRG9jLnhtbK1T&#10;S24UMRDdI3EHy3vSPQMToDU9EZohbCKIFDhAjdvdbeGfXJ7fJbgAEjtYsWTPbQjHoOyezCRBSFnQ&#10;i1bZVX6u9+p5erY1mq1lQOVszUcnJWfSCtco29X8w/vzJy84wwi2Ae2srPlOIj+bPX403fhKjl3v&#10;dCMDIxCL1cbXvI/RV0WBopcG8MR5aSnZumAg0jJ0RRNgQ+hGF+OyPC02LjQ+OCERaXcxJPkeMTwE&#10;0LWtEnLhxMpIGwfUIDVEooS98shnudu2lSK+a1uUkemaE9OY/3QJxcv0L2ZTqLoAvldi3wI8pIV7&#10;nAwoS5ceoBYQga2C+gvKKBEcujaeCGeKgUhWhFiMynvaXPXgZeZCUqM/iI7/D1a8XV8Gppqaj5+P&#10;OLNgaOTXn3/8+vT1988v9L/+/o2lFAm18VhR/dxehkRVbO2Vv3DiIzLr5j3YTr5CT4qTq1J5cac+&#10;LdAPJ7dtMAmB6LNtnsXuMAu5jUzQ5unTCWeC9seTZ2WZB1VAdXPSB4xvpDMsBTXXyiadoIL1BcZ0&#10;N1Q3JWlbW7ap+cvJOGECmbYls1BoPBFH2+Wz6LRqzpXW6QSGbjnXga0hGSd/mRNlbpelSxaA/VCX&#10;U4OlegnNa9uwuPMkqKWXxFMLRjacaUkPL0XZfBGUPlbGoEhI/Y9qoqVtak9ma++5HqVN0dI1Oxrp&#10;ygfV9XdmQRbKyuztnjx6e50ndnzi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A20R2QAAAAsB&#10;AAAPAAAAAAAAAAEAIAAAACIAAABkcnMvZG93bnJldi54bWxQSwECFAAUAAAACACHTuJA8qCU8xoC&#10;AAAqBAAADgAAAAAAAAABACAAAAAoAQAAZHJzL2Uyb0RvYy54bWxQSwUGAAAAAAYABgBZAQAAtAUA&#10;AAAA&#10;">
                      <v:fill on="f" focussize="0,0"/>
                      <v:stroke color="#000000" joinstyle="round" endarrow="block"/>
                      <v:imagedata o:title=""/>
                      <o:lock v:ext="edit" aspectratio="t"/>
                    </v:line>
                  </w:pict>
                </mc:Fallback>
              </mc:AlternateContent>
            </w:r>
          </w:p>
          <w:p w14:paraId="0E856686">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34016" behindDoc="0" locked="0" layoutInCell="1" allowOverlap="1">
                      <wp:simplePos x="0" y="0"/>
                      <wp:positionH relativeFrom="column">
                        <wp:posOffset>2759710</wp:posOffset>
                      </wp:positionH>
                      <wp:positionV relativeFrom="paragraph">
                        <wp:posOffset>167640</wp:posOffset>
                      </wp:positionV>
                      <wp:extent cx="417830" cy="2571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17830" cy="257175"/>
                              </a:xfrm>
                              <a:prstGeom prst="rect">
                                <a:avLst/>
                              </a:prstGeom>
                              <a:noFill/>
                              <a:ln w="6350">
                                <a:noFill/>
                              </a:ln>
                              <a:effectLst/>
                            </wps:spPr>
                            <wps:txbx>
                              <w:txbxContent>
                                <w:p w14:paraId="0FB20BEB">
                                  <w:pPr>
                                    <w:jc w:val="center"/>
                                    <w:rPr>
                                      <w:rFonts w:hint="default" w:eastAsia="宋体"/>
                                      <w:sz w:val="18"/>
                                      <w:szCs w:val="18"/>
                                      <w:lang w:val="en-US" w:eastAsia="zh-CN"/>
                                    </w:rPr>
                                  </w:pPr>
                                  <w:r>
                                    <w:rPr>
                                      <w:rFonts w:hint="eastAsia" w:eastAsia="宋体"/>
                                      <w:sz w:val="18"/>
                                      <w:szCs w:val="18"/>
                                      <w:lang w:val="en-US" w:eastAsia="zh-CN"/>
                                    </w:rPr>
                                    <w:t>S、N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3pt;margin-top:13.2pt;height:20.25pt;width:32.9pt;z-index:251734016;mso-width-relative:page;mso-height-relative:page;" filled="f" stroked="f" coordsize="21600,21600" o:gfxdata="UEsDBAoAAAAAAIdO4kAAAAAAAAAAAAAAAAAEAAAAZHJzL1BLAwQUAAAACACHTuJAhCWXVdoAAAAJ&#10;AQAADwAAAGRycy9kb3ducmV2LnhtbE2Py07DMBBF90j8gzVI7KjdkFolZFKhSBUSgkVLN+yc2E0i&#10;/Aix+4CvZ1iV3Yzm6M655ersLDuaKQ7BI8xnApjxbdCD7xB27+u7JbCYlNfKBm8Qvk2EVXV9VapC&#10;h5PfmOM2dYxCfCwUQp/SWHAe2944FWdhNJ5u+zA5lWidOq4ndaJwZ3kmhORODZ4+9Go0dW/az+3B&#10;IbzU6ze1aTK3/LH18+v+afzafSwQb2/m4hFYMud0geFPn9ShIqcmHLyOzCLk97kkFCGTOTACFkLQ&#10;0CBI+QC8Kvn/BtUvUEsDBBQAAAAIAIdO4kBv+DrrQgIAAHUEAAAOAAAAZHJzL2Uyb0RvYy54bWyt&#10;VMFuEzEQvSPxD5bvdJM0ISXqpgqtipAqWqkgzo7X213J9hjb6W75APgDTly48139Dp69SVoVDj1w&#10;ccYzs2/mvRnn+KQ3mt0qH1qyJR8fjDhTVlLV2puSf/p4/uqIsxCFrYQmq0p+pwI/Wb58cdy5hZpQ&#10;Q7pSngHEhkXnSt7E6BZFEWSjjAgH5JRFsCZvRMTV3xSVFx3QjS4mo9HroiNfOU9ShQDv2RDkW0T/&#10;HECq61aqM5Ibo2wcUL3SIoJSaFoX+DJ3W9dKxsu6DioyXXIwjflEEdjrdBbLY7G48cI1rdy2IJ7T&#10;whNORrQWRfdQZyIKtvHtX1CmlZ4C1fFAkikGIlkRsBiPnmhz3QinMhdIHdxe9PD/YOWH2yvP2qrk&#10;k0POrDCY+P2P7/c/f9//+sbgg0CdCwvkXTtkxv4t9VibnT/AmXj3tTfpF4wY4pD3bi+v6iOTcE7H&#10;86NDRCRCk9l8PJ8llOLhY+dDfKfIsGSU3GN6WVRxexHikLpLSbUsnbda5wlqy7qSvz6cjfIH+wjA&#10;tU25Ku/CFiYRGhpPVuzX/Zblmqo7kPQ07Elw8rxFKxcixCvhsRjoHk8nXuKoNaEkbS3OGvJf/+VP&#10;+ZgXopx1WLSShy8b4RVn+r3FJN+Mp1PAxnyZzuYTXPzjyPpxxG7MKWGXx3ikTmYz5Ue9M2tP5jNe&#10;2CpVRUhYidoljzvzNA7rjxcq1WqVk7CLTsQLe+1kgh7EXW0i1W3WPck0aIN5pQu2MU9u+3LSuj++&#10;56yHf4v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Qll1XaAAAACQEAAA8AAAAAAAAAAQAgAAAA&#10;IgAAAGRycy9kb3ducmV2LnhtbFBLAQIUABQAAAAIAIdO4kBv+DrrQgIAAHUEAAAOAAAAAAAAAAEA&#10;IAAAACkBAABkcnMvZTJvRG9jLnhtbFBLBQYAAAAABgAGAFkBAADdBQAAAAA=&#10;">
                      <v:fill on="f" focussize="0,0"/>
                      <v:stroke on="f" weight="0.5pt"/>
                      <v:imagedata o:title=""/>
                      <o:lock v:ext="edit" aspectratio="f"/>
                      <v:textbox>
                        <w:txbxContent>
                          <w:p w14:paraId="0FB20BEB">
                            <w:pPr>
                              <w:jc w:val="center"/>
                              <w:rPr>
                                <w:rFonts w:hint="default" w:eastAsia="宋体"/>
                                <w:sz w:val="18"/>
                                <w:szCs w:val="18"/>
                                <w:lang w:val="en-US" w:eastAsia="zh-CN"/>
                              </w:rPr>
                            </w:pPr>
                            <w:r>
                              <w:rPr>
                                <w:rFonts w:hint="eastAsia" w:eastAsia="宋体"/>
                                <w:sz w:val="18"/>
                                <w:szCs w:val="18"/>
                                <w:lang w:val="en-US" w:eastAsia="zh-CN"/>
                              </w:rPr>
                              <w:t>S、N</w:t>
                            </w:r>
                          </w:p>
                        </w:txbxContent>
                      </v:textbox>
                    </v:shape>
                  </w:pict>
                </mc:Fallback>
              </mc:AlternateContent>
            </w:r>
            <w:r>
              <w:rPr>
                <w:color w:val="auto"/>
                <w:sz w:val="20"/>
              </w:rPr>
              <mc:AlternateContent>
                <mc:Choice Requires="wps">
                  <w:drawing>
                    <wp:anchor distT="0" distB="0" distL="114300" distR="114300" simplePos="0" relativeHeight="251727872" behindDoc="0" locked="0" layoutInCell="1" allowOverlap="1">
                      <wp:simplePos x="0" y="0"/>
                      <wp:positionH relativeFrom="column">
                        <wp:posOffset>2317115</wp:posOffset>
                      </wp:positionH>
                      <wp:positionV relativeFrom="paragraph">
                        <wp:posOffset>278765</wp:posOffset>
                      </wp:positionV>
                      <wp:extent cx="454025" cy="0"/>
                      <wp:effectExtent l="0" t="50800" r="3175" b="63500"/>
                      <wp:wrapNone/>
                      <wp:docPr id="14" name="直接箭头连接符 14"/>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2.45pt;margin-top:21.95pt;height:0pt;width:35.75pt;z-index:251727872;mso-width-relative:page;mso-height-relative:page;" filled="f" stroked="t" coordsize="21600,21600" o:gfxdata="UEsDBAoAAAAAAIdO4kAAAAAAAAAAAAAAAAAEAAAAZHJzL1BLAwQUAAAACACHTuJATsqp59oAAAAJ&#10;AQAADwAAAGRycy9kb3ducmV2LnhtbE2PQUvDQBCF74L/YRnBi9hNbSxtmk0PRQUtCEax9LbNTpPQ&#10;7GzIbtrUX++IBz0N897jzTfpcrCNOGLna0cKxqMIBFLhTE2lgo/3x9sZCB80Gd04QgVn9LDMLi9S&#10;nRh3ojc85qEUXEI+0QqqENpESl9UaLUfuRaJvb3rrA68dqU0nT5xuW3kXRRNpdU18YVKt7iqsDjk&#10;vVWwov32a3je3L9+Hp4eZjcvZ1r3uVLXV+NoASLgEP7C8IPP6JAx0871ZLxoFEym8ZyjCuIJTw7E&#10;rIDY/QoyS+X/D7JvUEsDBBQAAAAIAIdO4kAiIdGgGAIAAAIEAAAOAAAAZHJzL2Uyb0RvYy54bWyt&#10;U82O0zAQviPxDpbvNNluC0vVdA8tywXBSsADuI6TWPKfZrxN+xK8ABIn4ASc9s7TwPIYjJ3sj5bL&#10;HsghGduZb+b75vPydG8N2ylA7V3FjyYlZ8pJX2vXVvz9u7MnJ5xhFK4WxjtV8YNCfrp6/GjZh4Wa&#10;+s6bWgEjEIeLPlS8izEsigJlp6zAiQ/K0WHjwYpIS2iLGkRP6NYU07J8WvQe6gBeKkTa3QyHfESE&#10;hwD6ptFSbby8sMrFARWUEZEoYacD8lXutmmUjG+aBlVkpuLENOY3FaF4m97FaikWLYjQaTm2IB7S&#10;wj1OVmhHRW+gNiIKdgH6HyirJXj0TZxIb4uBSFaEWByV97R524mgMheSGsON6Pj/YOXr3TkwXZMT&#10;Zpw5YWniVx8vf3/4cvXj+6/Pl39+fkrxt6+MzkmsPuCCctbuHMYVhnNIzPcN2PQlTmyfBT7cCKz2&#10;kUnanM1n5XTOmbw+Km7zAmB8qbxlKag4RhC67eLaO0dT9HCU9RW7VxipMiVeJ6Sizp9pY/IwjWM9&#10;sZk+K2nGUpBDG3IGhTYQS3QtZ8K0ZH0ZIUOiN7pO6QkIod2uDbCdIMMcT+fHz+fDT52o1bA7L+lJ&#10;WlAP4+9DfBcnNbcR2A0peMCNj4PZrI50f4y2FT9JSKMHo9DmhatZPAQagQDw/VjDOIJPug9Kp2jr&#10;60MeQN4na+QGRhsn791d5+zbq7v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7KqefaAAAACQEA&#10;AA8AAAAAAAAAAQAgAAAAIgAAAGRycy9kb3ducmV2LnhtbFBLAQIUABQAAAAIAIdO4kAiIdGgGAIA&#10;AAIEAAAOAAAAAAAAAAEAIAAAACkBAABkcnMvZTJvRG9jLnhtbFBLBQYAAAAABgAGAFkBAACzBQAA&#10;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03296" behindDoc="0" locked="0" layoutInCell="1" allowOverlap="1">
                      <wp:simplePos x="0" y="0"/>
                      <wp:positionH relativeFrom="character">
                        <wp:posOffset>-1268730</wp:posOffset>
                      </wp:positionH>
                      <wp:positionV relativeFrom="line">
                        <wp:posOffset>111125</wp:posOffset>
                      </wp:positionV>
                      <wp:extent cx="1187450" cy="306705"/>
                      <wp:effectExtent l="4445" t="5080" r="8255" b="12065"/>
                      <wp:wrapNone/>
                      <wp:docPr id="274" name="矩形 274"/>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74510B">
                                  <w:pPr>
                                    <w:jc w:val="center"/>
                                  </w:pPr>
                                  <w:r>
                                    <w:rPr>
                                      <w:rFonts w:hint="eastAsia" w:eastAsia="宋体"/>
                                      <w:szCs w:val="21"/>
                                      <w:lang w:val="en-US" w:eastAsia="zh-CN"/>
                                    </w:rPr>
                                    <w:t>金属分选</w:t>
                                  </w:r>
                                </w:p>
                              </w:txbxContent>
                            </wps:txbx>
                            <wps:bodyPr lIns="90526" tIns="45263" rIns="90526" bIns="45263" upright="1"/>
                          </wps:wsp>
                        </a:graphicData>
                      </a:graphic>
                    </wp:anchor>
                  </w:drawing>
                </mc:Choice>
                <mc:Fallback>
                  <w:pict>
                    <v:rect id="_x0000_s1026" o:spid="_x0000_s1026" o:spt="1" style="position:absolute;left:0pt;margin-left:-99.9pt;margin-top:8.75pt;height:24.15pt;width:93.5pt;mso-position-horizontal-relative:char;mso-position-vertical-relative:line;z-index:251703296;mso-width-relative:page;mso-height-relative:page;" fillcolor="#FFFFFF" filled="t" stroked="t" coordsize="21600,21600" o:gfxdata="UEsDBAoAAAAAAIdO4kAAAAAAAAAAAAAAAAAEAAAAZHJzL1BLAwQUAAAACACHTuJABsGkCtcAAAAK&#10;AQAADwAAAGRycy9kb3ducmV2LnhtbE2PzU7DMBCE70i8g7VI3FInkfoX4vRQhMSBA5SKsxtvkwh7&#10;bcVO0749ywmOszOa+bbeXZ0VFxzj4ElBschBILXeDNQpOH6+ZBsQMWky2npCBTeMsGvu72pdGT/T&#10;B14OqRNcQrHSCvqUQiVlbHt0Oi58QGLv7EenE8uxk2bUM5c7K8s8X0mnB+KFXgfc99h+HyanYJow&#10;vO1Le17P78fnW0xefoVXpR4fivwJRMJr+gvDLz6jQ8NMJz+RicIqyIrtltkTO+slCE5kRcmHk4LV&#10;cgOyqeX/F5ofUEsDBBQAAAAIAIdO4kAQUsHMIAIAAG8EAAAOAAAAZHJzL2Uyb0RvYy54bWytVM2O&#10;0zAQviPxDpbvNGm3P7tR0z1QipAQrLTwAK7jJJb8p7HbpE+DxI2H4HEQr8HYCaW7cOiBHNJvPJNv&#10;Zr4Zd33fa0WOAry0pqTTSU6JMNxW0jQl/fxp9+qWEh+YqZiyRpT0JDy937x8se5cIWa2taoSQJDE&#10;+KJzJW1DcEWWed4KzfzEOmHQWVvQLKAJTVYB65Bdq2yW58uss1A5sFx4j6fbwUlHRriG0Na15GJr&#10;+UELEwZWEIoFbMm30nm6SdXWteDhY117EYgqKXYa0huTIN7Hd7ZZs6IB5lrJxxLYNSU860kzaTDp&#10;mWrLAiMHkH9RacnBeluHCbc6GxpJimAX0/yZNo8tcyL1glJ7dxbd/z9a/uH4AERWJZ2t5pQYpnHk&#10;P798+/H9K4knqE/nfIFhj+4BRssjjM32Nej4i22QPml6Omsq+kA4Hk6nt6v5AuXm6LvJl6t8EUmz&#10;P1878OGtsJpEUFLAmSUp2fG9D0Po75CYzFslq51UKhnQ7F8rIEeG892lZ2R/EqYM6Up6t5gtsA6G&#10;S1vjsiDUDhv3pkn5nnzhL4nz9PyLOBa2Zb4dCkgMMYwVWgYBCbWCVW9MRcLJobQG7xSNxWhRUaIE&#10;XsGIUmRgUl0TidopE5OItOCjSnFMw2AiCv2+R9II97Y64YzVO4N7c5cvZku8B8mYI76hBC49+0vP&#10;wYFsWhzKNDUf2XAP0/TGOxMX/dJGfPk/s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sGkCtcA&#10;AAAKAQAADwAAAAAAAAABACAAAAAiAAAAZHJzL2Rvd25yZXYueG1sUEsBAhQAFAAAAAgAh07iQBBS&#10;wcwgAgAAbwQAAA4AAAAAAAAAAQAgAAAAJgEAAGRycy9lMm9Eb2MueG1sUEsFBgAAAAAGAAYAWQEA&#10;ALgFAAAAAA==&#10;">
                      <v:fill on="t" focussize="0,0"/>
                      <v:stroke color="#000000" joinstyle="miter"/>
                      <v:imagedata o:title=""/>
                      <o:lock v:ext="edit" aspectratio="f"/>
                      <v:textbox inset="7.12803149606299pt,3.5640157480315pt,7.12803149606299pt,3.5640157480315pt">
                        <w:txbxContent>
                          <w:p w14:paraId="5B74510B">
                            <w:pPr>
                              <w:jc w:val="center"/>
                            </w:pPr>
                            <w:r>
                              <w:rPr>
                                <w:rFonts w:hint="eastAsia" w:eastAsia="宋体"/>
                                <w:szCs w:val="21"/>
                                <w:lang w:val="en-US" w:eastAsia="zh-CN"/>
                              </w:rPr>
                              <w:t>金属分选</w:t>
                            </w:r>
                          </w:p>
                        </w:txbxContent>
                      </v:textbox>
                    </v:rect>
                  </w:pict>
                </mc:Fallback>
              </mc:AlternateContent>
            </w:r>
          </w:p>
          <w:p w14:paraId="50733173">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04320" behindDoc="0" locked="0" layoutInCell="1" allowOverlap="1">
                      <wp:simplePos x="0" y="0"/>
                      <wp:positionH relativeFrom="character">
                        <wp:posOffset>-687070</wp:posOffset>
                      </wp:positionH>
                      <wp:positionV relativeFrom="line">
                        <wp:posOffset>128270</wp:posOffset>
                      </wp:positionV>
                      <wp:extent cx="635" cy="254000"/>
                      <wp:effectExtent l="37465" t="0" r="38100" b="12700"/>
                      <wp:wrapNone/>
                      <wp:docPr id="295" name="直接连接符 2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1pt;margin-top:10.1pt;height:20pt;width:0.05pt;mso-position-horizontal-relative:char;mso-position-vertical-relative:line;z-index:251704320;mso-width-relative:page;mso-height-relative:page;" filled="f" stroked="t" coordsize="21600,21600" o:gfxdata="UEsDBAoAAAAAAIdO4kAAAAAAAAAAAAAAAAAEAAAAZHJzL1BLAwQUAAAACACHTuJAfwTnWtkAAAAL&#10;AQAADwAAAGRycy9kb3ducmV2LnhtbE2PMU/DMBCFdyT+g3VIbK2dDFUUcumAVJYWUFuEYHPjI4mI&#10;7ch22vDvuU4wne69p3ffVevZDuJMIfbeIWRLBYJc403vWoS342ZRgIhJO6MH7wjhhyKs69ubSpfG&#10;X9yezofUCi5xsdQIXUpjKWVsOrI6Lv1Ijr0vH6xOvIZWmqAvXG4HmSu1klb3ji90eqTHjprvw2QR&#10;9rvNtnjfTnMTPp+yl+Pr7vkjFoj3d5l6AJFoTn9huOIzOtTMdPKTM1EMCItMFTlnEXLFkxNXJQNx&#10;QlixIutK/v+h/gVQSwMEFAAAAAgAh07iQBoXp84aAgAAKgQAAA4AAABkcnMvZTJvRG9jLnhtbK1T&#10;S24UMRDdI3EHy3umOwMTkdb0RGiGsIkgUuAANW53t4V/cnl+l+ACSOxgxZI9tyEcg7J7MpMEIWVB&#10;L1plV/m53qvn6fnWaLaWAZWzNT8ZlZxJK1yjbFfzD+8vnr3kDCPYBrSzsuY7ifx89vTJdOMrOXa9&#10;040MjEAsVhtf8z5GXxUFil4awJHz0lKydcFApGXoiibAhtCNLsZleVpsXGh8cEIi0u5iSPI9YngM&#10;oGtbJeTCiZWRNg6oQWqIRAl75ZHPcrdtK0V817YoI9M1J6Yx/+kSipfpX8ymUHUBfK/EvgV4TAsP&#10;OBlQli49QC0gAlsF9ReUUSI4dG0cCWeKgUhWhFiclA+0ue7By8yFpEZ/EB3/H6x4u74KTDU1H59N&#10;OLNgaOQ3n3/8+vT1988v9L/5/o2lFAm18VhR/dxehURVbO21v3TiIzLr5j3YTr5CT4qTq1J5ca8+&#10;LdAPJ7dtMAmB6LNtnsXuMAu5jUzQ5ulzakfQ/njyoizzoAqobk/6gPGNdIaloOZa2aQTVLC+xJju&#10;huq2JG1ryzY1P5uMEyaQaVsyC4XGE3G0XT6LTqvmQmmdTmDolnMd2BqScfKXOVHmblm6ZAHYD3U5&#10;NViql9C8tg2LO0+CWnpJPLVgZMOZlvTwUpTNF0HpY2UMioTU/6gmWtqm9mS29p7rUdoULV2zo5Gu&#10;fFBdf28WZKGszN7uyaN313lixyc++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Oda2QAAAAsB&#10;AAAPAAAAAAAAAAEAIAAAACIAAABkcnMvZG93bnJldi54bWxQSwECFAAUAAAACACHTuJAGhenzhoC&#10;AAAqBAAADgAAAAAAAAABACAAAAAoAQAAZHJzL2Uyb0RvYy54bWxQSwUGAAAAAAYABgBZAQAAtAUA&#10;AAAA&#10;">
                      <v:fill on="f" focussize="0,0"/>
                      <v:stroke color="#000000" joinstyle="round" endarrow="block"/>
                      <v:imagedata o:title=""/>
                      <o:lock v:ext="edit" aspectratio="t"/>
                    </v:line>
                  </w:pict>
                </mc:Fallback>
              </mc:AlternateContent>
            </w:r>
          </w:p>
          <w:p w14:paraId="2B47947F">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37088" behindDoc="0" locked="0" layoutInCell="1" allowOverlap="1">
                      <wp:simplePos x="0" y="0"/>
                      <wp:positionH relativeFrom="column">
                        <wp:posOffset>2788285</wp:posOffset>
                      </wp:positionH>
                      <wp:positionV relativeFrom="paragraph">
                        <wp:posOffset>154305</wp:posOffset>
                      </wp:positionV>
                      <wp:extent cx="417830" cy="25717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17830" cy="257175"/>
                              </a:xfrm>
                              <a:prstGeom prst="rect">
                                <a:avLst/>
                              </a:prstGeom>
                              <a:noFill/>
                              <a:ln w="6350">
                                <a:noFill/>
                              </a:ln>
                              <a:effectLst/>
                            </wps:spPr>
                            <wps:txbx>
                              <w:txbxContent>
                                <w:p w14:paraId="43E8EF6A">
                                  <w:pPr>
                                    <w:jc w:val="center"/>
                                    <w:rPr>
                                      <w:rFonts w:hint="default" w:eastAsia="宋体"/>
                                      <w:sz w:val="18"/>
                                      <w:szCs w:val="18"/>
                                      <w:lang w:val="en-US" w:eastAsia="zh-CN"/>
                                    </w:rPr>
                                  </w:pPr>
                                  <w:r>
                                    <w:rPr>
                                      <w:rFonts w:hint="eastAsia" w:eastAsia="宋体"/>
                                      <w:sz w:val="18"/>
                                      <w:szCs w:val="18"/>
                                      <w:lang w:val="en-US" w:eastAsia="zh-CN"/>
                                    </w:rPr>
                                    <w:t>S、W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5pt;margin-top:12.15pt;height:20.25pt;width:32.9pt;z-index:251737088;mso-width-relative:page;mso-height-relative:page;" filled="f" stroked="f" coordsize="21600,21600" o:gfxdata="UEsDBAoAAAAAAIdO4kAAAAAAAAAAAAAAAAAEAAAAZHJzL1BLAwQUAAAACACHTuJAivFhj9sAAAAJ&#10;AQAADwAAAGRycy9kb3ducmV2LnhtbE2Py07DMBBF90j8gzVI7KidNK3SkEmFIlVICBYt3bBz4mkS&#10;4UeI3Qd8PWZVlqN7dO+Zcn0xmp1o8oOzCMlMACPbOjXYDmH/vnnIgfkgrZLaWUL4Jg/r6vamlIVy&#10;Z7ul0y50LJZYX0iEPoSx4Ny3PRnpZ24kG7ODm4wM8Zw6riZ5juVG81SIJTdysHGhlyPVPbWfu6NB&#10;eKk3b3LbpCb/0fXz6+Fp/Np/LBDv7xLxCCzQJVxh+NOP6lBFp8YdrfJMI2TzVRJRhDSbA4vAQmQr&#10;YA3CMsuBVyX//0H1C1BLAwQUAAAACACHTuJAjMZ/xkICAAB1BAAADgAAAGRycy9lMm9Eb2MueG1s&#10;rVTBbhMxEL0j8Q+W73STNGlK1E0VqIqQKlqpIM6O19tdyfYY2+lu+QD4A05cuPNd/Q6evUlaFQ49&#10;cHHGM7Nv5r0Z5+S0N5rdKh9asiUfH4w4U1ZS1dqbkn/6eP7qmLMQha2EJqtKfqcCP12+fHHSuYWa&#10;UEO6Up4BxIZF50rexOgWRRFko4wIB+SURbAmb0TE1d8UlRcd0I0uJqPRUdGRr5wnqUKA92wI8i2i&#10;fw4g1XUr1RnJjVE2DqheaRFBKTStC3yZu61rJeNlXQcVmS45mMZ8ogjsdTqL5YlY3HjhmlZuWxDP&#10;aeEJJyNai6J7qDMRBdv49i8o00pPgep4IMkUA5GsCFiMR0+0uW6EU5kLpA5uL3r4f7Dyw+2VZ21V&#10;8skRZ1YYTPz+x/f7n7/vf31j8EGgzoUF8q4dMmP/hnqszc4f4Ey8+9qb9AtGDHHIe7eXV/WRSTin&#10;4/nxISISoclsPp7PEkrx8LHzIb5TZFgySu4xvSyquL0IcUjdpaRals5brfMEtWVdyY8OZ6P8wT4C&#10;cG1Trsq7sIVJhIbGkxX7db9luabqDiQ9DXsSnDxv0cqFCPFKeCwGusfTiZc4ak0oSVuLs4b813/5&#10;Uz7mhShnHRat5OHLRnjFmX5vMcnX4+kUsDFfprP5BBf/OLJ+HLEb85awy2M8UiezmfKj3pm1J/MZ&#10;L2yVqiIkrETtksed+TYO648XKtVqlZOwi07EC3vtZIIexF1tItVt1j3JNGiDeaULtjFPbvty0ro/&#10;vuesh3+L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8WGP2wAAAAkBAAAPAAAAAAAAAAEAIAAA&#10;ACIAAABkcnMvZG93bnJldi54bWxQSwECFAAUAAAACACHTuJAjMZ/xkICAAB1BAAADgAAAAAAAAAB&#10;ACAAAAAqAQAAZHJzL2Uyb0RvYy54bWxQSwUGAAAAAAYABgBZAQAA3gUAAAAA&#10;">
                      <v:fill on="f" focussize="0,0"/>
                      <v:stroke on="f" weight="0.5pt"/>
                      <v:imagedata o:title=""/>
                      <o:lock v:ext="edit" aspectratio="f"/>
                      <v:textbox>
                        <w:txbxContent>
                          <w:p w14:paraId="43E8EF6A">
                            <w:pPr>
                              <w:jc w:val="center"/>
                              <w:rPr>
                                <w:rFonts w:hint="default" w:eastAsia="宋体"/>
                                <w:sz w:val="18"/>
                                <w:szCs w:val="18"/>
                                <w:lang w:val="en-US" w:eastAsia="zh-CN"/>
                              </w:rPr>
                            </w:pPr>
                            <w:r>
                              <w:rPr>
                                <w:rFonts w:hint="eastAsia" w:eastAsia="宋体"/>
                                <w:sz w:val="18"/>
                                <w:szCs w:val="18"/>
                                <w:lang w:val="en-US" w:eastAsia="zh-CN"/>
                              </w:rPr>
                              <w:t>S、W</w:t>
                            </w:r>
                          </w:p>
                        </w:txbxContent>
                      </v:textbox>
                    </v:shape>
                  </w:pict>
                </mc:Fallback>
              </mc:AlternateContent>
            </w:r>
            <w:r>
              <w:rPr>
                <w:color w:val="auto"/>
                <w:sz w:val="20"/>
              </w:rPr>
              <mc:AlternateContent>
                <mc:Choice Requires="wps">
                  <w:drawing>
                    <wp:anchor distT="0" distB="0" distL="114300" distR="114300" simplePos="0" relativeHeight="251728896" behindDoc="0" locked="0" layoutInCell="1" allowOverlap="1">
                      <wp:simplePos x="0" y="0"/>
                      <wp:positionH relativeFrom="column">
                        <wp:posOffset>2345690</wp:posOffset>
                      </wp:positionH>
                      <wp:positionV relativeFrom="paragraph">
                        <wp:posOffset>265430</wp:posOffset>
                      </wp:positionV>
                      <wp:extent cx="454025" cy="0"/>
                      <wp:effectExtent l="0" t="50800" r="3175" b="63500"/>
                      <wp:wrapNone/>
                      <wp:docPr id="15" name="直接箭头连接符 15"/>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4.7pt;margin-top:20.9pt;height:0pt;width:35.75pt;z-index:251728896;mso-width-relative:page;mso-height-relative:page;" filled="f" stroked="t" coordsize="21600,21600" o:gfxdata="UEsDBAoAAAAAAIdO4kAAAAAAAAAAAAAAAAAEAAAAZHJzL1BLAwQUAAAACACHTuJArq/y29sAAAAJ&#10;AQAADwAAAGRycy9kb3ducmV2LnhtbE2PwUrDQBCG74LvsIzgRdrdaCxtzKaHooIWBFNRvG2TaRKa&#10;nQ3ZTZv69I540OPMfPzz/elytK04YO8bRxqiqQKBVLiyoUrD2+ZhMgfhg6HStI5Qwwk9LLPzs9Qk&#10;pTvSKx7yUAkOIZ8YDXUIXSKlL2q0xk9dh8S3neutCTz2lSx7c+Rw28prpWbSmob4Q206XNVY7PPB&#10;aljR7vNrfPq4fXnfP97Pr55PtB5yrS8vInUHIuAY/mD40Wd1yNhp6wYqvWg13MwWMaMa4ogrMBDH&#10;agFi+7uQWSr/N8i+AVBLAwQUAAAACACHTuJAsqDE2RcCAAACBAAADgAAAGRycy9lMm9Eb2MueG1s&#10;rVPNjtMwEL4j8Q6W7zTZ7haWqukeWpYLgkrAA7iOk1jyn2a8TfsSvAASJ+AEnPbO08DyGIyd7I+W&#10;yx7IIRnbmW/m++bz4mxvDdspQO1dxY8mJWfKSV9r11b8/bvzJ6ecYRSuFsY7VfGDQn62fPxo0Ye5&#10;mvrOm1oBIxCH8z5UvIsxzIsCZaeswIkPytFh48GKSEtoixpET+jWFNOyfFr0HuoAXipE2l0Ph3xE&#10;hIcA+qbRUq29vLDKxQEVlBGRKGGnA/Jl7rZplIxvmgZVZKbixDTmNxWheJvexXIh5i2I0Gk5tiAe&#10;0sI9TlZoR0VvoNYiCnYB+h8oqyV49E2cSG+LgUhWhFgclfe0eduJoDIXkhrDjej4/2Dl690GmK7J&#10;CTPOnLA08auPl78/fLn68f3X58s/Pz+l+NtXRuckVh9wTjkrt4FxhWEDifm+AZu+xInts8CHG4HV&#10;PjJJmyezk3JKdeT1UXGbFwDjS+UtS0HFMYLQbRdX3jmaooejrK/YvcJIlSnxOiEVdf5cG5OHaRzr&#10;ic30WUkzloIc2pAzKLSBWKJrOROmJevLCBkSvdF1Sk9ACO12ZYDtBBnmeDo7fj4bfupErYbdWUlP&#10;0oJ6GH8f4rs4qbm1wG5IwQOufRzMZnWk+2O0rfhpQho9GIU2L1zN4iHQCASA78caxhF80n1QOkVb&#10;Xx/yAPI+WSM3MNo4ee/uOmffXt3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6v8tvbAAAACQEA&#10;AA8AAAAAAAAAAQAgAAAAIgAAAGRycy9kb3ducmV2LnhtbFBLAQIUABQAAAAIAIdO4kCyoMTZFwIA&#10;AAIEAAAOAAAAAAAAAAEAIAAAACoBAABkcnMvZTJvRG9jLnhtbFBLBQYAAAAABgAGAFkBAACzBQAA&#10;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05344" behindDoc="0" locked="0" layoutInCell="1" allowOverlap="1">
                      <wp:simplePos x="0" y="0"/>
                      <wp:positionH relativeFrom="character">
                        <wp:posOffset>-1249680</wp:posOffset>
                      </wp:positionH>
                      <wp:positionV relativeFrom="line">
                        <wp:posOffset>90805</wp:posOffset>
                      </wp:positionV>
                      <wp:extent cx="1187450" cy="306705"/>
                      <wp:effectExtent l="4445" t="5080" r="8255" b="12065"/>
                      <wp:wrapNone/>
                      <wp:docPr id="288" name="矩形 288"/>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E49A40">
                                  <w:pPr>
                                    <w:jc w:val="center"/>
                                    <w:rPr>
                                      <w:szCs w:val="21"/>
                                    </w:rPr>
                                  </w:pPr>
                                  <w:r>
                                    <w:rPr>
                                      <w:rFonts w:hint="eastAsia" w:eastAsia="宋体"/>
                                      <w:szCs w:val="21"/>
                                      <w:lang w:val="en-US" w:eastAsia="zh-CN"/>
                                    </w:rPr>
                                    <w:t>清</w:t>
                                  </w:r>
                                  <w:r>
                                    <w:rPr>
                                      <w:rFonts w:hint="eastAsia"/>
                                      <w:szCs w:val="21"/>
                                    </w:rPr>
                                    <w:t>洗</w:t>
                                  </w:r>
                                </w:p>
                                <w:p w14:paraId="7A3A2F3B"/>
                              </w:txbxContent>
                            </wps:txbx>
                            <wps:bodyPr lIns="90526" tIns="45263" rIns="90526" bIns="45263" upright="1"/>
                          </wps:wsp>
                        </a:graphicData>
                      </a:graphic>
                    </wp:anchor>
                  </w:drawing>
                </mc:Choice>
                <mc:Fallback>
                  <w:pict>
                    <v:rect id="_x0000_s1026" o:spid="_x0000_s1026" o:spt="1" style="position:absolute;left:0pt;margin-left:-98.4pt;margin-top:7.15pt;height:24.15pt;width:93.5pt;mso-position-horizontal-relative:char;mso-position-vertical-relative:line;z-index:251705344;mso-width-relative:page;mso-height-relative:page;" fillcolor="#FFFFFF" filled="t" stroked="t" coordsize="21600,21600" o:gfxdata="UEsDBAoAAAAAAIdO4kAAAAAAAAAAAAAAAAAEAAAAZHJzL1BLAwQUAAAACACHTuJAWV+ii9YAAAAJ&#10;AQAADwAAAGRycy9kb3ducmV2LnhtbE2PMU/DMBSEdyT+g/WQ2FInAQUa4nQoQmJggFIxu/FrEmE/&#10;W7HTtP+exwTj6U533zWbs7PihFMcPSkoVjkIpM6bkXoF+8+X7BFETJqMtp5QwQUjbNrrq0bXxi/0&#10;gadd6gWXUKy1giGlUEsZuwGdjisfkNg7+snpxHLqpZn0wuXOyjLPK+n0SLww6IDbAbvv3ewUzDOG&#10;t21pjw/L+/75EpOXX+FVqdubIn8CkfCc/sLwi8/o0DLTwc9korAKsmJdMXti5/4OBCeyNeuDgqqs&#10;QLaN/P+g/QFQSwMEFAAAAAgAh07iQMugmwsgAgAAbwQAAA4AAABkcnMvZTJvRG9jLnhtbK1UzY7T&#10;MBC+I/EOlu80aXfb7UZN90ApQkKw0sIDuM4kseQ/2W6TPg0SNx6Cx0G8BmMndLu7HHogh/Qbz+Sb&#10;mW/GXd31SpIDOC+MLul0klMCmptK6KakX79s3ywp8YHpikmjoaRH8PRu/frVqrMFzExrZAWOIIn2&#10;RWdL2oZgiyzzvAXF/MRY0OisjVMsoOmarHKsQ3Yls1meL7LOuMo6w8F7PN0MTjoyuksITV0LDhvD&#10;9wp0GFgdSBawJd8K6+k6VVvXwMPnuvYQiCwpdhrSG5Mg3sV3tl6xonHMtoKPJbBLSnjWk2JCY9IT&#10;1YYFRvZOvKBSgjvjTR0m3KhsaCQpgl1M82faPLTMQuoFpfb2JLr/f7T80+HeEVGVdLbEwWumcOS/&#10;v/349fM7iSeoT2d9gWEP9t6NlkcYm+1rp+IvtkH6pOnxpCn0gXA8nE6XN9dzlJuj7ypf3OTzSJo9&#10;fm2dD+/BKBJBSR3OLEnJDh99GEL/hsRk3khRbYWUyXDN7q105MBwvtv0jOxPwqQmXUlv57M51sFw&#10;aWtcFoTKYuNeNynfky/8OXGenn8Rx8I2zLdDAYkhhrFCiQAuoRZY9U5XJBwtSqvxTtFYjIKKEgl4&#10;BSNKkYEJeUkkaid1TAJpwUeV4piGwUQU+l2PpBHuTHXEGcsPGvfmNp/PFngPknGN+IoSd+7ZnXv2&#10;1ommxaFMU/ORDfcwTW+8M3HRz23E5/8T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X6KL1gAA&#10;AAkBAAAPAAAAAAAAAAEAIAAAACIAAABkcnMvZG93bnJldi54bWxQSwECFAAUAAAACACHTuJAy6Cb&#10;CyACAABvBAAADgAAAAAAAAABACAAAAAlAQAAZHJzL2Uyb0RvYy54bWxQSwUGAAAAAAYABgBZAQAA&#10;twUAAAAA&#10;">
                      <v:fill on="t" focussize="0,0"/>
                      <v:stroke color="#000000" joinstyle="miter"/>
                      <v:imagedata o:title=""/>
                      <o:lock v:ext="edit" aspectratio="f"/>
                      <v:textbox inset="7.12803149606299pt,3.5640157480315pt,7.12803149606299pt,3.5640157480315pt">
                        <w:txbxContent>
                          <w:p w14:paraId="21E49A40">
                            <w:pPr>
                              <w:jc w:val="center"/>
                              <w:rPr>
                                <w:szCs w:val="21"/>
                              </w:rPr>
                            </w:pPr>
                            <w:r>
                              <w:rPr>
                                <w:rFonts w:hint="eastAsia" w:eastAsia="宋体"/>
                                <w:szCs w:val="21"/>
                                <w:lang w:val="en-US" w:eastAsia="zh-CN"/>
                              </w:rPr>
                              <w:t>清</w:t>
                            </w:r>
                            <w:r>
                              <w:rPr>
                                <w:rFonts w:hint="eastAsia"/>
                                <w:szCs w:val="21"/>
                              </w:rPr>
                              <w:t>洗</w:t>
                            </w:r>
                          </w:p>
                          <w:p w14:paraId="7A3A2F3B"/>
                        </w:txbxContent>
                      </v:textbox>
                    </v:rect>
                  </w:pict>
                </mc:Fallback>
              </mc:AlternateContent>
            </w:r>
          </w:p>
          <w:p w14:paraId="0C665EB8">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06368" behindDoc="0" locked="0" layoutInCell="1" allowOverlap="1">
                      <wp:simplePos x="0" y="0"/>
                      <wp:positionH relativeFrom="character">
                        <wp:posOffset>-658495</wp:posOffset>
                      </wp:positionH>
                      <wp:positionV relativeFrom="line">
                        <wp:posOffset>116840</wp:posOffset>
                      </wp:positionV>
                      <wp:extent cx="635" cy="254000"/>
                      <wp:effectExtent l="37465" t="0" r="38100" b="12700"/>
                      <wp:wrapNone/>
                      <wp:docPr id="296" name="直接连接符 2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1.85pt;margin-top:9.2pt;height:20pt;width:0.05pt;mso-position-horizontal-relative:char;mso-position-vertical-relative:line;z-index:251706368;mso-width-relative:page;mso-height-relative:page;" filled="f" stroked="t" coordsize="21600,21600" o:gfxdata="UEsDBAoAAAAAAIdO4kAAAAAAAAAAAAAAAAAEAAAAZHJzL1BLAwQUAAAACACHTuJAyZXLpNoAAAAL&#10;AQAADwAAAGRycy9kb3ducmV2LnhtbE2PzU7DMBCE70i8g7VI3Fo7/JQoxOkBqVxaqNqiqtzceEki&#10;4nUUO214e7YnOO7Mp9mZfD66VpywD40nDclUgUAqvW2o0vCxW0xSECEasqb1hBp+MMC8uL7KTWb9&#10;mTZ42sZKcAiFzGioY+wyKUNZozNh6jsk9r5870zks6+k7c2Zw10r75SaSWca4g+16fClxvJ7OzgN&#10;m9Vime6Xw1j2n6/J+269ejuEVOvbm0Q9g4g4xj8YLvW5OhTc6egHskG0GiaJun9ilp30AQQTF2UG&#10;4qjhkRVZ5PL/huIXUEsDBBQAAAAIAIdO4kDXbZ+1GgIAACoEAAAOAAAAZHJzL2Uyb0RvYy54bWyt&#10;U0tuFDEQ3SNxB8t7pjsDE5HW9ERohrCJIFLgADVud7eFf3J5fpfgAkjsYMWSPbchHIOyezKTBCFl&#10;QS9aZVf5ud6r5+n51mi2lgGVszU/GZWcSStco2xX8w/vL5695Awj2Aa0s7LmO4n8fPb0yXTjKzl2&#10;vdONDIxALFYbX/M+Rl8VBYpeGsCR89JSsnXBQKRl6IomwIbQjS7GZXlabFxofHBCItLuYkjyPWJ4&#10;DKBrWyXkwomVkTYOqEFqiEQJe+WRz3K3bStFfNe2KCPTNSemMf/pEoqX6V/MplB1AXyvxL4FeEwL&#10;DzgZUJYuPUAtIAJbBfUXlFEiOHRtHAlnioFIVoRYnJQPtLnuwcvMhaRGfxAd/x+seLu+Ckw1NR+f&#10;nXJmwdDIbz7/+PXp6++fX+h/8/0bSykSauOxovq5vQqJqtjaa3/pxEdk1s17sJ18hZ4UJ1el8uJe&#10;fVqgH05u22ASAtFn2zyL3WEWchuZoM3T5xPOBO2PJy/KMg+qgOr2pA8Y30hnWApqrpVNOkEF60uM&#10;6W6obkvStrZsU/OzyThhApm2JbNQaDwRR9vls+i0ai6U1ukEhm4514GtIRknf5kTZe6WpUsWgP1Q&#10;l1ODpXoJzWvbsLjzJKill8RTC0Y2nGlJDy9F2XwRlD5WxqBISP2PaqKlbWpPZmvvuR6lTdHSNTsa&#10;6coH1fX3ZkEWysrs7Z48enedJ3Z84r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XLpNoAAAAL&#10;AQAADwAAAAAAAAABACAAAAAiAAAAZHJzL2Rvd25yZXYueG1sUEsBAhQAFAAAAAgAh07iQNdtn7Ua&#10;AgAAKgQAAA4AAAAAAAAAAQAgAAAAKQEAAGRycy9lMm9Eb2MueG1sUEsFBgAAAAAGAAYAWQEAALUF&#10;AAAAAA==&#10;">
                      <v:fill on="f" focussize="0,0"/>
                      <v:stroke color="#000000" joinstyle="round" endarrow="block"/>
                      <v:imagedata o:title=""/>
                      <o:lock v:ext="edit" aspectratio="t"/>
                    </v:line>
                  </w:pict>
                </mc:Fallback>
              </mc:AlternateContent>
            </w:r>
          </w:p>
          <w:p w14:paraId="7F55BC8F">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38112" behindDoc="0" locked="0" layoutInCell="1" allowOverlap="1">
                      <wp:simplePos x="0" y="0"/>
                      <wp:positionH relativeFrom="column">
                        <wp:posOffset>2778760</wp:posOffset>
                      </wp:positionH>
                      <wp:positionV relativeFrom="paragraph">
                        <wp:posOffset>131445</wp:posOffset>
                      </wp:positionV>
                      <wp:extent cx="532130" cy="2571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32130" cy="257175"/>
                              </a:xfrm>
                              <a:prstGeom prst="rect">
                                <a:avLst/>
                              </a:prstGeom>
                              <a:noFill/>
                              <a:ln w="6350">
                                <a:noFill/>
                              </a:ln>
                              <a:effectLst/>
                            </wps:spPr>
                            <wps:txbx>
                              <w:txbxContent>
                                <w:p w14:paraId="543B7449">
                                  <w:pPr>
                                    <w:jc w:val="center"/>
                                    <w:rPr>
                                      <w:rFonts w:hint="default" w:eastAsia="宋体"/>
                                      <w:sz w:val="18"/>
                                      <w:szCs w:val="18"/>
                                      <w:lang w:val="en-US" w:eastAsia="zh-CN"/>
                                    </w:rPr>
                                  </w:pPr>
                                  <w:r>
                                    <w:rPr>
                                      <w:rFonts w:hint="eastAsia" w:eastAsia="宋体"/>
                                      <w:sz w:val="18"/>
                                      <w:szCs w:val="18"/>
                                      <w:lang w:val="en-US" w:eastAsia="zh-CN"/>
                                    </w:rPr>
                                    <w:t>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8pt;margin-top:10.35pt;height:20.25pt;width:41.9pt;z-index:251738112;mso-width-relative:page;mso-height-relative:page;" filled="f" stroked="f" coordsize="21600,21600" o:gfxdata="UEsDBAoAAAAAAIdO4kAAAAAAAAAAAAAAAAAEAAAAZHJzL1BLAwQUAAAACACHTuJAxSx3NtsAAAAJ&#10;AQAADwAAAGRycy9kb3ducmV2LnhtbE2Py07DMBBF90j8gzVI7Kgd06ZVyKRCkSokBIuWbtg5sZtE&#10;2OMQuw/4eswKlqN7dO+Zcn1xlp3MFAZPCNlMADPUej1Qh7B/29ytgIWoSCvrySB8mQDr6vqqVIX2&#10;Z9qa0y52LJVQKBRCH+NYcB7a3jgVZn40lLKDn5yK6Zw6rid1TuXOcilEzp0aKC30ajR1b9qP3dEh&#10;PNebV7VtpFt92/rp5fA4fu7fF4i3N5l4ABbNJf7B8Kuf1KFKTo0/kg7MIszvl3lCEaRYAkvAQmZz&#10;YA1CnkngVcn/f1D9AFBLAwQUAAAACACHTuJAotfutkICAAB1BAAADgAAAGRycy9lMm9Eb2MueG1s&#10;rVTBbhMxEL0j8Q+W73STtGkg6qYKrYqQKlqpIM6O19tdyfYY2+lu+QD4A05cuPNd+Q6evUlaFQ49&#10;cHHGM7Nv5r0Z5+S0N5rdKR9asiUfH4w4U1ZS1drbkn/6ePHqNWchClsJTVaV/F4Ffrp4+eKkc3M1&#10;oYZ0pTwDiA3zzpW8idHNiyLIRhkRDsgpi2BN3oiIq78tKi86oBtdTEaj46IjXzlPUoUA7/kQ5FtE&#10;/xxAqutWqnOSa6NsHFC90iKCUmhaF/gid1vXSsarug4qMl1yMI35RBHYq3QWixMxv/XCNa3ctiCe&#10;08ITTka0FkX3UOciCrb27V9QppWeAtXxQJIpBiJZEbAYj55oc9MIpzIXSB3cXvTw/2Dlh7trz9qq&#10;5JMZZ1YYTHzz4/vm5+/Nr28MPgjUuTBH3o1DZuzfUo+12fkDnIl3X3uTfsGIIQ557/fyqj4yCef0&#10;cDI+REQiNJnOxrNpQikePnY+xHeKDEtGyT2ml0UVd5chDqm7lFTL0kWrdZ6gtqwr+fHhdJQ/2EcA&#10;rm3KVXkXtjCJ0NB4smK/6rcsV1Tdg6SnYU+CkxctWrkUIV4Lj8VA93g68QpHrQklaWtx1pD/+i9/&#10;yse8EOWsw6KVPHxZC6840+8tJvlmfHQE2JgvR9PZBBf/OLJ6HLFrc0bY5TEeqZPZTPlR78zak/mM&#10;F7ZMVRESVqJ2yePOPIvD+uOFSrVc5iTsohPx0t44maAHcZfrSHWbdU8yDdpgXumCbcyT276ctO6P&#10;7znr4d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LHc22wAAAAkBAAAPAAAAAAAAAAEAIAAA&#10;ACIAAABkcnMvZG93bnJldi54bWxQSwECFAAUAAAACACHTuJAotfutkICAAB1BAAADgAAAAAAAAAB&#10;ACAAAAAqAQAAZHJzL2Uyb0RvYy54bWxQSwUGAAAAAAYABgBZAQAA3gUAAAAA&#10;">
                      <v:fill on="f" focussize="0,0"/>
                      <v:stroke on="f" weight="0.5pt"/>
                      <v:imagedata o:title=""/>
                      <o:lock v:ext="edit" aspectratio="f"/>
                      <v:textbox>
                        <w:txbxContent>
                          <w:p w14:paraId="543B7449">
                            <w:pPr>
                              <w:jc w:val="center"/>
                              <w:rPr>
                                <w:rFonts w:hint="default" w:eastAsia="宋体"/>
                                <w:sz w:val="18"/>
                                <w:szCs w:val="18"/>
                                <w:lang w:val="en-US" w:eastAsia="zh-CN"/>
                              </w:rPr>
                            </w:pPr>
                            <w:r>
                              <w:rPr>
                                <w:rFonts w:hint="eastAsia" w:eastAsia="宋体"/>
                                <w:sz w:val="18"/>
                                <w:szCs w:val="18"/>
                                <w:lang w:val="en-US" w:eastAsia="zh-CN"/>
                              </w:rPr>
                              <w:t>W、N</w:t>
                            </w:r>
                          </w:p>
                        </w:txbxContent>
                      </v:textbox>
                    </v:shape>
                  </w:pict>
                </mc:Fallback>
              </mc:AlternateContent>
            </w:r>
            <w:r>
              <w:rPr>
                <w:color w:val="auto"/>
                <w:sz w:val="20"/>
              </w:rPr>
              <mc:AlternateContent>
                <mc:Choice Requires="wps">
                  <w:drawing>
                    <wp:anchor distT="0" distB="0" distL="114300" distR="114300" simplePos="0" relativeHeight="251729920" behindDoc="0" locked="0" layoutInCell="1" allowOverlap="1">
                      <wp:simplePos x="0" y="0"/>
                      <wp:positionH relativeFrom="column">
                        <wp:posOffset>2326640</wp:posOffset>
                      </wp:positionH>
                      <wp:positionV relativeFrom="paragraph">
                        <wp:posOffset>271145</wp:posOffset>
                      </wp:positionV>
                      <wp:extent cx="454025" cy="0"/>
                      <wp:effectExtent l="0" t="50800" r="3175" b="63500"/>
                      <wp:wrapNone/>
                      <wp:docPr id="16" name="直接箭头连接符 16"/>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3.2pt;margin-top:21.35pt;height:0pt;width:35.75pt;z-index:251729920;mso-width-relative:page;mso-height-relative:page;" filled="f" stroked="t" coordsize="21600,21600" o:gfxdata="UEsDBAoAAAAAAIdO4kAAAAAAAAAAAAAAAAAEAAAAZHJzL1BLAwQUAAAACACHTuJAoqc8d9sAAAAJ&#10;AQAADwAAAGRycy9kb3ducmV2LnhtbE2PwUrDQBCG74LvsIzgReymbUxrzKSHooIKglEUb9vsNAnN&#10;zobspk19elc86HFmPv75/mw1mlbsqXeNZYTpJAJBXFrdcIXw9np3uQThvGKtWsuEcCQHq/z0JFOp&#10;tgd+oX3hKxFC2KUKofa+S6V0ZU1GuYntiMNta3ujfBj7SupeHUK4aeUsihJpVMPhQ606WtdU7orB&#10;IKx5+/k1PnxcPb/v7m+XF49HfhoKxPOzaXQDwtPo/2D40Q/qkAenjR1YO9EizJMkDihCPFuACEA8&#10;X1yD2PwuZJ7J/w3yb1BLAwQUAAAACACHTuJAAiL6UhgCAAACBAAADgAAAGRycy9lMm9Eb2MueG1s&#10;rVPNbtQwEL4j8Q6W72zSbbeU1WZ72KVcEFQCHsB1nMSS/zTjbnZfghdA4gScKKfeeRooj8HYSbdV&#10;ufRADsnYznwz3zefF6dba9hGAWrvKn4wKTlTTvpau7biH96fPTvhDKNwtTDeqYrvFPLT5dMniz7M&#10;1dR33tQKGIE4nPeh4l2MYV4UKDtlBU58UI4OGw9WRFpCW9QgekK3ppiW5XHRe6gDeKkQaXc9HPIR&#10;ER4D6JtGS7X28tIqFwdUUEZEooSdDsiXudumUTK+bRpUkZmKE9OY31SE4ov0LpYLMW9BhE7LsQXx&#10;mBYecLJCOyq6h1qLKNgl6H+grJbg0TdxIr0tBiJZEWJxUD7Q5l0ngspcSGoMe9Hx/8HKN5tzYLom&#10;Jxxz5oSlid98uv798evNj6tfX67//Pyc4u/fGJ2TWH3AOeWs3DmMKwznkJhvG7DpS5zYNgu82wus&#10;tpFJ2jyaHZXTGWfy9qi4ywuA8ZXylqWg4hhB6LaLK+8cTdHDQdZXbF5jpMqUeJuQijp/po3JwzSO&#10;9cRm+rykGUtBDm3IGRTaQCzRtZwJ05L1ZYQMid7oOqUnIIT2YmWAbQQZ5nA6O3wxG37qRK2G3VlJ&#10;T9KCehh/H+L7OKm5tcBuSMEdrn0czGZ1pPtjtK34SUIaPRiFNi9dzeIu0AgEgO/HGsYRfNJ9UDpF&#10;F77e5QHkfbJGbmC0cfLe/XXOvru6y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pzx32wAAAAkB&#10;AAAPAAAAAAAAAAEAIAAAACIAAABkcnMvZG93bnJldi54bWxQSwECFAAUAAAACACHTuJAAiL6UhgC&#10;AAACBAAADgAAAAAAAAABACAAAAAqAQAAZHJzL2Uyb0RvYy54bWxQSwUGAAAAAAYABgBZAQAAtAUA&#10;A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07392" behindDoc="0" locked="0" layoutInCell="1" allowOverlap="1">
                      <wp:simplePos x="0" y="0"/>
                      <wp:positionH relativeFrom="character">
                        <wp:posOffset>-1249680</wp:posOffset>
                      </wp:positionH>
                      <wp:positionV relativeFrom="line">
                        <wp:posOffset>99060</wp:posOffset>
                      </wp:positionV>
                      <wp:extent cx="1187450" cy="306705"/>
                      <wp:effectExtent l="4445" t="5080" r="8255" b="12065"/>
                      <wp:wrapNone/>
                      <wp:docPr id="275" name="矩形 275"/>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5662FF">
                                  <w:pPr>
                                    <w:jc w:val="center"/>
                                    <w:rPr>
                                      <w:rFonts w:hint="eastAsia" w:eastAsia="宋体"/>
                                      <w:szCs w:val="21"/>
                                      <w:lang w:val="en-US" w:eastAsia="zh-CN"/>
                                    </w:rPr>
                                  </w:pPr>
                                  <w:r>
                                    <w:rPr>
                                      <w:rFonts w:hint="eastAsia" w:eastAsia="宋体"/>
                                      <w:szCs w:val="21"/>
                                      <w:lang w:val="en-US" w:eastAsia="zh-CN"/>
                                    </w:rPr>
                                    <w:t>甩干</w:t>
                                  </w:r>
                                </w:p>
                              </w:txbxContent>
                            </wps:txbx>
                            <wps:bodyPr lIns="90526" tIns="45263" rIns="90526" bIns="45263" upright="1"/>
                          </wps:wsp>
                        </a:graphicData>
                      </a:graphic>
                    </wp:anchor>
                  </w:drawing>
                </mc:Choice>
                <mc:Fallback>
                  <w:pict>
                    <v:rect id="_x0000_s1026" o:spid="_x0000_s1026" o:spt="1" style="position:absolute;left:0pt;margin-left:-98.4pt;margin-top:7.8pt;height:24.15pt;width:93.5pt;mso-position-horizontal-relative:char;mso-position-vertical-relative:line;z-index:251707392;mso-width-relative:page;mso-height-relative:page;" fillcolor="#FFFFFF" filled="t" stroked="t" coordsize="21600,21600" o:gfxdata="UEsDBAoAAAAAAIdO4kAAAAAAAAAAAAAAAAAEAAAAZHJzL1BLAwQUAAAACACHTuJALmIuf9YAAAAJ&#10;AQAADwAAAGRycy9kb3ducmV2LnhtbE2PMU/DMBSEdyT+g/WQ2FInRQQS4nQoQmJggFIxu/FrEmE/&#10;W7HTtP+exwTj6U533zWbs7PihFMcPSkoVjkIpM6bkXoF+8+X7BFETJqMtp5QwQUjbNrrq0bXxi/0&#10;gadd6gWXUKy1giGlUEsZuwGdjisfkNg7+snpxHLqpZn0wuXOynWel9LpkXhh0AG3A3bfu9kpmGcM&#10;b9u1PT4s7/vnS0xefoVXpW5vivwJRMJz+gvDLz6jQ8tMBz+TicIqyIqqZPbEzn0JghNZxfqgoLyr&#10;QLaN/P+g/QFQSwMEFAAAAAgAh07iQC80S6ojAgAAbwQAAA4AAABkcnMvZTJvRG9jLnhtbK1UzY7T&#10;MBC+I/EOlu80aXfb7kZN90ApQkKw0sIDuPYkseQ/2W6TPg0SNx6Cx0G8BmO3dLu7HHogh2TGHn8z&#10;3zfjLO4GrcgOfJDW1HQ8KikBw62Qpq3p1y/rNzeUhMiMYMoaqOkeAr1bvn616F0FE9tZJcATBDGh&#10;6l1NuxhdVRSBd6BZGFkHBjcb6zWL6Pq2EJ71iK5VMSnLWdFbL5y3HELA1dVhkx4R/SWAtmkkh5Xl&#10;Ww0mHlA9KBaRUuikC3SZq20a4PFz0wSIRNUUmcb8xiRob9K7WC5Y1XrmOsmPJbBLSnjGSTNpMOkJ&#10;asUiI1svX0Bpyb0NtokjbnVxIJIVQRbj8pk2Dx1zkLmg1MGdRA//D5Z/2t17IkVNJ/MpJYZpbPnv&#10;bz9+/fxO0grq07tQYdiDu/dHL6CZyA6N1+mLNMiQNd2fNIUhEo6L4/HN/HqKcnPcuypn8zKDFo+n&#10;nQ/xPVhNklFTjz3LUrLdxxAxI4b+DUnJglVSrKVS2fHt5q3yZMewv+v8pJLxyJMwZUhf09vpBCly&#10;hkPb4LCgqR0SD6bN+Z6cCOfAZX7+BZwKW7HQHQrICCmMVVpGSHKxqgMm3hlB4t6htAbvFE3FaBCU&#10;KMArmKwcGZlUl0QiO2USNOQBP6qU2nRoTLLisBkQNJkbK/bYY/XB4NzcltPJDO9Bdq7RvqLEn+9s&#10;zne2zsu2w6aMM/mEhnOY9T3emTTo5z7a5/+J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Yi5/&#10;1gAAAAkBAAAPAAAAAAAAAAEAIAAAACIAAABkcnMvZG93bnJldi54bWxQSwECFAAUAAAACACHTuJA&#10;LzRLqiMCAABvBAAADgAAAAAAAAABACAAAAAlAQAAZHJzL2Uyb0RvYy54bWxQSwUGAAAAAAYABgBZ&#10;AQAAugUAAAAA&#10;">
                      <v:fill on="t" focussize="0,0"/>
                      <v:stroke color="#000000" joinstyle="miter"/>
                      <v:imagedata o:title=""/>
                      <o:lock v:ext="edit" aspectratio="f"/>
                      <v:textbox inset="7.12803149606299pt,3.5640157480315pt,7.12803149606299pt,3.5640157480315pt">
                        <w:txbxContent>
                          <w:p w14:paraId="565662FF">
                            <w:pPr>
                              <w:jc w:val="center"/>
                              <w:rPr>
                                <w:rFonts w:hint="eastAsia" w:eastAsia="宋体"/>
                                <w:szCs w:val="21"/>
                                <w:lang w:val="en-US" w:eastAsia="zh-CN"/>
                              </w:rPr>
                            </w:pPr>
                            <w:r>
                              <w:rPr>
                                <w:rFonts w:hint="eastAsia" w:eastAsia="宋体"/>
                                <w:szCs w:val="21"/>
                                <w:lang w:val="en-US" w:eastAsia="zh-CN"/>
                              </w:rPr>
                              <w:t>甩干</w:t>
                            </w:r>
                          </w:p>
                        </w:txbxContent>
                      </v:textbox>
                    </v:rect>
                  </w:pict>
                </mc:Fallback>
              </mc:AlternateContent>
            </w:r>
          </w:p>
          <w:p w14:paraId="4B8D2B08">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08416" behindDoc="0" locked="0" layoutInCell="1" allowOverlap="1">
                      <wp:simplePos x="0" y="0"/>
                      <wp:positionH relativeFrom="character">
                        <wp:posOffset>-648970</wp:posOffset>
                      </wp:positionH>
                      <wp:positionV relativeFrom="line">
                        <wp:posOffset>125095</wp:posOffset>
                      </wp:positionV>
                      <wp:extent cx="635" cy="254000"/>
                      <wp:effectExtent l="37465" t="0" r="38100" b="12700"/>
                      <wp:wrapNone/>
                      <wp:docPr id="278" name="直接连接符 2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1.1pt;margin-top:9.85pt;height:20pt;width:0.05pt;mso-position-horizontal-relative:char;mso-position-vertical-relative:line;z-index:251708416;mso-width-relative:page;mso-height-relative:page;" filled="f" stroked="t" coordsize="21600,21600" o:gfxdata="UEsDBAoAAAAAAIdO4kAAAAAAAAAAAAAAAAAEAAAAZHJzL1BLAwQUAAAACACHTuJAE0nnWdkAAAAL&#10;AQAADwAAAGRycy9kb3ducmV2LnhtbE2PwU7DMBBE70j8g7VI3FrbkYAQ4vSAVC4toLaoKjc3NklE&#10;vI5spw1/z/YEx515mp0pF5Pr2cmG2HlUIOcCmMXamw4bBR+75SwHFpNGo3uPVsGPjbCorq9KXRh/&#10;xo09bVPDKARjoRW0KQ0F57FurdNx7geL5H354HSiMzTcBH2mcNfzTIh77nSH9KHVg31ubf29HZ2C&#10;zXq5yvercarD54t8272vXw8xV+r2RoonYMlO6Q+GS32qDhV1OvoRTWS9gpkUWUYsOY8PwIi4KBLY&#10;UcEdKbwq+f8N1S9QSwMEFAAAAAgAh07iQNDCTEkaAgAAKgQAAA4AAABkcnMvZTJvRG9jLnhtbK1T&#10;S24UMRDdI3EHy3umOwMToDU9EZohbCKIFDhAjdvdbeGfXJ7fJbgAEjtYsWTPbQjHoOyezCRBSFnQ&#10;i1bZVX6u9+p5erY1mq1lQOVszU9GJWfSCtco29X8w/vzJy84wwi2Ae2srPlOIj+bPX403fhKjl3v&#10;dCMDIxCL1cbXvI/RV0WBopcGcOS8tJRsXTAQaRm6ogmwIXSji3FZnhYbFxofnJCItLsYknyPGB4C&#10;6NpWCblwYmWkjQNqkBoiUcJeeeSz3G3bShHftS3KyHTNiWnMf7qE4mX6F7MpVF0A3yuxbwEe0sI9&#10;TgaUpUsPUAuIwFZB/QVllAgOXRtHwpliIJIVIRYn5T1trnrwMnMhqdEfRMf/Byveri8DU03Nx89p&#10;8BYMjfz6849fn77+/vmF/tffv7GUIqE2Hiuqn9vLkKiKrb3yF058RGbdvAfbyVfoSXFyVSov7tSn&#10;Bfrh5LYNJiEQfbbNs9gdZiG3kQnaPH064UzQ/njyrCzzoAqobk76gPGNdIaloOZa2aQTVLC+wJju&#10;huqmJG1ryzY1fzkZJ0wg07ZkFgqNJ+Jou3wWnVbNudI6ncDQLec6sDUk4+Qvc6LM7bJ0yQKwH+py&#10;arBUL6F5bRsWd54EtfSSeGrByIYzLenhpSibL4LSx8oYFAmp/1FNtLRN7cls7T3Xo7QpWrpmRyNd&#10;+aC6/s4syEJZmb3dk0dvr/PEjk98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SedZ2QAAAAsB&#10;AAAPAAAAAAAAAAEAIAAAACIAAABkcnMvZG93bnJldi54bWxQSwECFAAUAAAACACHTuJA0MJMSRoC&#10;AAAqBAAADgAAAAAAAAABACAAAAAoAQAAZHJzL2Uyb0RvYy54bWxQSwUGAAAAAAYABgBZAQAAtAUA&#10;AAAA&#10;">
                      <v:fill on="f" focussize="0,0"/>
                      <v:stroke color="#000000" joinstyle="round" endarrow="block"/>
                      <v:imagedata o:title=""/>
                      <o:lock v:ext="edit" aspectratio="t"/>
                    </v:line>
                  </w:pict>
                </mc:Fallback>
              </mc:AlternateContent>
            </w:r>
          </w:p>
          <w:p w14:paraId="0093CFD7">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47328" behindDoc="0" locked="0" layoutInCell="1" allowOverlap="1">
                      <wp:simplePos x="0" y="0"/>
                      <wp:positionH relativeFrom="column">
                        <wp:posOffset>2721610</wp:posOffset>
                      </wp:positionH>
                      <wp:positionV relativeFrom="paragraph">
                        <wp:posOffset>80010</wp:posOffset>
                      </wp:positionV>
                      <wp:extent cx="589280" cy="2571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89280" cy="257175"/>
                              </a:xfrm>
                              <a:prstGeom prst="rect">
                                <a:avLst/>
                              </a:prstGeom>
                              <a:noFill/>
                              <a:ln w="6350">
                                <a:noFill/>
                              </a:ln>
                              <a:effectLst/>
                            </wps:spPr>
                            <wps:txbx>
                              <w:txbxContent>
                                <w:p w14:paraId="47E38182">
                                  <w:pPr>
                                    <w:jc w:val="center"/>
                                    <w:rPr>
                                      <w:rFonts w:hint="default" w:eastAsia="宋体"/>
                                      <w:sz w:val="18"/>
                                      <w:szCs w:val="18"/>
                                      <w:lang w:val="en-US" w:eastAsia="zh-CN"/>
                                    </w:rPr>
                                  </w:pPr>
                                  <w:r>
                                    <w:rPr>
                                      <w:rFonts w:hint="eastAsia" w:eastAsia="宋体"/>
                                      <w:sz w:val="18"/>
                                      <w:szCs w:val="18"/>
                                      <w:lang w:val="en-US" w:eastAsia="zh-CN"/>
                                    </w:rPr>
                                    <w:t>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3pt;margin-top:6.3pt;height:20.25pt;width:46.4pt;z-index:251747328;mso-width-relative:page;mso-height-relative:page;" filled="f" stroked="f" coordsize="21600,21600" o:gfxdata="UEsDBAoAAAAAAIdO4kAAAAAAAAAAAAAAAAAEAAAAZHJzL1BLAwQUAAAACACHTuJA3L3XmdoAAAAJ&#10;AQAADwAAAGRycy9kb3ducmV2LnhtbE2PzU7DMBCE70i8g7VI3KiT0FZRiFOhSBUSooeWXrhtYjeJ&#10;sNchdn/g6buc4LS7mtHsN+Xq4qw4mSkMnhSkswSEodbrgToF+/f1Qw4iRCSN1pNR8G0CrKrbmxIL&#10;7c+0Nadd7ASHUChQQR/jWEgZ2t44DDM/GmLt4CeHkc+pk3rCM4c7K7MkWUqHA/GHHkdT96b93B2d&#10;gtd6vcFtk7n8x9Yvb4fn8Wv/sVDq/i5NnkBEc4l/ZvjFZ3SomKnxR9JBWAXzLF+ylYWMJxsWWToH&#10;0fDymIKsSvm/QXUFUEsDBBQAAAAIAIdO4kAQGqiDQwIAAHUEAAAOAAAAZHJzL2Uyb0RvYy54bWyt&#10;VMFOGzEQvVfqP1i+l00CgRCxQSmIqhIqSLTq2fF62ZVsj2s77NIPaP+gp15673fxHX32JgHRHjj0&#10;4oxnZt/MezPOyWlvNLtTPrRkSz7eG3GmrKSqtbcl//Tx4s2MsxCFrYQmq0p+rwI/Xbx+ddK5uZpQ&#10;Q7pSngHEhnnnSt7E6OZFEWSjjAh75JRFsCZvRMTV3xaVFx3QjS4mo9Fh0ZGvnCepQoD3fAjyDaJ/&#10;CSDVdSvVOcm1UTYOqF5pEUEpNK0LfJG7rWsl41VdBxWZLjmYxnyiCOxVOovFiZjfeuGaVm5aEC9p&#10;4RknI1qLojuocxEFW/v2LyjTSk+B6rgnyRQDkawIWIxHz7S5aYRTmQukDm4nevh/sPLD3bVnbVXy&#10;/UPOrDCY+MOP7w8/fz/8+sbgg0CdC3Pk3Thkxv4t9VibrT/AmXj3tTfpF4wY4pD3fiev6iOTcE5n&#10;x5MZIhKhyfRofDRNKMXjx86H+E6RYckoucf0sqji7jLEIXWbkmpZumi1zhPUlnUlP9yfjvIHuwjA&#10;tU25Ku/CBiYRGhpPVuxX/Ybliqp7kPQ07Elw8qJFK5cixGvhsRjoHk8nXuGoNaEkbSzOGvJf/+VP&#10;+ZgXopx1WLSShy9r4RVn+r3FJI/HBweAjflyMD2a4OKfRlZPI3Ztzgi7PMYjdTKbKT/qrVl7Mp/x&#10;wpapKkLCStQuedyaZ3FYf7xQqZbLnIRddCJe2hsnE/Qg7nIdqW6z7kmmQRvMK12wjXlym5eT1v3p&#10;PWc9/ls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cvdeZ2gAAAAkBAAAPAAAAAAAAAAEAIAAA&#10;ACIAAABkcnMvZG93bnJldi54bWxQSwECFAAUAAAACACHTuJAEBqog0MCAAB1BAAADgAAAAAAAAAB&#10;ACAAAAApAQAAZHJzL2Uyb0RvYy54bWxQSwUGAAAAAAYABgBZAQAA3gUAAAAA&#10;">
                      <v:fill on="f" focussize="0,0"/>
                      <v:stroke on="f" weight="0.5pt"/>
                      <v:imagedata o:title=""/>
                      <o:lock v:ext="edit" aspectratio="f"/>
                      <v:textbox>
                        <w:txbxContent>
                          <w:p w14:paraId="47E38182">
                            <w:pPr>
                              <w:jc w:val="center"/>
                              <w:rPr>
                                <w:rFonts w:hint="default" w:eastAsia="宋体"/>
                                <w:sz w:val="18"/>
                                <w:szCs w:val="18"/>
                                <w:lang w:val="en-US" w:eastAsia="zh-CN"/>
                              </w:rPr>
                            </w:pPr>
                            <w:r>
                              <w:rPr>
                                <w:rFonts w:hint="eastAsia" w:eastAsia="宋体"/>
                                <w:sz w:val="18"/>
                                <w:szCs w:val="18"/>
                                <w:lang w:val="en-US" w:eastAsia="zh-CN"/>
                              </w:rPr>
                              <w:t>N、S</w:t>
                            </w:r>
                          </w:p>
                        </w:txbxContent>
                      </v:textbox>
                    </v:shape>
                  </w:pict>
                </mc:Fallback>
              </mc:AlternateContent>
            </w:r>
            <w:r>
              <w:rPr>
                <w:color w:val="auto"/>
                <w:sz w:val="20"/>
              </w:rPr>
              <mc:AlternateContent>
                <mc:Choice Requires="wps">
                  <w:drawing>
                    <wp:anchor distT="0" distB="0" distL="114300" distR="114300" simplePos="0" relativeHeight="251746304" behindDoc="0" locked="0" layoutInCell="1" allowOverlap="1">
                      <wp:simplePos x="0" y="0"/>
                      <wp:positionH relativeFrom="column">
                        <wp:posOffset>2345690</wp:posOffset>
                      </wp:positionH>
                      <wp:positionV relativeFrom="paragraph">
                        <wp:posOffset>219710</wp:posOffset>
                      </wp:positionV>
                      <wp:extent cx="454025" cy="0"/>
                      <wp:effectExtent l="0" t="50800" r="3175" b="63500"/>
                      <wp:wrapNone/>
                      <wp:docPr id="35" name="直接箭头连接符 35"/>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4.7pt;margin-top:17.3pt;height:0pt;width:35.75pt;z-index:251746304;mso-width-relative:page;mso-height-relative:page;" filled="f" stroked="t" coordsize="21600,21600" o:gfxdata="UEsDBAoAAAAAAIdO4kAAAAAAAAAAAAAAAAAEAAAAZHJzL1BLAwQUAAAACACHTuJAIRV5TNoAAAAJ&#10;AQAADwAAAGRycy9kb3ducmV2LnhtbE2PTUvDQBCG74L/YRnBi7SbagxtzKaHooIWBFNRvG2z0yQ0&#10;Oxuymzb11zviQW/z8fDOM9lytK04YO8bRwpm0wgEUulMQ5WCt83DZA7CB01Gt45QwQk9LPPzs0yn&#10;xh3pFQ9FqASHkE+1gjqELpXSlzVa7aeuQ+LdzvVWB277SppeHznctvI6ihJpdUN8odYdrmos98Vg&#10;Faxo9/k1Pn3cvrzvH+/nV88nWg+FUpcXs+gORMAx/MHwo8/qkLPT1g1kvGgV3CSLmFEu4gQEA3Ec&#10;LUBsfwcyz+T/D/JvUEsDBBQAAAAIAIdO4kB5q1jiGAIAAAIEAAAOAAAAZHJzL2Uyb0RvYy54bWyt&#10;U82O0zAQviPxDpbvNNl2C0vVdA8tywXBSsADuI6TWPKfZrxN+xK8ABIn4ASc9s7TwPIYjJ3sj5bL&#10;HsghGduZb+b75vPydG8N2ylA7V3FjyYlZ8pJX2vXVvz9u7MnJ5xhFK4WxjtV8YNCfrp6/GjZh4Wa&#10;+s6bWgEjEIeLPlS8izEsigJlp6zAiQ/K0WHjwYpIS2iLGkRP6NYU07J8WvQe6gBeKkTa3QyHfESE&#10;hwD6ptFSbby8sMrFARWUEZEoYacD8lXutmmUjG+aBlVkpuLENOY3FaF4m97FaikWLYjQaTm2IB7S&#10;wj1OVmhHRW+gNiIKdgH6HyirJXj0TZxIb4uBSFaEWByV97R524mgMheSGsON6Pj/YOXr3TkwXVd8&#10;NufMCUsTv/p4+fvDl6sf3399vvzz81OKv31ldE5i9QEXlLN25zCuMJxDYr5vwKYvcWL7LPDhRmC1&#10;j0zS5vH8uJxSHXl9VNzmBcD4UnnLUlBxjCB028W1d46m6OEo6yt2rzBSZUq8TkhFnT/TxuRhGsd6&#10;8vX0WUkzloIc2pAzKLSBWKJrOROmJevLCBkSvdF1Sk9ACO12bYDtBBlmNp3Pns+HnzpRq2F3XtKT&#10;tKAext+H+C5Oam4jsBtS8IAbHwezWR3p/hhtK36SkEYPRqHNC1ezeAg0AgHg+7GGcQSfdB+UTtHW&#10;14c8gLxP1sgNjDZO3ru7ztm3V3f1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EVeUzaAAAACQEA&#10;AA8AAAAAAAAAAQAgAAAAIgAAAGRycy9kb3ducmV2LnhtbFBLAQIUABQAAAAIAIdO4kB5q1jiGAIA&#10;AAIEAAAOAAAAAAAAAAEAIAAAACkBAABkcnMvZTJvRG9jLnhtbFBLBQYAAAAABgAGAFkBAACzBQAA&#10;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09440" behindDoc="0" locked="0" layoutInCell="1" allowOverlap="1">
                      <wp:simplePos x="0" y="0"/>
                      <wp:positionH relativeFrom="character">
                        <wp:posOffset>-1249680</wp:posOffset>
                      </wp:positionH>
                      <wp:positionV relativeFrom="line">
                        <wp:posOffset>74295</wp:posOffset>
                      </wp:positionV>
                      <wp:extent cx="1187450" cy="306705"/>
                      <wp:effectExtent l="4445" t="5080" r="8255" b="12065"/>
                      <wp:wrapNone/>
                      <wp:docPr id="318" name="矩形 318"/>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EE080D">
                                  <w:pPr>
                                    <w:jc w:val="center"/>
                                    <w:rPr>
                                      <w:rFonts w:hint="default" w:eastAsia="宋体"/>
                                      <w:szCs w:val="21"/>
                                      <w:lang w:val="en-US" w:eastAsia="zh-CN"/>
                                    </w:rPr>
                                  </w:pPr>
                                  <w:r>
                                    <w:rPr>
                                      <w:rFonts w:hint="eastAsia" w:eastAsia="宋体"/>
                                      <w:szCs w:val="21"/>
                                      <w:lang w:val="en-US" w:eastAsia="zh-CN"/>
                                    </w:rPr>
                                    <w:t>静电分选、色选</w:t>
                                  </w:r>
                                </w:p>
                              </w:txbxContent>
                            </wps:txbx>
                            <wps:bodyPr lIns="90526" tIns="45263" rIns="90526" bIns="45263" upright="1"/>
                          </wps:wsp>
                        </a:graphicData>
                      </a:graphic>
                    </wp:anchor>
                  </w:drawing>
                </mc:Choice>
                <mc:Fallback>
                  <w:pict>
                    <v:rect id="_x0000_s1026" o:spid="_x0000_s1026" o:spt="1" style="position:absolute;left:0pt;margin-left:-98.4pt;margin-top:5.85pt;height:24.15pt;width:93.5pt;mso-position-horizontal-relative:char;mso-position-vertical-relative:line;z-index:251709440;mso-width-relative:page;mso-height-relative:page;" fillcolor="#FFFFFF" filled="t" stroked="t" coordsize="21600,21600" o:gfxdata="UEsDBAoAAAAAAIdO4kAAAAAAAAAAAAAAAAAEAAAAZHJzL1BLAwQUAAAACACHTuJAZv0K+dUAAAAJ&#10;AQAADwAAAGRycy9kb3ducmV2LnhtbE2PMW/CMBSE90r8B+shdQt2GEJJ4zBQVerQoaWI2cSPJGr8&#10;bMUOgX/f16kdT3e6+67a3dwgrjjG3pOGfKVAIDXe9tRqOH69Zk8gYjJkzeAJNdwxwq5ePFSmtH6m&#10;T7weUiu4hGJpNHQphVLK2HToTFz5gMTexY/OJJZjK+1oZi53g1wrVUhneuKFzgTcd9h8HyanYZow&#10;vO/Xw2Uzfxxf7jF5eQpvWj8uc/UMIuEt/YXhF5/RoWams5/IRjFoyPJtweyJnXwDghPZlvVZQ6EU&#10;yLqS/x/UP1BLAwQUAAAACACHTuJAVKbG8SACAABvBAAADgAAAGRycy9lMm9Eb2MueG1srVTNjtMw&#10;EL4j8Q6W7zRJu+3uRk33QClCQrDSwgO4ziSx5D/ZbpM+DRI3HoLHQbwGYyeU7sJhD+SQfuOZfDPz&#10;zbjru0FJcgTnhdEVLWY5JaC5qYVuK/r50+7VDSU+MF0zaTRU9ASe3m1evlj3toS56YyswREk0b7s&#10;bUW7EGyZZZ53oJifGQsanY1xigU0XZvVjvXIrmQ2z/NV1htXW2c4eI+n29FJJ0b3HELTNILD1vCD&#10;Ah1GVgeSBWzJd8J6uknVNg3w8LFpPAQiK4qdhvTGJIj38Z1t1qxsHbOd4FMJ7DklPOlJMaEx6Zlq&#10;ywIjByf+olKCO+NNE2bcqGxsJCmCXRT5E20eOmYh9YJSe3sW3f8/Wv7heO+IqCu6KHDwmikc+c8v&#10;3358/0riCerTW19i2IO9d5PlEcZmh8ap+IttkCFpejprCkMgHA+L4ub6aolyc/Qt8tV1voyk2Z+v&#10;rfPhLRhFIqiow5klKdnxvQ9j6O+QmMwbKeqdkDIZrt2/lo4cGc53l56J/VGY1KSv6O1yvsQ6GC5t&#10;g8uCUFls3Os25Xv0hb8kztPzL+JY2Jb5biwgMcQwVioRwCXUAavf6JqEk0VpNd4pGotRUFMiAa9g&#10;RCkyMCGfE4naSR2TQFrwSaU4pnEwEYVhPyBphHtTn3DG8p3GvbnNl/MV3oNkXCFeUOIuPftLz8E6&#10;0XY4lCI1H9lwD9P0pjsTF/3SRnz5P7H5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b9CvnVAAAA&#10;CQEAAA8AAAAAAAAAAQAgAAAAIgAAAGRycy9kb3ducmV2LnhtbFBLAQIUABQAAAAIAIdO4kBUpsbx&#10;IAIAAG8EAAAOAAAAAAAAAAEAIAAAACQBAABkcnMvZTJvRG9jLnhtbFBLBQYAAAAABgAGAFkBAAC2&#10;BQAAAAA=&#10;">
                      <v:fill on="t" focussize="0,0"/>
                      <v:stroke color="#000000" joinstyle="miter"/>
                      <v:imagedata o:title=""/>
                      <o:lock v:ext="edit" aspectratio="f"/>
                      <v:textbox inset="7.12803149606299pt,3.5640157480315pt,7.12803149606299pt,3.5640157480315pt">
                        <w:txbxContent>
                          <w:p w14:paraId="2FEE080D">
                            <w:pPr>
                              <w:jc w:val="center"/>
                              <w:rPr>
                                <w:rFonts w:hint="default" w:eastAsia="宋体"/>
                                <w:szCs w:val="21"/>
                                <w:lang w:val="en-US" w:eastAsia="zh-CN"/>
                              </w:rPr>
                            </w:pPr>
                            <w:r>
                              <w:rPr>
                                <w:rFonts w:hint="eastAsia" w:eastAsia="宋体"/>
                                <w:szCs w:val="21"/>
                                <w:lang w:val="en-US" w:eastAsia="zh-CN"/>
                              </w:rPr>
                              <w:t>静电分选、色选</w:t>
                            </w:r>
                          </w:p>
                        </w:txbxContent>
                      </v:textbox>
                    </v:rect>
                  </w:pict>
                </mc:Fallback>
              </mc:AlternateContent>
            </w:r>
          </w:p>
          <w:p w14:paraId="429D8FD5">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sz w:val="20"/>
              </w:rPr>
              <mc:AlternateContent>
                <mc:Choice Requires="wps">
                  <w:drawing>
                    <wp:anchor distT="0" distB="0" distL="114300" distR="114300" simplePos="0" relativeHeight="251748352" behindDoc="0" locked="0" layoutInCell="1" allowOverlap="1">
                      <wp:simplePos x="0" y="0"/>
                      <wp:positionH relativeFrom="column">
                        <wp:posOffset>71120</wp:posOffset>
                      </wp:positionH>
                      <wp:positionV relativeFrom="paragraph">
                        <wp:posOffset>275590</wp:posOffset>
                      </wp:positionV>
                      <wp:extent cx="733425" cy="533400"/>
                      <wp:effectExtent l="0" t="0" r="0" b="0"/>
                      <wp:wrapNone/>
                      <wp:docPr id="40" name="文本框 40"/>
                      <wp:cNvGraphicFramePr/>
                      <a:graphic xmlns:a="http://schemas.openxmlformats.org/drawingml/2006/main">
                        <a:graphicData uri="http://schemas.microsoft.com/office/word/2010/wordprocessingShape">
                          <wps:wsp>
                            <wps:cNvSpPr txBox="1"/>
                            <wps:spPr>
                              <a:xfrm>
                                <a:off x="1661795" y="5707380"/>
                                <a:ext cx="733425"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EA5B2">
                                  <w:pPr>
                                    <w:rPr>
                                      <w:rFonts w:hint="default" w:eastAsia="宋体"/>
                                      <w:lang w:val="en-US" w:eastAsia="zh-CN"/>
                                    </w:rPr>
                                  </w:pPr>
                                  <w:r>
                                    <w:rPr>
                                      <w:rFonts w:hint="eastAsia" w:eastAsia="宋体"/>
                                      <w:lang w:val="en-US" w:eastAsia="zh-CN"/>
                                    </w:rPr>
                                    <w:t>硅酸钙粉、白</w:t>
                                  </w:r>
                                  <w:r>
                                    <w:rPr>
                                      <w:rFonts w:hint="eastAsia" w:eastAsia="宋体"/>
                                      <w:highlight w:val="none"/>
                                      <w:lang w:val="en-US" w:eastAsia="zh-CN"/>
                                    </w:rPr>
                                    <w:t>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21.7pt;height:42pt;width:57.75pt;z-index:251748352;mso-width-relative:page;mso-height-relative:page;" filled="f" stroked="f" coordsize="21600,21600" o:gfxdata="UEsDBAoAAAAAAIdO4kAAAAAAAAAAAAAAAAAEAAAAZHJzL1BLAwQUAAAACACHTuJAMLm6ddkAAAAJ&#10;AQAADwAAAGRycy9kb3ducmV2LnhtbE2PzU7DMBCE70i8g7VI3KiTENoqjVOhSBUSgkNLL9w28TaJ&#10;Gq9D7P7A0+Oc4LajGc1+k6+vphdnGl1nWUE8i0AQ11Z33CjYf2weliCcR9bYWyYF3+RgXdze5Jhp&#10;e+EtnXe+EaGEXYYKWu+HTEpXt2TQzexAHLyDHQ36IMdG6hEvodz0MomiuTTYcfjQ4kBlS/VxdzIK&#10;XsvNO26rxCx/+vLl7fA8fO0/n5S6v4ujFQhPV/8Xhgk/oEMRmCp7Yu1EH3SchKSC9DEFMfnJfAGi&#10;mo5FCrLI5f8FxS9QSwMEFAAAAAgAh07iQMFz6UVFAgAAcwQAAA4AAABkcnMvZTJvRG9jLnhtbK1U&#10;zW7bMAy+D9g7CLqvdv7bIE6RNcgwIFgLZMPOiizHBiRRk5Ta2QNsb7DTLrvvufIco2QnDbodethF&#10;pkiK5PeR9Oy2UZI8Cusq0BntXaWUCM0hr/Quo58+rt5cU+I80zmToEVGD8LR2/nrV7PaTEUfSpC5&#10;sASDaDetTUZL7800SRwvhWLuCozQaCzAKubxandJblmN0ZVM+mk6TmqwubHAhXOoXbZG2kW0LwkI&#10;RVFxsQS+V0L7NqoVknmE5MrKODqP1RaF4P6+KJzwRGYUkfp4YhKUt+FM5jM23Vlmyop3JbCXlPAM&#10;k2KVxqTnUEvmGdnb6q9QquIWHBT+ioNKWiCREUTRS59xsymZERELUu3MmXT3/8LyD48PllR5RodI&#10;iWYKO3788f348/fx1zeCOiSoNm6KfhuDnr55Cw2OzUnvUBlwN4VV4YuISLCPx73JzYiSQ0ZHk3Qy&#10;uO6oFo0nHB0mg8Gwj3YeHFBOoz15CmSs8+8EKBKEjFrsZCSYPa6dx6LQ9eQS8mpYVVLGbkpN6oyO&#10;B6M0Pjhb8IXU+DDAacsOkm+2TYdxC/kBIVpop8QZvqow+Zo5/8AsjgUyhIvj7/EoJGAS6CRKSrBf&#10;/6UP/tgttFJS45hl1H3ZMysoke819vGmNwzE+3gZjiZ9vNhLy/bSovfqDnCSe7iihkcx+Ht5EgsL&#10;6jPu1yJkRRPTHHNn1J/EO98OP+4nF4tFdMJJNMyv9cbwELqlc7H3UFSR6UBTy03HHs5ibEC3N2HY&#10;L+/R6+lf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Lm6ddkAAAAJAQAADwAAAAAAAAABACAA&#10;AAAiAAAAZHJzL2Rvd25yZXYueG1sUEsBAhQAFAAAAAgAh07iQMFz6UVFAgAAcwQAAA4AAAAAAAAA&#10;AQAgAAAAKAEAAGRycy9lMm9Eb2MueG1sUEsFBgAAAAAGAAYAWQEAAN8FAAAAAA==&#10;">
                      <v:fill on="f" focussize="0,0"/>
                      <v:stroke on="f" weight="0.5pt"/>
                      <v:imagedata o:title=""/>
                      <o:lock v:ext="edit" aspectratio="f"/>
                      <v:textbox>
                        <w:txbxContent>
                          <w:p w14:paraId="6DDEA5B2">
                            <w:pPr>
                              <w:rPr>
                                <w:rFonts w:hint="default" w:eastAsia="宋体"/>
                                <w:lang w:val="en-US" w:eastAsia="zh-CN"/>
                              </w:rPr>
                            </w:pPr>
                            <w:r>
                              <w:rPr>
                                <w:rFonts w:hint="eastAsia" w:eastAsia="宋体"/>
                                <w:lang w:val="en-US" w:eastAsia="zh-CN"/>
                              </w:rPr>
                              <w:t>硅酸钙粉、白</w:t>
                            </w:r>
                            <w:r>
                              <w:rPr>
                                <w:rFonts w:hint="eastAsia" w:eastAsia="宋体"/>
                                <w:highlight w:val="none"/>
                                <w:lang w:val="en-US" w:eastAsia="zh-CN"/>
                              </w:rPr>
                              <w:t>油</w:t>
                            </w:r>
                          </w:p>
                        </w:txbxContent>
                      </v:textbox>
                    </v:shape>
                  </w:pict>
                </mc:Fallback>
              </mc:AlternateContent>
            </w:r>
            <w:r>
              <w:rPr>
                <w:color w:val="auto"/>
              </w:rPr>
              <mc:AlternateContent>
                <mc:Choice Requires="wps">
                  <w:drawing>
                    <wp:anchor distT="0" distB="0" distL="114300" distR="114300" simplePos="0" relativeHeight="251710464" behindDoc="0" locked="0" layoutInCell="1" allowOverlap="1">
                      <wp:simplePos x="0" y="0"/>
                      <wp:positionH relativeFrom="character">
                        <wp:posOffset>-620395</wp:posOffset>
                      </wp:positionH>
                      <wp:positionV relativeFrom="line">
                        <wp:posOffset>94615</wp:posOffset>
                      </wp:positionV>
                      <wp:extent cx="635" cy="254000"/>
                      <wp:effectExtent l="37465" t="0" r="38100" b="12700"/>
                      <wp:wrapNone/>
                      <wp:docPr id="52" name="直接连接符 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8.85pt;margin-top:7.45pt;height:20pt;width:0.05pt;mso-position-horizontal-relative:char;mso-position-vertical-relative:line;z-index:251710464;mso-width-relative:page;mso-height-relative:page;" filled="f" stroked="t" coordsize="21600,21600" o:gfxdata="UEsDBAoAAAAAAIdO4kAAAAAAAAAAAAAAAAAEAAAAZHJzL1BLAwQUAAAACACHTuJAcqb5LtkAAAAJ&#10;AQAADwAAAGRycy9kb3ducmV2LnhtbE2PwU7DMBBE70j8g7VI3FonCNo0xOkBqVxaQG1RVW5uvCQR&#10;8TqynTb8PcsJjjvzNDtTLEfbiTP60DpSkE4TEEiVMy3VCt73q0kGIkRNRneOUME3BliW11eFzo27&#10;0BbPu1gLDqGQawVNjH0uZagatDpMXY/E3qfzVkc+fS2N1xcOt528S5KZtLol/tDoHp8arL52g1Ww&#10;3azW2WE9jJX/eE5f92+bl2PIlLq9SZNHEBHH+AfDb32uDiV3OrmBTBCdgsliPmeUjfsFCAZYmIE4&#10;KXhgQZaF/L+g/AFQSwMEFAAAAAgAh07iQPNZ/5caAgAAKAQAAA4AAABkcnMvZTJvRG9jLnhtbK1T&#10;zW4TMRC+I/EOlu9kt4FUsMqmQgnlUkGlwgNMvN5dC//J42STl+AFkLjBiWPvvA3lMRg7adIWIfXA&#10;HlZjz/jzfN98np5tjGZrGVA5W/OTUcmZtMI1ynY1//jh/NlLzjCCbUA7K2u+lcjPZk+fTAdfybHr&#10;nW5kYARisRp8zfsYfVUUKHppAEfOS0vJ1gUDkZahK5oAA6EbXYzL8rQYXGh8cEIi0u5il+R7xPAY&#10;QNe2SsiFEysjbdyhBqkhEiXslUc+y922rRTxfduijEzXnJjG/KdLKF6mfzGbQtUF8L0S+xbgMS08&#10;4GRAWbr0ALWACGwV1F9QRong0LVxJJwpdkSyIsTipHygzVUPXmYuJDX6g+j4/2DFu/VlYKqp+WTM&#10;mQVDE7/5cv3r87ffP7/S/+bHd0YZkmnwWFH13F6GRFRs7JW/cOITMuvmPdhOvkZPepOnUnlxrz4t&#10;0O9ObtpgEgKRZ5s8ie1hEnITmaDN0+cTzgTtjycvyjKPqYDq9qQPGN9KZ1gKaq6VTSpBBesLjOlu&#10;qG5L0ra2bKj5q8k4YQJZtiWrUGg80Ubb5bPotGrOldbpBIZuOdeBrSHZJn+ZE2XulqVLFoD9ri6n&#10;dobqJTRvbMPi1pOelt4RTy0Y2XCmJT27FGXrRVD6WBmDIiH1P6qJlrapPZmNved6lDZFS9dsaaAr&#10;H1TX35sFGSgrszd7cujddZ7Y8YHP/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pvku2QAAAAkB&#10;AAAPAAAAAAAAAAEAIAAAACIAAABkcnMvZG93bnJldi54bWxQSwECFAAUAAAACACHTuJA81n/lxoC&#10;AAAoBAAADgAAAAAAAAABACAAAAAoAQAAZHJzL2Uyb0RvYy54bWxQSwUGAAAAAAYABgBZAQAAtAUA&#10;AAAA&#10;">
                      <v:fill on="f" focussize="0,0"/>
                      <v:stroke color="#000000" joinstyle="round" endarrow="block"/>
                      <v:imagedata o:title=""/>
                      <o:lock v:ext="edit" aspectratio="t"/>
                    </v:line>
                  </w:pict>
                </mc:Fallback>
              </mc:AlternateContent>
            </w:r>
          </w:p>
          <w:p w14:paraId="018C416F">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39136" behindDoc="0" locked="0" layoutInCell="1" allowOverlap="1">
                      <wp:simplePos x="0" y="0"/>
                      <wp:positionH relativeFrom="column">
                        <wp:posOffset>2788285</wp:posOffset>
                      </wp:positionH>
                      <wp:positionV relativeFrom="paragraph">
                        <wp:posOffset>104775</wp:posOffset>
                      </wp:positionV>
                      <wp:extent cx="484505" cy="25717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84505" cy="257175"/>
                              </a:xfrm>
                              <a:prstGeom prst="rect">
                                <a:avLst/>
                              </a:prstGeom>
                              <a:noFill/>
                              <a:ln w="6350">
                                <a:noFill/>
                              </a:ln>
                              <a:effectLst/>
                            </wps:spPr>
                            <wps:txbx>
                              <w:txbxContent>
                                <w:p w14:paraId="61E786CD">
                                  <w:pPr>
                                    <w:jc w:val="center"/>
                                    <w:rPr>
                                      <w:rFonts w:hint="default" w:eastAsia="宋体"/>
                                      <w:sz w:val="18"/>
                                      <w:szCs w:val="18"/>
                                      <w:lang w:val="en-US" w:eastAsia="zh-CN"/>
                                    </w:rPr>
                                  </w:pPr>
                                  <w:r>
                                    <w:rPr>
                                      <w:rFonts w:hint="eastAsia" w:eastAsia="宋体"/>
                                      <w:sz w:val="18"/>
                                      <w:szCs w:val="18"/>
                                      <w:lang w:val="en-US" w:eastAsia="zh-CN"/>
                                    </w:rPr>
                                    <w:t>G、N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5pt;margin-top:8.25pt;height:20.25pt;width:38.15pt;z-index:251739136;mso-width-relative:page;mso-height-relative:page;" filled="f" stroked="f" coordsize="21600,21600" o:gfxdata="UEsDBAoAAAAAAIdO4kAAAAAAAAAAAAAAAAAEAAAAZHJzL1BLAwQUAAAACACHTuJAdX4zo9oAAAAJ&#10;AQAADwAAAGRycy9kb3ducmV2LnhtbE2PTU/DMAyG70j8h8hI3FjSsW6jNJ1QpQkJwWFjl93cxmsr&#10;mqQ02Qf8eswJbrbeR68f56uL7cWJxtB5pyGZKBDkam8612jYva/vliBCRGew9440fFGAVXF9lWNm&#10;/Nlt6LSNjeASFzLU0MY4ZFKGuiWLYeIHcpwd/Ggx8jo20ox45nLby6lSc2mxc3yhxYHKluqP7dFq&#10;eCnXb7ippnb53ZfPr4en4XO3T7W+vUnUI4hIl/gHw68+q0PBTpU/OhNEr2F2/5AwysE8BcFAmqQz&#10;EBUPCwWyyOX/D4ofUEsDBBQAAAAIAIdO4kCOYgZxQgIAAHUEAAAOAAAAZHJzL2Uyb0RvYy54bWyt&#10;VM2O0zAQviPxDpbvNGlpdpeq6apsVYRUsSsVxNl1nCaS7TG226Q8ALwBJy7cea4+B2Mn7VYLhz1w&#10;cecv3/j7Ztzpbask2QvratA5HQ5SSoTmUNR6m9NPH5evbihxnumCSdAipwfh6O3s5YtpYyZiBBXI&#10;QliCINpNGpPTynszSRLHK6GYG4ARGpMlWMU8unabFJY1iK5kMkrTq6QBWxgLXDiH0UWXpD2ifQ4g&#10;lGXNxQL4TgntO1QrJPNIyVW1cXQWb1uWgvv7snTCE5lTZOrjiU3Q3oQzmU3ZZGuZqWreX4E95wpP&#10;OClWa2x6hlowz8jO1n9BqZpbcFD6AQeVdESiIshimD7RZl0xIyIXlNqZs+ju/8HyD/sHS+oipyOc&#10;u2YKJ3788f348/fx1zeCMRSoMW6CdWuDlb59Cy2uzSnuMBh4t6VV4RcZEcyjvIezvKL1hGNwfDPO&#10;0owSjqlRdj28zgJK8vixsc6/E6BIMHJqcXpRVLZfOd+VnkpCLw3LWso4QalJk9Or11kaPzhnEFzq&#10;UCviLvQwgVB38WD5dtP2LDdQHJCkhW5PnOHLGq+yYs4/MIuLgbzw6fh7PEoJ2BJ6i5IK7Nd/xUM9&#10;zguzlDS4aDl1X3bMCkrke42TfDMcj8NmRmecXY/QsZeZzWVG79Qd4C4P8ZEaHs1Q7+XJLC2oz/jC&#10;5qErppjm2Dun/mTe+W798YVyMZ/HItxFw/xKrw0P0J24852Hso66B5k6bXBewcFtjJPrX05Y90s/&#10;Vj3+W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V+M6PaAAAACQEAAA8AAAAAAAAAAQAgAAAA&#10;IgAAAGRycy9kb3ducmV2LnhtbFBLAQIUABQAAAAIAIdO4kCOYgZxQgIAAHUEAAAOAAAAAAAAAAEA&#10;IAAAACkBAABkcnMvZTJvRG9jLnhtbFBLBQYAAAAABgAGAFkBAADdBQAAAAA=&#10;">
                      <v:fill on="f" focussize="0,0"/>
                      <v:stroke on="f" weight="0.5pt"/>
                      <v:imagedata o:title=""/>
                      <o:lock v:ext="edit" aspectratio="f"/>
                      <v:textbox>
                        <w:txbxContent>
                          <w:p w14:paraId="61E786CD">
                            <w:pPr>
                              <w:jc w:val="center"/>
                              <w:rPr>
                                <w:rFonts w:hint="default" w:eastAsia="宋体"/>
                                <w:sz w:val="18"/>
                                <w:szCs w:val="18"/>
                                <w:lang w:val="en-US" w:eastAsia="zh-CN"/>
                              </w:rPr>
                            </w:pPr>
                            <w:r>
                              <w:rPr>
                                <w:rFonts w:hint="eastAsia" w:eastAsia="宋体"/>
                                <w:sz w:val="18"/>
                                <w:szCs w:val="18"/>
                                <w:lang w:val="en-US" w:eastAsia="zh-CN"/>
                              </w:rPr>
                              <w:t>G、N</w:t>
                            </w:r>
                          </w:p>
                        </w:txbxContent>
                      </v:textbox>
                    </v:shape>
                  </w:pict>
                </mc:Fallback>
              </mc:AlternateContent>
            </w:r>
            <w:r>
              <w:rPr>
                <w:color w:val="auto"/>
              </w:rPr>
              <mc:AlternateContent>
                <mc:Choice Requires="wps">
                  <w:drawing>
                    <wp:anchor distT="0" distB="0" distL="114300" distR="114300" simplePos="0" relativeHeight="251694080" behindDoc="1" locked="0" layoutInCell="1" allowOverlap="1">
                      <wp:simplePos x="0" y="0"/>
                      <wp:positionH relativeFrom="column">
                        <wp:posOffset>796290</wp:posOffset>
                      </wp:positionH>
                      <wp:positionV relativeFrom="paragraph">
                        <wp:posOffset>224155</wp:posOffset>
                      </wp:positionV>
                      <wp:extent cx="361950" cy="0"/>
                      <wp:effectExtent l="0" t="38100" r="0" b="38100"/>
                      <wp:wrapNone/>
                      <wp:docPr id="262" name="直接箭头连接符 262"/>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9525" cap="flat" cmpd="sng" algn="ctr">
                                <a:solidFill>
                                  <a:srgbClr val="000000"/>
                                </a:solidFill>
                                <a:prstDash val="solid"/>
                                <a:tailEnd type="triangle" w="med" len="med"/>
                              </a:ln>
                              <a:effectLst/>
                            </wps:spPr>
                            <wps:bodyPr/>
                          </wps:wsp>
                        </a:graphicData>
                      </a:graphic>
                    </wp:anchor>
                  </w:drawing>
                </mc:Choice>
                <mc:Fallback>
                  <w:pict>
                    <v:shape id="_x0000_s1026" o:spid="_x0000_s1026" o:spt="32" type="#_x0000_t32" style="position:absolute;left:0pt;margin-left:62.7pt;margin-top:17.65pt;height:0pt;width:28.5pt;z-index:-251622400;mso-width-relative:page;mso-height-relative:page;" filled="f" stroked="t" coordsize="21600,21600" o:gfxdata="UEsDBAoAAAAAAIdO4kAAAAAAAAAAAAAAAAAEAAAAZHJzL1BLAwQUAAAACACHTuJA1kUvRNgAAAAJ&#10;AQAADwAAAGRycy9kb3ducmV2LnhtbE2PzU7DMBCE70i8g7VI3KjTlEZtiFMJKkQuVKJFFUc3XuKI&#10;eB3F7h9Pz1Yc4Dizn2ZnisXJdeKAQ2g9KRiPEhBItTctNQreN893MxAhajK684QKzhhgUV5fFTo3&#10;/khveFjHRnAIhVwrsDH2uZShtuh0GPkeiW+ffnA6shwaaQZ95HDXyTRJMul0S/zB6h6fLNZf671T&#10;EJcfZ5tt68d5u9q8vGbtd1VVS6Vub8bJA4iIp/gHw6U+V4eSO+38nkwQHet0es+ogsl0AuICzFI2&#10;dr+GLAv5f0H5A1BLAwQUAAAACACHTuJA0e2E5AoCAADtAwAADgAAAGRycy9lMm9Eb2MueG1srVNL&#10;jhMxEN0jcQfLe9JJUCKmlc4sEoYNgkjAARy3u9uSf6rypJNLcAEkVsAKWM1+TgPDMSi7M2EYNrMg&#10;i0657Xqv3vPrxfneGrZTgNq7ik9GY86Uk77Wrq34u7cXT55xhlG4WhjvVMUPCvn58vGjRR9KNfWd&#10;N7UCRiAOyz5UvIsxlEWBslNW4MgH5Wiz8WBFpCW0RQ2iJ3Rriul4PC96D3UALxUivV0Pm/yICA8B&#10;9E2jpVp7eWmViwMqKCMiScJOB+TLPG3TKBlfNw2qyEzFSWnMTyKhepuexXIhyhZE6LQ8jiAeMsI9&#10;TVZoR6QnqLWIgl2C/gfKagkefRNH0ttiEJIdIRWT8T1v3nQiqKyFrMZwMh3/H6x8tdsA03XFp/Mp&#10;Z05YuvKbD1c/33+++f7tx6erX9cfU/31C0sHyK4+YEldK7eB4wrDBpL2fQM2/ZMqts8WH04Wq31k&#10;kl4+nU/OZmS+vN0q/vQFwPhCectSUXGMIHTbxZV3ju7RwyQ7LHYvMRIzNd42JFLnL7Qx+TqNY33F&#10;z2bTGfEIimhD0aDSBpKJruVMmJayLyNkRPRG16k74SC025UBthMpMfmXVBPbX8cS9VpgN5zLW0OW&#10;otDmuatZPARyMoIWrjWKp4msqjkziphTNYAal0hVTupRVzJ4sDRVW18fstNFWlEK8izHxKaY3V1T&#10;ffcrX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kUvRNgAAAAJAQAADwAAAAAAAAABACAAAAAi&#10;AAAAZHJzL2Rvd25yZXYueG1sUEsBAhQAFAAAAAgAh07iQNHthOQKAgAA7QMAAA4AAAAAAAAAAQAg&#10;AAAAJwEAAGRycy9lMm9Eb2MueG1sUEsFBgAAAAAGAAYAWQEAAKMFAAAAAA==&#10;">
                      <v:fill on="f" focussize="0,0"/>
                      <v:stroke color="#000000" joinstyle="round" endarrow="block"/>
                      <v:imagedata o:title=""/>
                      <o:lock v:ext="edit" aspectratio="f"/>
                    </v:shape>
                  </w:pict>
                </mc:Fallback>
              </mc:AlternateContent>
            </w:r>
            <w:r>
              <w:rPr>
                <w:color w:val="auto"/>
                <w:sz w:val="20"/>
              </w:rPr>
              <mc:AlternateContent>
                <mc:Choice Requires="wps">
                  <w:drawing>
                    <wp:anchor distT="0" distB="0" distL="114300" distR="114300" simplePos="0" relativeHeight="251730944" behindDoc="0" locked="0" layoutInCell="1" allowOverlap="1">
                      <wp:simplePos x="0" y="0"/>
                      <wp:positionH relativeFrom="column">
                        <wp:posOffset>2355215</wp:posOffset>
                      </wp:positionH>
                      <wp:positionV relativeFrom="paragraph">
                        <wp:posOffset>234950</wp:posOffset>
                      </wp:positionV>
                      <wp:extent cx="454025" cy="0"/>
                      <wp:effectExtent l="0" t="50800" r="3175" b="63500"/>
                      <wp:wrapNone/>
                      <wp:docPr id="17" name="直接箭头连接符 17"/>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5.45pt;margin-top:18.5pt;height:0pt;width:35.75pt;z-index:251730944;mso-width-relative:page;mso-height-relative:page;" filled="f" stroked="t" coordsize="21600,21600" o:gfxdata="UEsDBAoAAAAAAIdO4kAAAAAAAAAAAAAAAAAEAAAAZHJzL1BLAwQUAAAACACHTuJAEzmI69kAAAAJ&#10;AQAADwAAAGRycy9kb3ducmV2LnhtbE2PTUvDQBCG74L/YRnBi9jd1qg1ZtNDUUEFwSiKt212moRm&#10;Z0N206b+ekc96G0+Ht55JluMrhVb7EPjScN0okAgld42VGl4fbk9nYMI0ZA1rSfUsMcAi/zwIDOp&#10;9Tt6xm0RK8EhFFKjoY6xS6UMZY3OhInvkHi39r0zkdu+krY3Ow53rZwpdSGdaYgv1KbDZY3lphic&#10;hiWtPz7H+/fzp7fN3c385GFPj0Oh9fHRVF2DiDjGPxi+9VkdcnZa+YFsEK2Gs0t1xehPAYKBJJkl&#10;IFa/A5ln8v8H+RdQSwMEFAAAAAgAh07iQJKj7ysYAgAAAgQAAA4AAABkcnMvZTJvRG9jLnhtbK1T&#10;zW7UMBC+I/EOlu9s0m2XltVme9ilXBBUAh7AdZzEkv804252X4IXQOIEnCin3nkaKI/B2Em3Vbn0&#10;QA7J2M58M983nxenW2vYRgFq7yp+MCk5U076Wru24h/enz074QyjcLUw3qmK7xTy0+XTJ4s+zNXU&#10;d97UChiBOJz3oeJdjGFeFCg7ZQVOfFCODhsPVkRaQlvUIHpCt6aYluXzovdQB/BSIdLuejjkIyI8&#10;BtA3jZZq7eWlVS4OqKCMiEQJOx2QL3O3TaNkfNs0qCIzFSemMb+pCMUX6V0sF2LeggidlmML4jEt&#10;POBkhXZUdA+1FlGwS9D/QFktwaNv4kR6WwxEsiLE4qB8oM27TgSVuZDUGPai4/+DlW8258B0TU44&#10;5swJSxO/+XT9++PXmx9Xv75c//n5OcXfvzE6J7H6gHPKWblzGFcYziEx3zZg05c4sW0WeLcXWG0j&#10;k7R5NDsqpzPO5O1RcZcXAOMr5S1LQcUxgtBtF1feOZqih4Osr9i8xkiVKfE2IRV1/kwbk4dpHOuJ&#10;zfS4pBlLQQ5tyBkU2kAs0bWcCdOS9WWEDIne6DqlJyCE9mJlgG0EGeZwOjt8MRt+6kStht1ZSU/S&#10;gnoYfx/i+zipubXAbkjBHa59HMxmdaT7Y7St+ElCGj0YhTYvXc3iLtAIBIDvxxrGEXzSfVA6RRe+&#10;3uUB5H2yRm5gtHHy3v11zr67us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mI69kAAAAJAQAA&#10;DwAAAAAAAAABACAAAAAiAAAAZHJzL2Rvd25yZXYueG1sUEsBAhQAFAAAAAgAh07iQJKj7ysYAgAA&#10;AgQAAA4AAAAAAAAAAQAgAAAAKAEAAGRycy9lMm9Eb2MueG1sUEsFBgAAAAAGAAYAWQEAALIFAAAA&#10;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11488" behindDoc="0" locked="0" layoutInCell="1" allowOverlap="1">
                      <wp:simplePos x="0" y="0"/>
                      <wp:positionH relativeFrom="character">
                        <wp:posOffset>-1221105</wp:posOffset>
                      </wp:positionH>
                      <wp:positionV relativeFrom="line">
                        <wp:posOffset>62865</wp:posOffset>
                      </wp:positionV>
                      <wp:extent cx="1187450" cy="306705"/>
                      <wp:effectExtent l="4445" t="5080" r="8255" b="12065"/>
                      <wp:wrapNone/>
                      <wp:docPr id="53" name="矩形 53"/>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6C7404">
                                  <w:pPr>
                                    <w:jc w:val="center"/>
                                    <w:rPr>
                                      <w:szCs w:val="21"/>
                                    </w:rPr>
                                  </w:pPr>
                                  <w:r>
                                    <w:rPr>
                                      <w:rFonts w:hint="eastAsia"/>
                                      <w:szCs w:val="21"/>
                                    </w:rPr>
                                    <w:t>熔融</w:t>
                                  </w:r>
                                </w:p>
                                <w:p w14:paraId="548CEF69">
                                  <w:pPr>
                                    <w:jc w:val="center"/>
                                    <w:rPr>
                                      <w:szCs w:val="21"/>
                                    </w:rPr>
                                  </w:pPr>
                                </w:p>
                              </w:txbxContent>
                            </wps:txbx>
                            <wps:bodyPr lIns="90526" tIns="45263" rIns="90526" bIns="45263" upright="1"/>
                          </wps:wsp>
                        </a:graphicData>
                      </a:graphic>
                    </wp:anchor>
                  </w:drawing>
                </mc:Choice>
                <mc:Fallback>
                  <w:pict>
                    <v:rect id="_x0000_s1026" o:spid="_x0000_s1026" o:spt="1" style="position:absolute;left:0pt;margin-left:-96.15pt;margin-top:4.95pt;height:24.15pt;width:93.5pt;mso-position-horizontal-relative:char;mso-position-vertical-relative:line;z-index:251711488;mso-width-relative:page;mso-height-relative:page;" fillcolor="#FFFFFF" filled="t" stroked="t" coordsize="21600,21600" o:gfxdata="UEsDBAoAAAAAAIdO4kAAAAAAAAAAAAAAAAAEAAAAZHJzL1BLAwQUAAAACACHTuJACOMfjNYAAAAI&#10;AQAADwAAAGRycy9kb3ducmV2LnhtbE2PMU/DMBCFdyT+g3VIbKmToEKTxulQhMTAAG3F7MbXJGp8&#10;tmKnaf89xwTj031677tqc7WDuOAYekcKskUKAqlxpqdWwWH/lqxAhKjJ6MERKrhhgE19f1fp0riZ&#10;vvCyi63gEgqlVtDF6EspQ9Oh1WHhPBLfTm60OnIcW2lGPXO5HWSeps/S6p54odMetx02591kFUwT&#10;+o9tPpxe5s/D6y1EJ7/9u1KPD1m6BhHxGv9g+NVndajZ6egmMkEMCpKsyJ+YVVAUIBhIlhyPCpar&#10;HGRdyf8P1D9QSwMEFAAAAAgAh07iQOTiL18fAgAAbQQAAA4AAABkcnMvZTJvRG9jLnhtbK1UzY7T&#10;MBC+I/EOlu80aXfT3Y2a7oFShIRgpYUHcJ1JYsl/st0mfRokbjwEj4N4DcZOKN2FQw/kkH7jmXwz&#10;8824q/tBSXIA54XRFZ3PckpAc1ML3Vb086ftq1tKfGC6ZtJoqOgRPL1fv3yx6m0JC9MZWYMjSKJ9&#10;2duKdiHYMss870AxPzMWNDob4xQLaLo2qx3rkV3JbJHny6w3rrbOcPAeTzejk06M7hJC0zSCw8bw&#10;vQIdRlYHkgVsyXfCerpO1TYN8PCxaTwEIiuKnYb0xiSId/GdrVesbB2zneBTCeySEp71pJjQmPRE&#10;tWGBkb0Tf1EpwZ3xpgkzblQ2NpIUwS7m+TNtHjtmIfWCUnt7Et3/P1r+4fDgiKgrWlxRopnCif/8&#10;8u3H968ED1Cd3voSgx7tg5ssjzC2OjROxV9sggxJ0eNJURgC4Xg4n9/eXBcoNkffVb68yYtImv35&#10;2jof3oJRJIKKOpxYEpId3vswhv4Oicm8kaLeCimT4drda+nIgeF0t+mZ2J+ESU36it4ViwLrYLiy&#10;Da4KQmWxba/blO/JF/6cOE/Pv4hjYRvmu7GAxBDDWKlEAJdQB6x+o2sSjhaV1XijaCxGQU2JBLyA&#10;EaXIwIS8JBK1kzomgbTek0pxTONgIgrDbkDSCHemPuKE5TuNW3OXF4sl3oJkXCPGmbtzz+7cs7dO&#10;tB0OZZ6aj2y4hWl6042Ja35uIz7/l1j/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jjH4zWAAAA&#10;CAEAAA8AAAAAAAAAAQAgAAAAIgAAAGRycy9kb3ducmV2LnhtbFBLAQIUABQAAAAIAIdO4kDk4i9f&#10;HwIAAG0EAAAOAAAAAAAAAAEAIAAAACUBAABkcnMvZTJvRG9jLnhtbFBLBQYAAAAABgAGAFkBAAC2&#10;BQAAAAA=&#10;">
                      <v:fill on="t" focussize="0,0"/>
                      <v:stroke color="#000000" joinstyle="miter"/>
                      <v:imagedata o:title=""/>
                      <o:lock v:ext="edit" aspectratio="f"/>
                      <v:textbox inset="7.12803149606299pt,3.5640157480315pt,7.12803149606299pt,3.5640157480315pt">
                        <w:txbxContent>
                          <w:p w14:paraId="106C7404">
                            <w:pPr>
                              <w:jc w:val="center"/>
                              <w:rPr>
                                <w:szCs w:val="21"/>
                              </w:rPr>
                            </w:pPr>
                            <w:r>
                              <w:rPr>
                                <w:rFonts w:hint="eastAsia"/>
                                <w:szCs w:val="21"/>
                              </w:rPr>
                              <w:t>熔融</w:t>
                            </w:r>
                          </w:p>
                          <w:p w14:paraId="548CEF69">
                            <w:pPr>
                              <w:jc w:val="center"/>
                              <w:rPr>
                                <w:szCs w:val="21"/>
                              </w:rPr>
                            </w:pPr>
                          </w:p>
                        </w:txbxContent>
                      </v:textbox>
                    </v:rect>
                  </w:pict>
                </mc:Fallback>
              </mc:AlternateContent>
            </w:r>
          </w:p>
          <w:p w14:paraId="5A8C6F58">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12512" behindDoc="0" locked="0" layoutInCell="1" allowOverlap="1">
                      <wp:simplePos x="0" y="0"/>
                      <wp:positionH relativeFrom="character">
                        <wp:posOffset>-591820</wp:posOffset>
                      </wp:positionH>
                      <wp:positionV relativeFrom="line">
                        <wp:posOffset>83185</wp:posOffset>
                      </wp:positionV>
                      <wp:extent cx="635" cy="254000"/>
                      <wp:effectExtent l="37465" t="0" r="38100" b="12700"/>
                      <wp:wrapNone/>
                      <wp:docPr id="54" name="直接连接符 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6.6pt;margin-top:6.55pt;height:20pt;width:0.05pt;mso-position-horizontal-relative:char;mso-position-vertical-relative:line;z-index:251712512;mso-width-relative:page;mso-height-relative:page;" filled="f" stroked="t" coordsize="21600,21600" o:gfxdata="UEsDBAoAAAAAAIdO4kAAAAAAAAAAAAAAAAAEAAAAZHJzL1BLAwQUAAAACACHTuJAfgXPN9kAAAAJ&#10;AQAADwAAAGRycy9kb3ducmV2LnhtbE2PT0/CQBDF7yZ+h82QeINtIZpau+VgghcQAxijt6U7tI3d&#10;2WZ3C/XbO5z0NH/ey5vfFMvRduKMPrSOFKSzBARS5UxLtYL3w2qagQhRk9GdI1TwgwGW5e1NoXPj&#10;LrTD8z7WgkMo5FpBE2OfSxmqBq0OM9cjsXZy3urIo6+l8frC4baT8yR5kFa3xBca3eNzg9X3frAK&#10;dpvVOvtYD2Plv17S7eFt8/oZMqXuJmnyBCLiGP/McMVndCiZ6egGMkF0CqaPizlbWVikINjAC26O&#10;Cu65yrKQ/z8ofwFQSwMEFAAAAAgAh07iQEF2jT8ZAgAAKAQAAA4AAABkcnMvZTJvRG9jLnhtbK1T&#10;S24UMRDdI3EHy3umO0Mmgtb0RGiGsIkgUuAANW53t4V/cnl+l+ACSOxgxZI9tyEcg7J7MpMEIWVB&#10;L1plV/m53qvn6fnWaLaWAZWzNT8ZlZxJK1yjbFfzD+8vnr3gDCPYBrSzsuY7ifx89vTJdOMrOXa9&#10;040MjEAsVhtf8z5GXxUFil4awJHz0lKydcFApGXoiibAhtCNLsZleVZsXGh8cEIi0u5iSPI9YngM&#10;oGtbJeTCiZWRNg6oQWqIRAl75ZHPcrdtK0V817YoI9M1J6Yx/+kSipfpX8ymUHUBfK/EvgV4TAsP&#10;OBlQli49QC0gAlsF9ReUUSI4dG0cCWeKgUhWhFiclA+0ue7By8yFpEZ/EB3/H6x4u74KTDU1n5xy&#10;ZsHQxG8+//j16evvn1/of/P9G6MMybTxWFH13F6FRFRs7bW/dOIjMuvmPdhOvkJPepOnUnlxrz4t&#10;0A8nt20wCYHIs22exO4wCbmNTNDm2fMJZ4L2x5PTssxjKqC6PekDxjfSGZaCmmtlk0pQwfoSY7ob&#10;qtuStK0t29T85WScMIEs25JVKDSeaKPt8ll0WjUXSut0AkO3nOvA1pBsk7/MiTJ3y9IlC8B+qMup&#10;wVC9hOa1bVjcedLT0jviqQUjG860pGeXomy9CEofK2NQJKT+RzXR0ja1J7Ox91yP0qZo6ZodDXTl&#10;g+r6e7MgA2Vl9mZPDr27zhM7PvD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4FzzfZAAAACQEA&#10;AA8AAAAAAAAAAQAgAAAAIgAAAGRycy9kb3ducmV2LnhtbFBLAQIUABQAAAAIAIdO4kBBdo0/GQIA&#10;ACgEAAAOAAAAAAAAAAEAIAAAACgBAABkcnMvZTJvRG9jLnhtbFBLBQYAAAAABgAGAFkBAACzBQAA&#10;AAA=&#10;">
                      <v:fill on="f" focussize="0,0"/>
                      <v:stroke color="#000000" joinstyle="round" endarrow="block"/>
                      <v:imagedata o:title=""/>
                      <o:lock v:ext="edit" aspectratio="t"/>
                    </v:line>
                  </w:pict>
                </mc:Fallback>
              </mc:AlternateContent>
            </w:r>
          </w:p>
          <w:p w14:paraId="6B95D71B">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40160" behindDoc="0" locked="0" layoutInCell="1" allowOverlap="1">
                      <wp:simplePos x="0" y="0"/>
                      <wp:positionH relativeFrom="column">
                        <wp:posOffset>2835910</wp:posOffset>
                      </wp:positionH>
                      <wp:positionV relativeFrom="paragraph">
                        <wp:posOffset>81915</wp:posOffset>
                      </wp:positionV>
                      <wp:extent cx="484505" cy="25717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84505" cy="257175"/>
                              </a:xfrm>
                              <a:prstGeom prst="rect">
                                <a:avLst/>
                              </a:prstGeom>
                              <a:noFill/>
                              <a:ln w="6350">
                                <a:noFill/>
                              </a:ln>
                              <a:effectLst/>
                            </wps:spPr>
                            <wps:txbx>
                              <w:txbxContent>
                                <w:p w14:paraId="3849A4BF">
                                  <w:pPr>
                                    <w:jc w:val="center"/>
                                    <w:rPr>
                                      <w:rFonts w:hint="default" w:eastAsia="宋体"/>
                                      <w:sz w:val="18"/>
                                      <w:szCs w:val="18"/>
                                      <w:lang w:val="en-US" w:eastAsia="zh-CN"/>
                                    </w:rPr>
                                  </w:pPr>
                                  <w:r>
                                    <w:rPr>
                                      <w:rFonts w:hint="eastAsia" w:eastAsia="宋体"/>
                                      <w:sz w:val="18"/>
                                      <w:szCs w:val="18"/>
                                      <w:lang w:val="en-US" w:eastAsia="zh-CN"/>
                                    </w:rPr>
                                    <w:t>G、S、N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3pt;margin-top:6.45pt;height:20.25pt;width:38.15pt;z-index:251740160;mso-width-relative:page;mso-height-relative:page;" filled="f" stroked="f" coordsize="21600,21600" o:gfxdata="UEsDBAoAAAAAAIdO4kAAAAAAAAAAAAAAAAAEAAAAZHJzL1BLAwQUAAAACACHTuJALvBo/NkAAAAJ&#10;AQAADwAAAGRycy9kb3ducmV2LnhtbE2PzU7DMBCE70i8g7VI3KjTkEYlxKlQpAoJwaGlF26b2E0i&#10;7HWI3R94erYnuM1qPs3OlKuzs+JopjB4UjCfJSAMtV4P1CnYva/vliBCRNJoPRkF3ybAqrq+KrHQ&#10;/kQbc9zGTnAIhQIV9DGOhZSh7Y3DMPOjIfb2fnIY+Zw6qSc8cbizMk2SXDociD/0OJq6N+3n9uAU&#10;vNTrN9w0qVv+2Pr5df80fu0+Fkrd3syTRxDRnOMfDJf6XB0q7tT4A+kgrIIsy3NG2UgfQDCwSC+i&#10;YXGfgaxK+X9B9QtQSwMEFAAAAAgAh07iQDuScqNCAgAAdQQAAA4AAABkcnMvZTJvRG9jLnhtbK1U&#10;zY7aMBC+V+o7WL6XBEqWXURY0UVUlVB3JVr1bByHRLI9rm1I6AO0b7CnXnrvc/EcHTvAom0Pe+jF&#10;zF++8ffNmMltqyTZCetq0Dnt91JKhOZQ1HqT08+fFm+uKXGe6YJJ0CKne+Ho7fT1q0ljxmIAFchC&#10;WIIg2o0bk9PKezNOEscroZjrgREakyVYxTy6dpMUljWIrmQySNOrpAFbGAtcOIfReZekR0T7EkAo&#10;y5qLOfCtEtp3qFZI5pGSq2rj6DTetiwF9/dl6YQnMqfI1McTm6C9DmcynbDxxjJT1fx4BfaSKzzj&#10;pFitsekZas48I1tb/wWlam7BQel7HFTSEYmKIIt++kybVcWMiFxQamfOorv/B8s/7h4sqYucDm4o&#10;0UzhxA+PPw4/fx9+fScYQ4Ea48ZYtzJY6dt30OLanOIOg4F3W1oVfpERwTzKuz/LK1pPOAaH18Ms&#10;zSjhmBpko/4oCyjJ08fGOv9egCLByKnF6UVR2W7pfFd6Kgm9NCxqKeMEpSZNTq/eZmn84JxBcKlD&#10;rYi7cIQJhLqLB8u36/bIcg3FHkla6PbEGb6o8SpL5vwDs7gYyAufjr/Ho5SALeFoUVKB/faveKjH&#10;eWGWkgYXLafu65ZZQYn8oHGSN/3hMGxmdIbZaICOvcysLzN6q+4Ad7mPj9TwaIZ6L09maUF9wRc2&#10;C10xxTTH3jn1J/POd+uPL5SL2SwW4S4a5pd6ZXiA7sSdbT2UddQ9yNRpg/MKDm5jnNzx5YR1v/Rj&#10;1dO/xfQ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vBo/NkAAAAJAQAADwAAAAAAAAABACAAAAAi&#10;AAAAZHJzL2Rvd25yZXYueG1sUEsBAhQAFAAAAAgAh07iQDuScqNCAgAAdQQAAA4AAAAAAAAAAQAg&#10;AAAAKAEAAGRycy9lMm9Eb2MueG1sUEsFBgAAAAAGAAYAWQEAANwFAAAAAA==&#10;">
                      <v:fill on="f" focussize="0,0"/>
                      <v:stroke on="f" weight="0.5pt"/>
                      <v:imagedata o:title=""/>
                      <o:lock v:ext="edit" aspectratio="f"/>
                      <v:textbox>
                        <w:txbxContent>
                          <w:p w14:paraId="3849A4BF">
                            <w:pPr>
                              <w:jc w:val="center"/>
                              <w:rPr>
                                <w:rFonts w:hint="default" w:eastAsia="宋体"/>
                                <w:sz w:val="18"/>
                                <w:szCs w:val="18"/>
                                <w:lang w:val="en-US" w:eastAsia="zh-CN"/>
                              </w:rPr>
                            </w:pPr>
                            <w:r>
                              <w:rPr>
                                <w:rFonts w:hint="eastAsia" w:eastAsia="宋体"/>
                                <w:sz w:val="18"/>
                                <w:szCs w:val="18"/>
                                <w:lang w:val="en-US" w:eastAsia="zh-CN"/>
                              </w:rPr>
                              <w:t>G、S、N</w:t>
                            </w:r>
                          </w:p>
                        </w:txbxContent>
                      </v:textbox>
                    </v:shape>
                  </w:pict>
                </mc:Fallback>
              </mc:AlternateContent>
            </w:r>
            <w:r>
              <w:rPr>
                <w:color w:val="auto"/>
                <w:sz w:val="20"/>
              </w:rPr>
              <mc:AlternateContent>
                <mc:Choice Requires="wps">
                  <w:drawing>
                    <wp:anchor distT="0" distB="0" distL="114300" distR="114300" simplePos="0" relativeHeight="251731968" behindDoc="0" locked="0" layoutInCell="1" allowOverlap="1">
                      <wp:simplePos x="0" y="0"/>
                      <wp:positionH relativeFrom="column">
                        <wp:posOffset>2412365</wp:posOffset>
                      </wp:positionH>
                      <wp:positionV relativeFrom="paragraph">
                        <wp:posOffset>221615</wp:posOffset>
                      </wp:positionV>
                      <wp:extent cx="454025" cy="0"/>
                      <wp:effectExtent l="0" t="50800" r="3175" b="63500"/>
                      <wp:wrapNone/>
                      <wp:docPr id="19" name="直接箭头连接符 19"/>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9.95pt;margin-top:17.45pt;height:0pt;width:35.75pt;z-index:251731968;mso-width-relative:page;mso-height-relative:page;" filled="f" stroked="t" coordsize="21600,21600" o:gfxdata="UEsDBAoAAAAAAIdO4kAAAAAAAAAAAAAAAAAEAAAAZHJzL1BLAwQUAAAACACHTuJANxR6+9oAAAAJ&#10;AQAADwAAAGRycy9kb3ducmV2LnhtbE2PT0vDQBDF74LfYRnBi7SbaKptzKaHooIKgqko3rbZaRKa&#10;nQ3ZTZv66R3xoKf593jvN9lytK3YY+8bRwriaQQCqXSmoUrB2/p+MgfhgyajW0eo4IgelvnpSaZT&#10;4w70ivsiVIJNyKdaQR1Cl0rpyxqt9lPXIfFt63qrA499JU2vD2xuW3kZRdfS6oY4odYdrmosd8Vg&#10;Faxo+/k1Pn7MXt53D3fzi6cjPQ+FUudncXQLIuAY/sTwg8/okDPTxg1kvGgVXN0sFizlJuHKgmQW&#10;JyA2vwuZZ/L/B/k3UEsDBBQAAAAIAIdO4kCxoK2YGAIAAAIEAAAOAAAAZHJzL2Uyb0RvYy54bWyt&#10;U81u1DAQviPxDpbvbNJtF9rVZnvYpVwQVAIewHWcxJL/NONudl+CF0DiBJwop955GiiPwdhJt1W5&#10;9EAOydjOfDPfN58Xp1tr2EYBau8qfjApOVNO+lq7tuIf3p89O+YMo3C1MN6piu8U8tPl0yeLPszV&#10;1Hfe1AoYgTic96HiXYxhXhQoO2UFTnxQjg4bD1ZEWkJb1CB6QremmJbl86L3UAfwUiHS7no45CMi&#10;PAbQN42Wau3lpVUuDqigjIhECTsdkC9zt02jZHzbNKgiMxUnpjG/qQjFF+ldLBdi3oIInZZjC+Ix&#10;LTzgZIV2VHQPtRZRsEvQ/0BZLcGjb+JEelsMRLIixOKgfKDNu04ElbmQ1Bj2ouP/g5VvNufAdE1O&#10;OOHMCUsTv/l0/fvj15sfV7++XP/5+TnF378xOiex+oBzylm5cxhXGM4hMd82YNOXOLFtFni3F1ht&#10;I5O0eTQ7KqczzuTtUXGXFwDjK+UtS0HFMYLQbRdX3jmaooeDrK/YvMZIlSnxNiEVdf5MG5OHaRzr&#10;ic30RUkzloIc2pAzKLSBWKJrOROmJevLCBkSvdF1Sk9ACO3FygDbCDLM4XR2eDIbfupErYbdWUlP&#10;0oJ6GH8f4vs4qbm1wG5IwR2ufRzMZnWk+2O0rfhxQho9GIU2L13N4i7QCASA78caxhF80n1QOkUX&#10;vt7lAeR9skZuYLRx8t79dc6+u7r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cUevvaAAAACQEA&#10;AA8AAAAAAAAAAQAgAAAAIgAAAGRycy9kb3ducmV2LnhtbFBLAQIUABQAAAAIAIdO4kCxoK2YGAIA&#10;AAIEAAAOAAAAAAAAAAEAIAAAACkBAABkcnMvZTJvRG9jLnhtbFBLBQYAAAAABgAGAFkBAACzBQAA&#10;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13536" behindDoc="0" locked="0" layoutInCell="1" allowOverlap="1">
                      <wp:simplePos x="0" y="0"/>
                      <wp:positionH relativeFrom="character">
                        <wp:posOffset>-1192530</wp:posOffset>
                      </wp:positionH>
                      <wp:positionV relativeFrom="line">
                        <wp:posOffset>51435</wp:posOffset>
                      </wp:positionV>
                      <wp:extent cx="1187450" cy="306705"/>
                      <wp:effectExtent l="4445" t="5080" r="8255" b="12065"/>
                      <wp:wrapNone/>
                      <wp:docPr id="55" name="矩形 55"/>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B8CE5A">
                                  <w:pPr>
                                    <w:jc w:val="center"/>
                                    <w:rPr>
                                      <w:szCs w:val="21"/>
                                    </w:rPr>
                                  </w:pPr>
                                  <w:r>
                                    <w:rPr>
                                      <w:rFonts w:hint="eastAsia"/>
                                      <w:szCs w:val="21"/>
                                    </w:rPr>
                                    <w:t>挤出拉丝</w:t>
                                  </w:r>
                                </w:p>
                                <w:p w14:paraId="2CCEA6DA"/>
                              </w:txbxContent>
                            </wps:txbx>
                            <wps:bodyPr lIns="90526" tIns="45263" rIns="90526" bIns="45263" upright="1"/>
                          </wps:wsp>
                        </a:graphicData>
                      </a:graphic>
                    </wp:anchor>
                  </w:drawing>
                </mc:Choice>
                <mc:Fallback>
                  <w:pict>
                    <v:rect id="_x0000_s1026" o:spid="_x0000_s1026" o:spt="1" style="position:absolute;left:0pt;margin-left:-93.9pt;margin-top:4.05pt;height:24.15pt;width:93.5pt;mso-position-horizontal-relative:char;mso-position-vertical-relative:line;z-index:251713536;mso-width-relative:page;mso-height-relative:page;" fillcolor="#FFFFFF" filled="t" stroked="t" coordsize="21600,21600" o:gfxdata="UEsDBAoAAAAAAIdO4kAAAAAAAAAAAAAAAAAEAAAAZHJzL1BLAwQUAAAACACHTuJAmSlaVdUAAAAH&#10;AQAADwAAAGRycy9kb3ducmV2LnhtbE3PwW7CMAwG4PukvUNkpN0gLdqg6upyYJq0ww4boJ1DY9qK&#10;xImalMLbL5y2o+Vfvz9Xm6s14kJD6B0j5IsMBHHjdM8twmH/Pi9AhKhYK+OYEG4UYFM/PlSq1G7i&#10;b7rsYitSCYdSIXQx+lLK0HRkVVg4T5x2JzdYFdM4tFIPakrl1shllq2kVT2nC53ytO2oOe9GizCO&#10;5D+3S3NaT1+Ht1uITv74D8SnWZ69goh0jX9huPMTHepkOrqRdRAGYZ4X62SPCEUOIgXunxwRXlbP&#10;IOtK/vfXv1BLAwQUAAAACACHTuJAucJ5ZiICAABtBAAADgAAAGRycy9lMm9Eb2MueG1srVTNjtMw&#10;EL4j8Q6W7zRpd9vdjZrugVKEhGClhQdw7UliyX+y3SZ9GiRuPASPg3gNxm4o3YVDD+SQzNjjb+b7&#10;Zpzl/aAV2YMP0pqaTiclJWC4FdK0Nf38afPqlpIQmRFMWQM1PUCg96uXL5a9q2BmO6sEeIIgJlS9&#10;q2kXo6uKIvAONAsT68DgZmO9ZhFd3xbCsx7RtSpmZbkoeuuF85ZDCLi6Pm7SEdFfAmibRnJYW77T&#10;YOIR1YNiESmFTrpAV7napgEePzZNgEhUTZFpzG9MgvY2vYvVklWtZ66TfCyBXVLCM06aSYNJT1Br&#10;FhnZefkXlJbc22CbOOFWF0ciWRFkMS2fafPYMQeZC0od3En08P9g+Yf9gydS1HQ+p8QwjR3/+eXb&#10;j+9fCS6gOr0LFQY9ugc/egHNRHVovE5fJEGGrOjhpCgMkXBcnE5vb67nKDbHvatycVNm0OLPaedD&#10;fAtWk2TU1GPHspBs/z5EzIihv0NSsmCVFBupVHZ8u32tPNkz7O4mP6lkPPIkTBnS1/RuPkOGnOHI&#10;NjgqaGqHtINpc74nJ8I5cJmffwGnwtYsdMcCMkIKY5WWEZJcrOqAiTdGkHhwqKzBG0VTMRoEJQrw&#10;AiYrR0Ym1SWRyE6ZBA15vEeVUpuOjUlWHLYDgiZza8UBO6zeGZyau3I+W+AtyM412leU+POd7fnO&#10;znnZdtiUaSaf0HAKs77jjUljfu6jff6XWP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SlaVdUA&#10;AAAHAQAADwAAAAAAAAABACAAAAAiAAAAZHJzL2Rvd25yZXYueG1sUEsBAhQAFAAAAAgAh07iQLnC&#10;eWYiAgAAbQQAAA4AAAAAAAAAAQAgAAAAJAEAAGRycy9lMm9Eb2MueG1sUEsFBgAAAAAGAAYAWQEA&#10;ALgFAAAAAA==&#10;">
                      <v:fill on="t" focussize="0,0"/>
                      <v:stroke color="#000000" joinstyle="miter"/>
                      <v:imagedata o:title=""/>
                      <o:lock v:ext="edit" aspectratio="f"/>
                      <v:textbox inset="7.12803149606299pt,3.5640157480315pt,7.12803149606299pt,3.5640157480315pt">
                        <w:txbxContent>
                          <w:p w14:paraId="16B8CE5A">
                            <w:pPr>
                              <w:jc w:val="center"/>
                              <w:rPr>
                                <w:szCs w:val="21"/>
                              </w:rPr>
                            </w:pPr>
                            <w:r>
                              <w:rPr>
                                <w:rFonts w:hint="eastAsia"/>
                                <w:szCs w:val="21"/>
                              </w:rPr>
                              <w:t>挤出拉丝</w:t>
                            </w:r>
                          </w:p>
                          <w:p w14:paraId="2CCEA6DA"/>
                        </w:txbxContent>
                      </v:textbox>
                    </v:rect>
                  </w:pict>
                </mc:Fallback>
              </mc:AlternateContent>
            </w:r>
          </w:p>
          <w:p w14:paraId="417AB316">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14560" behindDoc="0" locked="0" layoutInCell="1" allowOverlap="1">
                      <wp:simplePos x="0" y="0"/>
                      <wp:positionH relativeFrom="character">
                        <wp:posOffset>-582295</wp:posOffset>
                      </wp:positionH>
                      <wp:positionV relativeFrom="line">
                        <wp:posOffset>81280</wp:posOffset>
                      </wp:positionV>
                      <wp:extent cx="635" cy="254000"/>
                      <wp:effectExtent l="37465" t="0" r="38100" b="12700"/>
                      <wp:wrapNone/>
                      <wp:docPr id="56" name="直接连接符 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5.85pt;margin-top:6.4pt;height:20pt;width:0.05pt;mso-position-horizontal-relative:char;mso-position-vertical-relative:line;z-index:251714560;mso-width-relative:page;mso-height-relative:page;" filled="f" stroked="t" coordsize="21600,21600" o:gfxdata="UEsDBAoAAAAAAIdO4kAAAAAAAAAAAAAAAAAEAAAAZHJzL1BLAwQUAAAACACHTuJAzuKgJtgAAAAJ&#10;AQAADwAAAGRycy9kb3ducmV2LnhtbE2PzU7DMBCE70h9B2uRuLVOKlHSEKcHpHJpAfVHCG5uvCRR&#10;43VkO214e5YTHHfm0+xMsRptJy7oQ+tIQTpLQCBVzrRUKzge1tMMRIiajO4coYJvDLAqJzeFzo27&#10;0g4v+1gLDqGQawVNjH0uZagatDrMXI/E3pfzVkc+fS2N11cOt52cJ8lCWt0Sf2h0j08NVuf9YBXs&#10;tutN9r4Zxsp/Pqevh7fty0fIlLq7TZNHEBHH+AfDb32uDiV3OrmBTBCdgukyfWCUjTlPYICFBYiT&#10;gnsWZFnI/wvKH1BLAwQUAAAACACHTuJAL5NcWBoCAAAoBAAADgAAAGRycy9lMm9Eb2MueG1srVPN&#10;bhMxEL4j8Q6W72S3gVSwyqZCCeVSQaXCA0y83l0L/8njZJOX4AWQuMGJY++8DeUxGDtp0hYh9cAe&#10;VmPP+PN833yenm2MZmsZUDlb85NRyZm0wjXKdjX/+OH82UvOMIJtQDsra76VyM9mT59MB1/Jseud&#10;bmRgBGKxGnzN+xh9VRQoemkAR85LS8nWBQORlqErmgADoRtdjMvytBhcaHxwQiLS7mKX5HvE8BhA&#10;17ZKyIUTKyNt3KEGqSESJeyVRz7L3batFPF926KMTNecmMb8p0soXqZ/MZtC1QXwvRL7FuAxLTzg&#10;ZEBZuvQAtYAIbBXUX1BGieDQtXEknCl2RLIixOKkfKDNVQ9eZi4kNfqD6Pj/YMW79WVgqqn55JQz&#10;C4YmfvPl+tfnb79/fqX/zY/vjDIk0+Cxouq5vQyJqNjYK3/hxCdk1s17sJ18jZ70Jk+l8uJefVqg&#10;353ctMEkBCLPNnkS28Mk5CYyQZunzyecCdofT16UZR5TAdXtSR8wvpXOsBTUXCubVIIK1hcY091Q&#10;3ZakbW3ZUPNXk3HCBLJsS1ah0HiijbbLZ9Fp1ZwrrdMJDN1yrgNbQ7JN/jInytwtS5csAPtdXU7t&#10;DNVLaN7YhsWtJz0tvSOeWjCy4UxLenYpytaLoPSxMgZFQup/VBMtbVN7Mht7z/UobYqWrtnSQFc+&#10;qK6/NwsyUFZmb/bk0LvrPLHjA5/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7ioCbYAAAACQEA&#10;AA8AAAAAAAAAAQAgAAAAIgAAAGRycy9kb3ducmV2LnhtbFBLAQIUABQAAAAIAIdO4kAvk1xYGgIA&#10;ACgEAAAOAAAAAAAAAAEAIAAAACcBAABkcnMvZTJvRG9jLnhtbFBLBQYAAAAABgAGAFkBAACzBQAA&#10;AAA=&#10;">
                      <v:fill on="f" focussize="0,0"/>
                      <v:stroke color="#000000" joinstyle="round" endarrow="block"/>
                      <v:imagedata o:title=""/>
                      <o:lock v:ext="edit" aspectratio="t"/>
                    </v:line>
                  </w:pict>
                </mc:Fallback>
              </mc:AlternateContent>
            </w:r>
          </w:p>
          <w:p w14:paraId="665A9C7F">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42208" behindDoc="0" locked="0" layoutInCell="1" allowOverlap="1">
                      <wp:simplePos x="0" y="0"/>
                      <wp:positionH relativeFrom="column">
                        <wp:posOffset>2788285</wp:posOffset>
                      </wp:positionH>
                      <wp:positionV relativeFrom="paragraph">
                        <wp:posOffset>59055</wp:posOffset>
                      </wp:positionV>
                      <wp:extent cx="351155" cy="2571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51155" cy="257175"/>
                              </a:xfrm>
                              <a:prstGeom prst="rect">
                                <a:avLst/>
                              </a:prstGeom>
                              <a:noFill/>
                              <a:ln w="6350">
                                <a:noFill/>
                              </a:ln>
                              <a:effectLst/>
                            </wps:spPr>
                            <wps:txbx>
                              <w:txbxContent>
                                <w:p w14:paraId="6F440559">
                                  <w:pPr>
                                    <w:jc w:val="center"/>
                                    <w:rPr>
                                      <w:rFonts w:hint="default" w:eastAsia="宋体"/>
                                      <w:sz w:val="18"/>
                                      <w:szCs w:val="18"/>
                                      <w:lang w:val="en-US" w:eastAsia="zh-CN"/>
                                    </w:rPr>
                                  </w:pPr>
                                  <w:r>
                                    <w:rPr>
                                      <w:rFonts w:hint="eastAsia" w:eastAsia="宋体"/>
                                      <w:sz w:val="18"/>
                                      <w:szCs w:val="18"/>
                                      <w:lang w:val="en-US" w:eastAsia="zh-CN"/>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5pt;margin-top:4.65pt;height:20.25pt;width:27.65pt;z-index:251742208;mso-width-relative:page;mso-height-relative:page;" filled="f" stroked="f" coordsize="21600,21600" o:gfxdata="UEsDBAoAAAAAAIdO4kAAAAAAAAAAAAAAAAAEAAAAZHJzL1BLAwQUAAAACACHTuJAPE1SUNoAAAAI&#10;AQAADwAAAGRycy9kb3ducmV2LnhtbE2PzU7DMBCE70i8g7WVuFEnbUBJiFOhSBUSgkNLL9w28TaJ&#10;Gq9D7P7A0+Oe4DarGc18W6wuZhAnmlxvWUE8j0AQN1b33CrYfazvUxDOI2scLJOCb3KwKm9vCsy1&#10;PfOGTlvfilDCLkcFnfdjLqVrOjLo5nYkDt7eTgZ9OKdW6gnPodwMchFFj9Jgz2Ghw5GqjprD9mgU&#10;vFbrd9zUC5P+DNXL2/55/Np9Pih1N4ujJxCeLv4vDFf8gA5lYKrtkbUTg4JkmcUhqiBbggh+kiUJ&#10;iPoqUpBlIf8/UP4CUEsDBBQAAAAIAIdO4kAxEYi6QQIAAHUEAAAOAAAAZHJzL2Uyb0RvYy54bWyt&#10;VMGO2jAQvVfqP1i+lxAgS4sIK7qIqhLqrkSrno3jkEi2x7UNCf2A9g966qX3fhff0bEDLNr2sIde&#10;zHhm8mbemzHT21ZJshfW1aBzmvb6lAjNoaj1NqefPi5fvabEeaYLJkGLnB6Eo7ezly+mjZmIAVQg&#10;C2EJgmg3aUxOK+/NJEkcr4RirgdGaAyWYBXzeLXbpLCsQXQlk0G/f5M0YAtjgQvn0LvogvSEaJ8D&#10;CGVZc7EAvlNC+w7VCsk8UnJVbRydxW7LUnB/X5ZOeCJzikx9PLEI2ptwJrMpm2wtM1XNTy2w57Tw&#10;hJNitcaiF6gF84zsbP0XlKq5BQel73FQSUckKoIs0v4TbdYVMyJyQamduYju/h8s/7B/sKQucjpM&#10;KdFM4cSPP74ff/4+/vpG0IcCNcZNMG9tMNO3b6HFtTn7HToD77a0KvwiI4JxlPdwkVe0nnB0DrM0&#10;zTJKOIYG2TgdZwElefzYWOffCVAkGDm1OL0oKtuvnO9SzymhloZlLWWcoNSkyenNMOvHDy4RBJc6&#10;5Iq4CyeYQKhrPFi+3bQnlhsoDkjSQrcnzvBlja2smPMPzOJiIC98Ov4ej1ICloSTRUkF9uu//CEf&#10;54VRShpctJy6LztmBSXyvcZJvklHo7CZ8TLKxgO82OvI5jqid+oOcJdxWNhdNEO+l2eztKA+4wub&#10;h6oYYppj7Zz6s3nnu/XHF8rFfB6TcBcN8yu9NjxAd+LOdx7KOuoeZOq0wXmFC25jnNzp5YR1v77H&#10;rMd/i9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E1SUNoAAAAIAQAADwAAAAAAAAABACAAAAAi&#10;AAAAZHJzL2Rvd25yZXYueG1sUEsBAhQAFAAAAAgAh07iQDERiLpBAgAAdQQAAA4AAAAAAAAAAQAg&#10;AAAAKQEAAGRycy9lMm9Eb2MueG1sUEsFBgAAAAAGAAYAWQEAANwFAAAAAA==&#10;">
                      <v:fill on="f" focussize="0,0"/>
                      <v:stroke on="f" weight="0.5pt"/>
                      <v:imagedata o:title=""/>
                      <o:lock v:ext="edit" aspectratio="f"/>
                      <v:textbox>
                        <w:txbxContent>
                          <w:p w14:paraId="6F440559">
                            <w:pPr>
                              <w:jc w:val="center"/>
                              <w:rPr>
                                <w:rFonts w:hint="default" w:eastAsia="宋体"/>
                                <w:sz w:val="18"/>
                                <w:szCs w:val="18"/>
                                <w:lang w:val="en-US" w:eastAsia="zh-CN"/>
                              </w:rPr>
                            </w:pPr>
                            <w:r>
                              <w:rPr>
                                <w:rFonts w:hint="eastAsia" w:eastAsia="宋体"/>
                                <w:sz w:val="18"/>
                                <w:szCs w:val="18"/>
                                <w:lang w:val="en-US" w:eastAsia="zh-CN"/>
                              </w:rPr>
                              <w:t>W</w:t>
                            </w:r>
                          </w:p>
                        </w:txbxContent>
                      </v:textbox>
                    </v:shape>
                  </w:pict>
                </mc:Fallback>
              </mc:AlternateContent>
            </w:r>
            <w:r>
              <w:rPr>
                <w:color w:val="auto"/>
                <w:sz w:val="20"/>
              </w:rPr>
              <mc:AlternateContent>
                <mc:Choice Requires="wps">
                  <w:drawing>
                    <wp:anchor distT="0" distB="0" distL="114300" distR="114300" simplePos="0" relativeHeight="251741184" behindDoc="0" locked="0" layoutInCell="1" allowOverlap="1">
                      <wp:simplePos x="0" y="0"/>
                      <wp:positionH relativeFrom="column">
                        <wp:posOffset>2412365</wp:posOffset>
                      </wp:positionH>
                      <wp:positionV relativeFrom="paragraph">
                        <wp:posOffset>189230</wp:posOffset>
                      </wp:positionV>
                      <wp:extent cx="454025" cy="0"/>
                      <wp:effectExtent l="0" t="50800" r="3175" b="63500"/>
                      <wp:wrapNone/>
                      <wp:docPr id="30" name="直接箭头连接符 30"/>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9.95pt;margin-top:14.9pt;height:0pt;width:35.75pt;z-index:251741184;mso-width-relative:page;mso-height-relative:page;" filled="f" stroked="t" coordsize="21600,21600" o:gfxdata="UEsDBAoAAAAAAIdO4kAAAAAAAAAAAAAAAAAEAAAAZHJzL1BLAwQUAAAACACHTuJA9dTuL9sAAAAJ&#10;AQAADwAAAGRycy9kb3ducmV2LnhtbE2PwUrDQBCG74LvsIzgRewmtdUmZtNDUcEKglEUb9vsNAnN&#10;zobspk19ekc86HFmPv75/mw52lbssfeNIwXxJAKBVDrTUKXg7fX+cgHCB01Gt45QwRE9LPPTk0yn&#10;xh3oBfdFqASHkE+1gjqELpXSlzVa7SeuQ+Lb1vVWBx77SppeHzjctnIaRdfS6ob4Q607XNVY7orB&#10;KljR9vNrfPyYP7/vHu4WF+sjPQ2FUudncXQLIuAY/mD40Wd1yNlp4wYyXrQKrm6ShFEF04QrMDCb&#10;xzMQm9+FzDP5v0H+DVBLAwQUAAAACACHTuJA6CpqpBgCAAACBAAADgAAAGRycy9lMm9Eb2MueG1s&#10;rVPNjtMwEL4j8Q6W7zTZdgtL1XQPLcsFwUrAA7iOk1jyn2a8TfsSvAASJ+AEnPbO08DyGIyd7I+W&#10;yx7IIRnbmW/m++bz8nRvDdspQO1dxY8mJWfKSV9r11b8/buzJyecYRSuFsY7VfGDQn66evxo2YeF&#10;mvrOm1oBIxCHiz5UvIsxLIoCZaeswIkPytFh48GKSEtoixpET+jWFNOyfFr0HuoAXipE2t0Mh3xE&#10;hIcA+qbRUm28vLDKxQEVlBGRKGGnA/JV7rZplIxvmgZVZKbixDTmNxWheJvexWopFi2I0Gk5tiAe&#10;0sI9TlZoR0VvoDYiCnYB+h8oqyV49E2cSG+LgUhWhFgclfe0eduJoDIXkhrDjej4/2Dl6905MF1X&#10;fEaSOGFp4lcfL39/+HL14/uvz5d/fn5K8bevjM5JrD7ggnLW7hzGFYZzSMz3Ddj0JU5snwU+3Ais&#10;9pFJ2jyeH5fTOWfy+qi4zQuA8aXylqWg4hhB6LaLa+8cTdHDUdZX7F5hpMqUeJ2Qijp/po3JwzSO&#10;9eTr6bOSCElBDm3IGRTaQCzRtZwJ05L1ZYQMid7oOqUnIIR2uzbAdoIMM5vOZ8/nw0+dqNWwOy/p&#10;SVpQD+PvQ3wXJzW3EdgNKXjAjY+D2ayOdH+MthU/SUijB6PQ5oWrWTwEGoEA8P1YwziCT7oPSqdo&#10;6+tDHkDeJ2vkBkYbJ+/dXefs26u7+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11O4v2wAAAAkB&#10;AAAPAAAAAAAAAAEAIAAAACIAAABkcnMvZG93bnJldi54bWxQSwECFAAUAAAACACHTuJA6CpqpBgC&#10;AAACBAAADgAAAAAAAAABACAAAAAqAQAAZHJzL2Uyb0RvYy54bWxQSwUGAAAAAAYABgBZAQAAtAUA&#10;A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15584" behindDoc="0" locked="0" layoutInCell="1" allowOverlap="1">
                      <wp:simplePos x="0" y="0"/>
                      <wp:positionH relativeFrom="character">
                        <wp:posOffset>-1183005</wp:posOffset>
                      </wp:positionH>
                      <wp:positionV relativeFrom="line">
                        <wp:posOffset>20955</wp:posOffset>
                      </wp:positionV>
                      <wp:extent cx="1187450" cy="306705"/>
                      <wp:effectExtent l="4445" t="5080" r="8255" b="12065"/>
                      <wp:wrapNone/>
                      <wp:docPr id="57" name="矩形 57"/>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997B82">
                                  <w:pPr>
                                    <w:jc w:val="center"/>
                                  </w:pPr>
                                  <w:r>
                                    <w:rPr>
                                      <w:rFonts w:hint="eastAsia"/>
                                      <w:szCs w:val="21"/>
                                    </w:rPr>
                                    <w:t>冷却</w:t>
                                  </w:r>
                                </w:p>
                              </w:txbxContent>
                            </wps:txbx>
                            <wps:bodyPr lIns="90526" tIns="45263" rIns="90526" bIns="45263" upright="1"/>
                          </wps:wsp>
                        </a:graphicData>
                      </a:graphic>
                    </wp:anchor>
                  </w:drawing>
                </mc:Choice>
                <mc:Fallback>
                  <w:pict>
                    <v:rect id="_x0000_s1026" o:spid="_x0000_s1026" o:spt="1" style="position:absolute;left:0pt;margin-left:-93.15pt;margin-top:1.65pt;height:24.15pt;width:93.5pt;mso-position-horizontal-relative:char;mso-position-vertical-relative:line;z-index:251715584;mso-width-relative:page;mso-height-relative:page;" fillcolor="#FFFFFF" filled="t" stroked="t" coordsize="21600,21600" o:gfxdata="UEsDBAoAAAAAAIdO4kAAAAAAAAAAAAAAAAAEAAAAZHJzL1BLAwQUAAAACACHTuJA9GevVNQAAAAG&#10;AQAADwAAAGRycy9kb3ducmV2LnhtbE2Ou27CQBBF+0j5h9UgpYO1QTHI8ZiCKFKKFAmg1It3sC32&#10;Je8aw99nUiXV6GqO7j3V9maNuNIQe+8Q8kUGglzjde9ahOPhbb4BEZNyWhnvCOFOEbb140OlSu0n&#10;90XXfWoFl7hYKoQupVBKGZuOrIoLH8jx7+wHqxLHoZV6UBOXWyOXWVZIq3rHC50KtOuouexHizCO&#10;FD52S3NeT5/H13tMXn6Hd8SnWZ69gEh0S38w/OqzOtTsdPKj01EYhHm+KVbMIqz4MLAGcUJ4zguQ&#10;dSX/69c/UEsDBBQAAAAIAIdO4kBy3UtxHwIAAG0EAAAOAAAAZHJzL2Uyb0RvYy54bWytVM2O0zAQ&#10;viPxDpbvNGl3092Nmu6BUoSEYKWFB3AdJ7HkP43dJn0aJG48BI+DeA3GTijdhUMP5JB+45l8M/PN&#10;uKv7QStyEOClNRWdz3JKhOG2lqat6OdP21e3lPjATM2UNaKiR+Hp/frli1XvSrGwnVW1AIIkxpe9&#10;q2gXgiuzzPNOaOZn1gmDzsaCZgFNaLMaWI/sWmWLPF9mvYXageXCezzdjE46McIlhLZpJBcby/da&#10;mDCyglAsYEu+k87Tdaq2aQQPH5vGi0BURbHTkN6YBPEuvrP1ipUtMNdJPpXALinhWU+aSYNJT1Qb&#10;FhjZg/yLSksO1tsmzLjV2dhIUgS7mOfPtHnsmBOpF5Tau5Po/v/R8g+HByCyrmhxQ4lhGif+88u3&#10;H9+/EjxAdXrnSwx6dA8wWR5hbHVoQMdfbIIMSdHjSVExBMLxcD6/vbkuUGyOvqt8eZMXkTT787UD&#10;H94Kq0kEFQWcWBKSHd77MIb+DonJvFWy3kqlkgHt7rUCcmA43W16JvYnYcqQvqJ3xaLAOhiubIOr&#10;glA7bNubNuV78oU/J87T8y/iWNiG+W4sIDHEMFZqGQQk1AlWvzE1CUeHyhq8UTQWo0VNiRJ4ASNK&#10;kYFJdUkkaqdMTCLSek8qxTGNg4koDLsBSSPc2fqIE1bvDG7NXV4slngLknGN+IoSOPfszj17B7Lt&#10;cCjz1Hxkwy1M05tuTFzzcxvx+b/E+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Z69U1AAAAAYB&#10;AAAPAAAAAAAAAAEAIAAAACIAAABkcnMvZG93bnJldi54bWxQSwECFAAUAAAACACHTuJAct1LcR8C&#10;AABtBAAADgAAAAAAAAABACAAAAAjAQAAZHJzL2Uyb0RvYy54bWxQSwUGAAAAAAYABgBZAQAAtAUA&#10;AAAA&#10;">
                      <v:fill on="t" focussize="0,0"/>
                      <v:stroke color="#000000" joinstyle="miter"/>
                      <v:imagedata o:title=""/>
                      <o:lock v:ext="edit" aspectratio="f"/>
                      <v:textbox inset="7.12803149606299pt,3.5640157480315pt,7.12803149606299pt,3.5640157480315pt">
                        <w:txbxContent>
                          <w:p w14:paraId="12997B82">
                            <w:pPr>
                              <w:jc w:val="center"/>
                            </w:pPr>
                            <w:r>
                              <w:rPr>
                                <w:rFonts w:hint="eastAsia"/>
                                <w:szCs w:val="21"/>
                              </w:rPr>
                              <w:t>冷却</w:t>
                            </w:r>
                          </w:p>
                        </w:txbxContent>
                      </v:textbox>
                    </v:rect>
                  </w:pict>
                </mc:Fallback>
              </mc:AlternateContent>
            </w:r>
          </w:p>
          <w:p w14:paraId="57BA8333">
            <w:pPr>
              <w:pStyle w:val="54"/>
              <w:keepNext w:val="0"/>
              <w:keepLines w:val="0"/>
              <w:pageBreakBefore w:val="0"/>
              <w:kinsoku/>
              <w:wordWrap/>
              <w:overflowPunct/>
              <w:topLinePunct w:val="0"/>
              <w:bidi w:val="0"/>
              <w:adjustRightInd/>
              <w:snapToGrid/>
              <w:spacing w:after="0" w:line="360" w:lineRule="auto"/>
              <w:ind w:firstLine="0" w:firstLineChars="0"/>
              <w:jc w:val="center"/>
              <w:textAlignment w:val="auto"/>
              <w:rPr>
                <w:rFonts w:ascii="Times New Roman" w:hAnsi="宋体"/>
                <w:color w:val="auto"/>
                <w:sz w:val="24"/>
                <w:szCs w:val="24"/>
                <w:lang w:val="zh-CN" w:eastAsia="zh-CN"/>
              </w:rPr>
            </w:pPr>
            <w:r>
              <w:rPr>
                <w:color w:val="auto"/>
              </w:rPr>
              <mc:AlternateContent>
                <mc:Choice Requires="wps">
                  <w:drawing>
                    <wp:anchor distT="0" distB="0" distL="114300" distR="114300" simplePos="0" relativeHeight="251716608" behindDoc="0" locked="0" layoutInCell="1" allowOverlap="1">
                      <wp:simplePos x="0" y="0"/>
                      <wp:positionH relativeFrom="character">
                        <wp:posOffset>-541655</wp:posOffset>
                      </wp:positionH>
                      <wp:positionV relativeFrom="line">
                        <wp:posOffset>60325</wp:posOffset>
                      </wp:positionV>
                      <wp:extent cx="635" cy="254000"/>
                      <wp:effectExtent l="37465" t="0" r="38100" b="12700"/>
                      <wp:wrapNone/>
                      <wp:docPr id="58" name="直接连接符 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2.65pt;margin-top:4.75pt;height:20pt;width:0.05pt;mso-position-horizontal-relative:char;mso-position-vertical-relative:line;z-index:251716608;mso-width-relative:page;mso-height-relative:page;" filled="f" stroked="t" coordsize="21600,21600" o:gfxdata="UEsDBAoAAAAAAIdO4kAAAAAAAAAAAAAAAAAEAAAAZHJzL1BLAwQUAAAACACHTuJAGvt289gAAAAI&#10;AQAADwAAAGRycy9kb3ducmV2LnhtbE2PwU7DMBBE70j8g7VI3FonhaI0ZNMDUrm0ULVFFdzc2CQR&#10;8TqynTb8PcsJjrMzmn1TLEfbibPxoXWEkE4TEIYqp1uqEd4Oq0kGIkRFWnWODMK3CbAsr68KlWt3&#10;oZ0572MtuIRCrhCaGPtcylA1xqowdb0h9j6dtyqy9LXUXl243HZyliQP0qqW+EOjevPUmOprP1iE&#10;3Wa1zo7rYaz8x3P6ethuXt5Dhnh7kyaPIKIZ418YfvEZHUpmOrmBdBAdwiSb33EUYTEHwT7rGYgT&#10;wj0fZFnI/wPKH1BLAwQUAAAACACHTuJAZC8YtBkCAAAoBAAADgAAAGRycy9lMm9Eb2MueG1srVPN&#10;bhMxEL4j8Q6W72S3gVSwyqZCCeVSQaXCA0y83l0L/8njZJOX4AWQuMGJY++8DeUxGDtp0hYh9cAe&#10;VmPP+PN833yenm2MZmsZUDlb85NRyZm0wjXKdjX/+OH82UvOMIJtQDsra76VyM9mT59MB1/Jseud&#10;bmRgBGKxGnzN+xh9VRQoemkAR85LS8nWBQORlqErmgADoRtdjMvytBhcaHxwQiLS7mKX5HvE8BhA&#10;17ZKyIUTKyNt3KEGqSESJeyVRz7L3batFPF926KMTNecmMb8p0soXqZ/MZtC1QXwvRL7FuAxLTzg&#10;ZEBZuvQAtYAIbBXUX1BGieDQtXEknCl2RLIixOKkfKDNVQ9eZi4kNfqD6Pj/YMW79WVgqqn5hOZu&#10;wdDEb75c//r87ffPr/S/+fGdUYZkGjxWVD23lyERFRt75S+c+ITMunkPtpOv0ZPe5KlUXtyrTwv0&#10;u5ObNpiEQOTZJk9ie5iE3EQmaPP0+YQzQfvjyYuyzGMqoLo96QPGt9IZloKaa2WTSlDB+gJjuhuq&#10;25K0rS0bav5qMk6YQJZtySoUGk+00Xb5LDqtmnOldTqBoVvOdWBrSLbJX+ZEmbtl6ZIFYL+ry6md&#10;oXoJzRvbsLj1pKeld8RTC0Y2nGlJzy5F2XoRlD5WxqBISP2PaqKlbWpPZmPvuR6lTdHSNVsa6MoH&#10;1fX3ZkEGysrszZ4cenedJ3Z84L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t289gAAAAIAQAA&#10;DwAAAAAAAAABACAAAAAiAAAAZHJzL2Rvd25yZXYueG1sUEsBAhQAFAAAAAgAh07iQGQvGLQZAgAA&#10;KAQAAA4AAAAAAAAAAQAgAAAAJwEAAGRycy9lMm9Eb2MueG1sUEsFBgAAAAAGAAYAWQEAALIFAAAA&#10;AA==&#10;">
                      <v:fill on="f" focussize="0,0"/>
                      <v:stroke color="#000000" joinstyle="round" endarrow="block"/>
                      <v:imagedata o:title=""/>
                      <o:lock v:ext="edit" aspectratio="t"/>
                    </v:line>
                  </w:pict>
                </mc:Fallback>
              </mc:AlternateContent>
            </w:r>
          </w:p>
          <w:p w14:paraId="2F4210F3">
            <w:pPr>
              <w:keepNext w:val="0"/>
              <w:keepLines w:val="0"/>
              <w:pageBreakBefore w:val="0"/>
              <w:kinsoku/>
              <w:wordWrap/>
              <w:overflowPunct/>
              <w:topLinePunct w:val="0"/>
              <w:bidi w:val="0"/>
              <w:adjustRightInd/>
              <w:snapToGrid/>
              <w:spacing w:line="360" w:lineRule="auto"/>
              <w:ind w:firstLine="0" w:firstLineChars="0"/>
              <w:textAlignment w:val="auto"/>
              <w:rPr>
                <w:rFonts w:hAnsi="宋体"/>
                <w:color w:val="auto"/>
                <w:sz w:val="24"/>
              </w:rPr>
            </w:pPr>
            <w:r>
              <w:rPr>
                <w:color w:val="auto"/>
              </w:rPr>
              <mc:AlternateContent>
                <mc:Choice Requires="wps">
                  <w:drawing>
                    <wp:anchor distT="0" distB="0" distL="114300" distR="114300" simplePos="0" relativeHeight="251743232" behindDoc="0" locked="0" layoutInCell="1" allowOverlap="1">
                      <wp:simplePos x="0" y="0"/>
                      <wp:positionH relativeFrom="column">
                        <wp:posOffset>2788285</wp:posOffset>
                      </wp:positionH>
                      <wp:positionV relativeFrom="paragraph">
                        <wp:posOffset>45720</wp:posOffset>
                      </wp:positionV>
                      <wp:extent cx="332740" cy="25717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332740" cy="257175"/>
                              </a:xfrm>
                              <a:prstGeom prst="rect">
                                <a:avLst/>
                              </a:prstGeom>
                              <a:noFill/>
                              <a:ln w="6350">
                                <a:noFill/>
                              </a:ln>
                              <a:effectLst/>
                            </wps:spPr>
                            <wps:txbx>
                              <w:txbxContent>
                                <w:p w14:paraId="21AE909A">
                                  <w:pPr>
                                    <w:jc w:val="center"/>
                                    <w:rPr>
                                      <w:rFonts w:hint="default" w:eastAsia="宋体"/>
                                      <w:sz w:val="18"/>
                                      <w:szCs w:val="18"/>
                                      <w:lang w:val="en-US" w:eastAsia="zh-CN"/>
                                    </w:rPr>
                                  </w:pPr>
                                  <w:r>
                                    <w:rPr>
                                      <w:rFonts w:hint="eastAsia" w:eastAsia="宋体"/>
                                      <w:sz w:val="18"/>
                                      <w:szCs w:val="1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5pt;margin-top:3.6pt;height:20.25pt;width:26.2pt;z-index:251743232;mso-width-relative:page;mso-height-relative:page;" filled="f" stroked="f" coordsize="21600,21600" o:gfxdata="UEsDBAoAAAAAAIdO4kAAAAAAAAAAAAAAAAAEAAAAZHJzL1BLAwQUAAAACACHTuJAloXPntsAAAAI&#10;AQAADwAAAGRycy9kb3ducmV2LnhtbE2PzU7DMBCE70i8g7VI3KiT0JI2jVOhSBUSooeWXrg58TaJ&#10;Gq9D7P7A07Oc4DarGc18m6+uthdnHH3nSEE8iUAg1c501CjYv68f5iB80GR07wgVfKGHVXF7k+vM&#10;uAtt8bwLjeAS8plW0IYwZFL6ukWr/cQNSOwd3Gh14HNspBn1hcttL5MoepJWd8QLrR6wbLE+7k5W&#10;wWu53uhtldj5d1++vB2eh8/9x0yp+7s4WoIIeA1/YfjFZ3QomKlyJzJe9Aqmj4uYowrSBAT700U8&#10;A1GxSFOQRS7/P1D8AFBLAwQUAAAACACHTuJAOAKqnkECAAB1BAAADgAAAGRycy9lMm9Eb2MueG1s&#10;rVTBjtowEL1X6j9YvpdAgKVFhBVdRFUJdVeiVc/GcUgk2+PahoR+QPsHPfXSe7+L7+jYCSza9rCH&#10;Xsx4ZvJm3psxs9tGSXIQ1lWgMzro9SkRmkNe6V1GP31cvXpNifNM50yCFhk9Ckdv5y9fzGozFSmU&#10;IHNhCYJoN61NRkvvzTRJHC+FYq4HRmgMFmAV83i1uyS3rEZ0JZO0379JarC5scCFc+hdtkHaIdrn&#10;AEJRVFwsge+V0L5FtUIyj5RcWRlH57HbohDc3xeFE57IjCJTH08sgvY2nMl8xqY7y0xZ8a4F9pwW&#10;nnBSrNJY9AK1ZJ6Rva3+glIVt+Cg8D0OKmmJREWQxaD/RJtNyYyIXFBqZy6iu/8Hyz8cHiyp8owO&#10;U0o0Uzjx04/vp5+/T7++EfShQLVxU8zbGMz0zVtocG3OfofOwLsprAq/yIhgHOU9XuQVjSccncNh&#10;OhlhhGMoHU8Gk3FASR4/Ntb5dwIUCUZGLU4visoOa+fb1HNKqKVhVUkZJyg1qTN6Mxz34weXCIJL&#10;HXJF3IUOJhBqGw+Wb7ZNx3IL+RFJWmj3xBm+qrCVNXP+gVlcDOwen46/x6OQgCWhsygpwX79lz/k&#10;47wwSkmNi5ZR92XPrKBEvtc4yTeDURDFx8toPEnxYq8j2+uI3qs7wF0e4CM1PJoh38uzWVhQn/GF&#10;LUJVDDHNsXZG/dm88+364wvlYrGISbiLhvm13hgeoFtxF3sPRRV1DzK12uC8wgW3MU6uezlh3a/v&#10;Mevx3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aFz57bAAAACAEAAA8AAAAAAAAAAQAgAAAA&#10;IgAAAGRycy9kb3ducmV2LnhtbFBLAQIUABQAAAAIAIdO4kA4AqqeQQIAAHUEAAAOAAAAAAAAAAEA&#10;IAAAACoBAABkcnMvZTJvRG9jLnhtbFBLBQYAAAAABgAGAFkBAADdBQAAAAA=&#10;">
                      <v:fill on="f" focussize="0,0"/>
                      <v:stroke on="f" weight="0.5pt"/>
                      <v:imagedata o:title=""/>
                      <o:lock v:ext="edit" aspectratio="f"/>
                      <v:textbox>
                        <w:txbxContent>
                          <w:p w14:paraId="21AE909A">
                            <w:pPr>
                              <w:jc w:val="center"/>
                              <w:rPr>
                                <w:rFonts w:hint="default" w:eastAsia="宋体"/>
                                <w:sz w:val="18"/>
                                <w:szCs w:val="18"/>
                                <w:lang w:val="en-US" w:eastAsia="zh-CN"/>
                              </w:rPr>
                            </w:pPr>
                            <w:r>
                              <w:rPr>
                                <w:rFonts w:hint="eastAsia" w:eastAsia="宋体"/>
                                <w:sz w:val="18"/>
                                <w:szCs w:val="18"/>
                                <w:lang w:val="en-US" w:eastAsia="zh-CN"/>
                              </w:rPr>
                              <w:t>N</w:t>
                            </w:r>
                          </w:p>
                        </w:txbxContent>
                      </v:textbox>
                    </v:shape>
                  </w:pict>
                </mc:Fallback>
              </mc:AlternateContent>
            </w:r>
            <w:r>
              <w:rPr>
                <w:color w:val="auto"/>
                <w:sz w:val="20"/>
              </w:rPr>
              <mc:AlternateContent>
                <mc:Choice Requires="wps">
                  <w:drawing>
                    <wp:anchor distT="0" distB="0" distL="114300" distR="114300" simplePos="0" relativeHeight="251732992" behindDoc="0" locked="0" layoutInCell="1" allowOverlap="1">
                      <wp:simplePos x="0" y="0"/>
                      <wp:positionH relativeFrom="column">
                        <wp:posOffset>2412365</wp:posOffset>
                      </wp:positionH>
                      <wp:positionV relativeFrom="paragraph">
                        <wp:posOffset>185420</wp:posOffset>
                      </wp:positionV>
                      <wp:extent cx="454025" cy="0"/>
                      <wp:effectExtent l="0" t="50800" r="3175" b="63500"/>
                      <wp:wrapNone/>
                      <wp:docPr id="20" name="直接箭头连接符 20"/>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9.95pt;margin-top:14.6pt;height:0pt;width:35.75pt;z-index:251732992;mso-width-relative:page;mso-height-relative:page;" filled="f" stroked="t" coordsize="21600,21600" o:gfxdata="UEsDBAoAAAAAAIdO4kAAAAAAAAAAAAAAAAAEAAAAZHJzL1BLAwQUAAAACACHTuJAxNHL09wAAAAJ&#10;AQAADwAAAGRycy9kb3ducmV2LnhtbE2PwU7CQBCG7ya+w2ZMvBjYtgLS2i0HoiZiQkI1Em5Ld2gb&#10;urNNdwvFp3eNBz3OzJd/vj9dDLphJ+xsbUhAOA6AIRVG1VQK+Hh/Hs2BWSdJycYQCrighUV2fZXK&#10;RJkzbfCUu5L5ELKJFFA51yac26JCLe3YtEj+djCdls6PXclVJ88+XDc8CoIZ17Im/6GSLS4rLI55&#10;rwUs6bD7Gl630/Xn8eVpfre60FufC3F7EwaPwBwO7g+GH32vDpl32puelGWNgPuHOPaogCiOgHlg&#10;Mg0nwPa/C56l/H+D7BtQSwMEFAAAAAgAh07iQC2sHFQYAgAAAgQAAA4AAABkcnMvZTJvRG9jLnht&#10;bK1TzY7TMBC+I/EOlu80aXYLS9V0Dy3LBUEl4AFcx0ks+U8z3qZ9CV4AiRNwAk5752lgeQzGSba7&#10;Wi57IIdkbGe+me+bz4vzvTVspwC1dyWfTnLOlJO+0q4p+ft3F0/OOMMoXCWMd6rkB4X8fPn40aIL&#10;c1X41ptKASMQh/MulLyNMcyzDGWrrMCJD8rRYe3BikhLaLIKREfo1mRFnj/NOg9VAC8VIu2uh0M+&#10;IsJDAH1da6nWXl5a5eKACsqISJSw1QH5su+2rpWMb+oaVWSm5MQ09m8qQvE2vbPlQswbEKHVcmxB&#10;PKSFe5ys0I6KHqHWIgp2CfofKKslePR1nEhvs4FIrwixmOb3tHnbiqB6LiQ1hqPo+P9g5evdBpiu&#10;Sl6QJE5Ymvj1x6vfH75c//j+6/PVn5+fUvztK6NzEqsLOKecldvAuMKwgcR8X4NNX+LE9r3Ah6PA&#10;ah+ZpM3T2WlezDiTN0fZbV4AjC+VtywFJccIQjdtXHnnaIoepr2+YvcKI1WmxJuEVNT5C21MP0zj&#10;WEe+Lp7lREgKcmhNzqDQBmKJruFMmIasLyP0kOiNrlJ6AkJotisDbCfIMCfF7OT5bPipFZUadmc5&#10;PUkL6mH8fYjv4qTm1gLbIQUPuPZxMJvVke6P0bbkZwlp9GAU2rxwFYuHQCMQAL4baxhH8En3QekU&#10;bX116AfQ75M1+gZGGyfv3V332bdXd/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NHL09wAAAAJ&#10;AQAADwAAAAAAAAABACAAAAAiAAAAZHJzL2Rvd25yZXYueG1sUEsBAhQAFAAAAAgAh07iQC2sHFQY&#10;AgAAAgQAAA4AAAAAAAAAAQAgAAAAKwEAAGRycy9lMm9Eb2MueG1sUEsFBgAAAAAGAAYAWQEAALUF&#10;AAAAAA==&#10;">
                      <v:fill on="f" focussize="0,0"/>
                      <v:stroke weight="1pt" color="#325395 [3204]" miterlimit="8" joinstyle="miter" dashstyle="1 1" endarrow="open"/>
                      <v:imagedata o:title=""/>
                      <o:lock v:ext="edit" aspectratio="f"/>
                    </v:shape>
                  </w:pict>
                </mc:Fallback>
              </mc:AlternateContent>
            </w:r>
            <w:r>
              <w:rPr>
                <w:color w:val="auto"/>
              </w:rPr>
              <mc:AlternateContent>
                <mc:Choice Requires="wps">
                  <w:drawing>
                    <wp:anchor distT="0" distB="0" distL="114300" distR="114300" simplePos="0" relativeHeight="251717632" behindDoc="0" locked="0" layoutInCell="1" allowOverlap="1">
                      <wp:simplePos x="0" y="0"/>
                      <wp:positionH relativeFrom="character">
                        <wp:posOffset>1208405</wp:posOffset>
                      </wp:positionH>
                      <wp:positionV relativeFrom="line">
                        <wp:posOffset>9525</wp:posOffset>
                      </wp:positionV>
                      <wp:extent cx="1187450" cy="306705"/>
                      <wp:effectExtent l="4445" t="5080" r="8255" b="12065"/>
                      <wp:wrapNone/>
                      <wp:docPr id="59" name="矩形 59"/>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1B73CA">
                                  <w:pPr>
                                    <w:jc w:val="center"/>
                                    <w:rPr>
                                      <w:szCs w:val="21"/>
                                    </w:rPr>
                                  </w:pPr>
                                  <w:r>
                                    <w:rPr>
                                      <w:rFonts w:hint="eastAsia"/>
                                      <w:szCs w:val="21"/>
                                    </w:rPr>
                                    <w:t>切粒</w:t>
                                  </w:r>
                                </w:p>
                                <w:p w14:paraId="12B94630">
                                  <w:pPr>
                                    <w:jc w:val="center"/>
                                    <w:rPr>
                                      <w:szCs w:val="21"/>
                                    </w:rPr>
                                  </w:pPr>
                                </w:p>
                              </w:txbxContent>
                            </wps:txbx>
                            <wps:bodyPr lIns="90526" tIns="45263" rIns="90526" bIns="45263" upright="1"/>
                          </wps:wsp>
                        </a:graphicData>
                      </a:graphic>
                    </wp:anchor>
                  </w:drawing>
                </mc:Choice>
                <mc:Fallback>
                  <w:pict>
                    <v:rect id="_x0000_s1026" o:spid="_x0000_s1026" o:spt="1" style="position:absolute;left:0pt;margin-left:95.15pt;margin-top:0.75pt;height:24.15pt;width:93.5pt;mso-position-horizontal-relative:char;mso-position-vertical-relative:line;z-index:251717632;mso-width-relative:page;mso-height-relative:page;" fillcolor="#FFFFFF" filled="t" stroked="t" coordsize="21600,21600" o:gfxdata="UEsDBAoAAAAAAIdO4kAAAAAAAAAAAAAAAAAEAAAAZHJzL1BLAwQUAAAACACHTuJAyV9/FNUAAAAI&#10;AQAADwAAAGRycy9kb3ducmV2LnhtbE2PwU7DMBBE70j8g7VI3KjdFkgb4vRQhMSBA5SKsxtvkwh7&#10;bcVO0/49ywlu+zSj2Zlqc/ZOnHBIfSAN85kCgdQE21OrYf/5crcCkbIha1wg1HDBBJv6+qoypQ0T&#10;feBpl1vBIZRKo6HLOZZSpqZDb9IsRCTWjmHwJjMOrbSDmTjcO7lQ6lF60xN/6EzEbYfN9270GsYR&#10;49t24Y7F9L5/vqQc5Fd81fr2Zq6eQGQ85z8z/Nbn6lBzp0MYySbhmNdqyVY+HkCwviwK5oOG+/UK&#10;ZF3J/wPqH1BLAwQUAAAACACHTuJAA4LVFB8CAABtBAAADgAAAGRycy9lMm9Eb2MueG1srVTNjtMw&#10;EL4j8Q6W7zRpd9PdRk33QClCQrDSwgO4ziSx5D/ZbpM+DRI3HoLHQbwGYyeU7sJhD+SQfuOZfDPz&#10;zbjru0FJcgTnhdEVnc9ySkBzUwvdVvTzp92rW0p8YLpm0mio6Ak8vdu8fLHubQkL0xlZgyNIon3Z&#10;24p2IdgyyzzvQDE/MxY0OhvjFAtoujarHeuRXclskefLrDeuts5w8B5Pt6OTTozuOYSmaQSHreEH&#10;BTqMrA4kC9iS74T1dJOqbRrg4WPTeAhEVhQ7DemNSRDv4zvbrFnZOmY7wacS2HNKeNKTYkJj0jPV&#10;lgVGDk78RaUEd8abJsy4UdnYSFIEu5jnT7R56JiF1AtK7e1ZdP//aPmH470joq5osaJEM4UT//nl&#10;24/vXwkeoDq99SUGPdh7N1keYWx1aJyKv9gEGZKip7OiMATC8XA+v725LlBsjr6rfHmTF5E0+/O1&#10;dT68BaNIBBV1OLEkJDu+92EM/R0Sk3kjRb0TUibDtfvX0pEjw+nu0jOxPwqTmvQVXRWLAutguLIN&#10;rgpCZbFtr9uU79EX/pI4T8+/iGNhW+a7sYDEEMNYqUQAl1AHrH6jaxJOFpXVeKNoLEZBTYkEvIAR&#10;pcjAhHxOJGondUwCab0nleKYxsFEFIb9gKQR7k19wgnLdxq3ZpUXiyXegmRcI76ixF169peeg3Wi&#10;7XAo89R8ZMMtTNObbkxc80sb8eW/xO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V9/FNUAAAAI&#10;AQAADwAAAAAAAAABACAAAAAiAAAAZHJzL2Rvd25yZXYueG1sUEsBAhQAFAAAAAgAh07iQAOC1RQf&#10;AgAAbQQAAA4AAAAAAAAAAQAgAAAAJAEAAGRycy9lMm9Eb2MueG1sUEsFBgAAAAAGAAYAWQEAALUF&#10;AAAAAA==&#10;">
                      <v:fill on="t" focussize="0,0"/>
                      <v:stroke color="#000000" joinstyle="miter"/>
                      <v:imagedata o:title=""/>
                      <o:lock v:ext="edit" aspectratio="f"/>
                      <v:textbox inset="7.12803149606299pt,3.5640157480315pt,7.12803149606299pt,3.5640157480315pt">
                        <w:txbxContent>
                          <w:p w14:paraId="1E1B73CA">
                            <w:pPr>
                              <w:jc w:val="center"/>
                              <w:rPr>
                                <w:szCs w:val="21"/>
                              </w:rPr>
                            </w:pPr>
                            <w:r>
                              <w:rPr>
                                <w:rFonts w:hint="eastAsia"/>
                                <w:szCs w:val="21"/>
                              </w:rPr>
                              <w:t>切粒</w:t>
                            </w:r>
                          </w:p>
                          <w:p w14:paraId="12B94630">
                            <w:pPr>
                              <w:jc w:val="center"/>
                              <w:rPr>
                                <w:szCs w:val="21"/>
                              </w:rPr>
                            </w:pPr>
                          </w:p>
                        </w:txbxContent>
                      </v:textbox>
                    </v:rect>
                  </w:pict>
                </mc:Fallback>
              </mc:AlternateContent>
            </w:r>
          </w:p>
          <w:p w14:paraId="775CFF34">
            <w:pPr>
              <w:keepNext w:val="0"/>
              <w:keepLines w:val="0"/>
              <w:pageBreakBefore w:val="0"/>
              <w:kinsoku/>
              <w:wordWrap/>
              <w:overflowPunct/>
              <w:topLinePunct w:val="0"/>
              <w:bidi w:val="0"/>
              <w:adjustRightInd/>
              <w:snapToGrid/>
              <w:spacing w:line="360" w:lineRule="auto"/>
              <w:ind w:firstLine="0" w:firstLineChars="0"/>
              <w:textAlignment w:val="auto"/>
              <w:rPr>
                <w:rFonts w:hAnsi="宋体"/>
                <w:color w:val="auto"/>
                <w:sz w:val="24"/>
              </w:rPr>
            </w:pPr>
            <w:r>
              <w:rPr>
                <w:color w:val="auto"/>
              </w:rPr>
              <mc:AlternateContent>
                <mc:Choice Requires="wps">
                  <w:drawing>
                    <wp:anchor distT="0" distB="0" distL="114300" distR="114300" simplePos="0" relativeHeight="251718656" behindDoc="0" locked="0" layoutInCell="1" allowOverlap="1">
                      <wp:simplePos x="0" y="0"/>
                      <wp:positionH relativeFrom="character">
                        <wp:posOffset>1837690</wp:posOffset>
                      </wp:positionH>
                      <wp:positionV relativeFrom="line">
                        <wp:posOffset>39370</wp:posOffset>
                      </wp:positionV>
                      <wp:extent cx="635" cy="254000"/>
                      <wp:effectExtent l="37465" t="0" r="38100" b="12700"/>
                      <wp:wrapNone/>
                      <wp:docPr id="60" name="直接连接符 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4.7pt;margin-top:3.1pt;height:20pt;width:0.05pt;mso-position-horizontal-relative:char;mso-position-vertical-relative:line;z-index:251718656;mso-width-relative:page;mso-height-relative:page;" filled="f" stroked="t" coordsize="21600,21600" o:gfxdata="UEsDBAoAAAAAAIdO4kAAAAAAAAAAAAAAAAAEAAAAZHJzL1BLAwQUAAAACACHTuJAdmCCBNgAAAAI&#10;AQAADwAAAGRycy9kb3ducmV2LnhtbE2PwU7DMBBE70j8g7VI3KiTqFQhxOkBqVxaQG1RVW5uvCQR&#10;8TqynTb8PcsJjrMzmn1TLifbizP60DlSkM4SEEi1Mx01Ct73q7scRIiajO4doYJvDLCsrq9KXRh3&#10;oS2ed7ERXEKh0AraGIdCylC3aHWYuQGJvU/nrY4sfSON1xcut73MkmQhre6IP7R6wKcW66/daBVs&#10;N6t1fliPU+0/ntPX/dvm5RhypW5v0uQRRMQp/oXhF5/RoWKmkxvJBNEryPKHOUcVLDIQ7LO+B3FS&#10;MOeDrEr5f0D1A1BLAwQUAAAACACHTuJA+u91DxkCAAAoBAAADgAAAGRycy9lMm9Eb2MueG1srVNL&#10;bhQxEN0jcQfLe6Y7AxNBa3oiNEPYRBApcIAat7vbwj+5PL9LcAEkdrBimT23IRyDsnsykwQhZUEv&#10;Wrar/Kreq+fp2dZotpYBlbM1PxmVnEkrXKNsV/OPH86fveQMI9gGtLOy5juJ/Gz29Ml04ys5dr3T&#10;jQyMQCxWG1/zPkZfFQWKXhrAkfPSUrB1wUCkbeiKJsCG0I0uxmV5WmxcaHxwQiLS6WII8j1ieAyg&#10;a1sl5MKJlZE2DqhBaohECXvlkc9yt20rRXzftigj0zUnpjH/qQitl+lfzKZQdQF8r8S+BXhMCw84&#10;GVCWih6gFhCBrYL6C8ooERy6No6EM8VAJCtCLE7KB9pc9eBl5kJSoz+Ijv8PVrxbXwammpqfkiQW&#10;DE385sv1r8/ffv/8Sv+bH98ZRUimjceKsuf2MiSiYmuv/IUTn5BZN+/BdvI1etKbPJXSi3v5aYN+&#10;uLltg0kIRJ5t8yR2h0nIbWSCDk+fTzgTdD6evCjLXL+A6vamDxjfSmdYWtRcK5tUggrWFxhTbahu&#10;U9KxtmxT81eTccIEsmxLVqGl8UQbbZfvotOqOVdapxsYuuVcB7aGZJv8ZU4UuZuWiiwA+yEvhwZD&#10;9RKaN7ZhcedJT0vviKcWjGw405KeXVpl60VQ+pgZgyIh9T+yiZa2qT2Zjb3nepQ2rZau2dFAVz6o&#10;rr83CzJQVmZv9uTQu/s8seMDn/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mCCBNgAAAAIAQAA&#10;DwAAAAAAAAABACAAAAAiAAAAZHJzL2Rvd25yZXYueG1sUEsBAhQAFAAAAAgAh07iQPrvdQ8ZAgAA&#10;KAQAAA4AAAAAAAAAAQAgAAAAJwEAAGRycy9lMm9Eb2MueG1sUEsFBgAAAAAGAAYAWQEAALIFAAAA&#10;AA==&#10;">
                      <v:fill on="f" focussize="0,0"/>
                      <v:stroke color="#000000" joinstyle="round" endarrow="block"/>
                      <v:imagedata o:title=""/>
                      <o:lock v:ext="edit" aspectratio="t"/>
                    </v:line>
                  </w:pict>
                </mc:Fallback>
              </mc:AlternateContent>
            </w:r>
            <w:r>
              <w:rPr>
                <w:color w:val="auto"/>
              </w:rPr>
              <mc:AlternateContent>
                <mc:Choice Requires="wps">
                  <w:drawing>
                    <wp:anchor distT="0" distB="0" distL="114300" distR="114300" simplePos="0" relativeHeight="251719680" behindDoc="0" locked="0" layoutInCell="1" allowOverlap="1">
                      <wp:simplePos x="0" y="0"/>
                      <wp:positionH relativeFrom="character">
                        <wp:posOffset>1227455</wp:posOffset>
                      </wp:positionH>
                      <wp:positionV relativeFrom="line">
                        <wp:posOffset>285750</wp:posOffset>
                      </wp:positionV>
                      <wp:extent cx="1187450" cy="306705"/>
                      <wp:effectExtent l="4445" t="5080" r="8255" b="12065"/>
                      <wp:wrapNone/>
                      <wp:docPr id="61" name="矩形 61"/>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7B2B7E">
                                  <w:pPr>
                                    <w:jc w:val="center"/>
                                    <w:rPr>
                                      <w:rFonts w:hint="eastAsia" w:eastAsia="宋体"/>
                                      <w:lang w:eastAsia="zh-CN"/>
                                    </w:rPr>
                                  </w:pPr>
                                  <w:r>
                                    <w:rPr>
                                      <w:rFonts w:hint="eastAsia" w:eastAsia="宋体"/>
                                      <w:szCs w:val="21"/>
                                      <w:lang w:val="en-US" w:eastAsia="zh-CN"/>
                                    </w:rPr>
                                    <w:t>均化打包</w:t>
                                  </w:r>
                                </w:p>
                              </w:txbxContent>
                            </wps:txbx>
                            <wps:bodyPr lIns="90526" tIns="45263" rIns="90526" bIns="45263" upright="1"/>
                          </wps:wsp>
                        </a:graphicData>
                      </a:graphic>
                    </wp:anchor>
                  </w:drawing>
                </mc:Choice>
                <mc:Fallback>
                  <w:pict>
                    <v:rect id="_x0000_s1026" o:spid="_x0000_s1026" o:spt="1" style="position:absolute;left:0pt;margin-left:96.65pt;margin-top:22.5pt;height:24.15pt;width:93.5pt;mso-position-horizontal-relative:char;mso-position-vertical-relative:line;z-index:251719680;mso-width-relative:page;mso-height-relative:page;" fillcolor="#FFFFFF" filled="t" stroked="t" coordsize="21600,21600" o:gfxdata="UEsDBAoAAAAAAIdO4kAAAAAAAAAAAAAAAAAEAAAAZHJzL1BLAwQUAAAACACHTuJAoTOtANUAAAAJ&#10;AQAADwAAAGRycy9kb3ducmV2LnhtbE2PzU7DMBCE70i8g7VI3Kjdhp8S4vRQhMSBAy0VZzfeJhH2&#10;2oqdpn17tic4zs5o9ptqdfJOHHFIfSAN85kCgdQE21OrYff1drcEkbIha1wg1HDGBKv6+qoypQ0T&#10;bfC4za3gEkql0dDlHEspU9OhN2kWIhJ7hzB4k1kOrbSDmbjcO7lQ6lF60xN/6EzEdYfNz3b0GsYR&#10;48d64Q5P0+fu9ZxykN/xXevbm7l6AZHxlP/CcMFndKiZaR9Gskk41s9FwVEN9w+8iQPFUvFhr+Fi&#10;yLqS/xfUv1BLAwQUAAAACACHTuJAu8NUrx8CAABtBAAADgAAAGRycy9lMm9Eb2MueG1srVTNjtMw&#10;EL4j8Q6W7zRpd9vdjZrugVKEhGClhQdwHSex5D+N3SZ9GiRuPASPg3gNxk4o2YVDD+SQfuOZfDPz&#10;zbjr+14rchTgpTUlnc9ySoThtpKmKennT7tXt5T4wEzFlDWipCfh6f3m5Yt15wqxsK1VlQCCJMYX&#10;nStpG4IrsszzVmjmZ9YJg87agmYBTWiyCliH7FplizxfZZ2FyoHlwns83Q5OOjLCJYS2riUXW8sP&#10;WpgwsIJQLGBLvpXO002qtq4FDx/r2otAVEmx05DemATxPr6zzZoVDTDXSj6WwC4p4VlPmkmDSc9U&#10;WxYYOYD8i0pLDtbbOsy41dnQSFIEu5jnz7R5bJkTqReU2ruz6P7/0fIPxwcgsirpak6JYRon/vPL&#10;tx/fvxI8QHU65wsMenQPMFoeYWy1r0HHX2yC9EnR01lR0QfC8XA+v725XqLYHH1X+eomX0bS7M/X&#10;Dnx4K6wmEZQUcGJJSHZ878MQ+jskJvNWyWonlUoGNPvXCsiR4XR36RnZn4QpQ7qS3i0XS6yD4crW&#10;uCoItcO2vWlSvidf+Clxnp5/EcfCtsy3QwGJIYaxQssgIKFWsOqNqUg4OVTW4I2isRgtKkqUwAsY&#10;UYoMTKpLIlE7ZWISkdZ7VCmOaRhMRKHf90ga4d5WJ5ywemdwa+7y5WKFtyAZ14ivKIGpZz/1HBzI&#10;psWhpEXIIhtuYZreeGPimk9txNN/ic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TOtANUAAAAJ&#10;AQAADwAAAAAAAAABACAAAAAiAAAAZHJzL2Rvd25yZXYueG1sUEsBAhQAFAAAAAgAh07iQLvDVK8f&#10;AgAAbQQAAA4AAAAAAAAAAQAgAAAAJAEAAGRycy9lMm9Eb2MueG1sUEsFBgAAAAAGAAYAWQEAALUF&#10;AAAAAA==&#10;">
                      <v:fill on="t" focussize="0,0"/>
                      <v:stroke color="#000000" joinstyle="miter"/>
                      <v:imagedata o:title=""/>
                      <o:lock v:ext="edit" aspectratio="f"/>
                      <v:textbox inset="7.12803149606299pt,3.5640157480315pt,7.12803149606299pt,3.5640157480315pt">
                        <w:txbxContent>
                          <w:p w14:paraId="327B2B7E">
                            <w:pPr>
                              <w:jc w:val="center"/>
                              <w:rPr>
                                <w:rFonts w:hint="eastAsia" w:eastAsia="宋体"/>
                                <w:lang w:eastAsia="zh-CN"/>
                              </w:rPr>
                            </w:pPr>
                            <w:r>
                              <w:rPr>
                                <w:rFonts w:hint="eastAsia" w:eastAsia="宋体"/>
                                <w:szCs w:val="21"/>
                                <w:lang w:val="en-US" w:eastAsia="zh-CN"/>
                              </w:rPr>
                              <w:t>均化打包</w:t>
                            </w:r>
                          </w:p>
                        </w:txbxContent>
                      </v:textbox>
                    </v:rect>
                  </w:pict>
                </mc:Fallback>
              </mc:AlternateContent>
            </w:r>
          </w:p>
          <w:p w14:paraId="4FBCC6ED">
            <w:pPr>
              <w:keepNext w:val="0"/>
              <w:keepLines w:val="0"/>
              <w:pageBreakBefore w:val="0"/>
              <w:kinsoku/>
              <w:wordWrap/>
              <w:overflowPunct/>
              <w:topLinePunct w:val="0"/>
              <w:bidi w:val="0"/>
              <w:adjustRightInd/>
              <w:snapToGrid/>
              <w:spacing w:line="360" w:lineRule="auto"/>
              <w:ind w:firstLine="0" w:firstLineChars="0"/>
              <w:textAlignment w:val="auto"/>
              <w:rPr>
                <w:rFonts w:hAnsi="宋体"/>
                <w:color w:val="auto"/>
                <w:sz w:val="24"/>
              </w:rPr>
            </w:pPr>
            <w:r>
              <w:rPr>
                <w:color w:val="auto"/>
              </w:rPr>
              <mc:AlternateContent>
                <mc:Choice Requires="wps">
                  <w:drawing>
                    <wp:anchor distT="0" distB="0" distL="114300" distR="114300" simplePos="0" relativeHeight="251745280" behindDoc="0" locked="0" layoutInCell="1" allowOverlap="1">
                      <wp:simplePos x="0" y="0"/>
                      <wp:positionH relativeFrom="column">
                        <wp:posOffset>2788285</wp:posOffset>
                      </wp:positionH>
                      <wp:positionV relativeFrom="paragraph">
                        <wp:posOffset>13335</wp:posOffset>
                      </wp:positionV>
                      <wp:extent cx="332740" cy="2571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332740" cy="257175"/>
                              </a:xfrm>
                              <a:prstGeom prst="rect">
                                <a:avLst/>
                              </a:prstGeom>
                              <a:noFill/>
                              <a:ln w="6350">
                                <a:noFill/>
                              </a:ln>
                              <a:effectLst/>
                            </wps:spPr>
                            <wps:txbx>
                              <w:txbxContent>
                                <w:p w14:paraId="2EB3BAAF">
                                  <w:pPr>
                                    <w:jc w:val="center"/>
                                    <w:rPr>
                                      <w:rFonts w:hint="default" w:eastAsia="宋体"/>
                                      <w:sz w:val="18"/>
                                      <w:szCs w:val="18"/>
                                      <w:lang w:val="en-US" w:eastAsia="zh-CN"/>
                                    </w:rPr>
                                  </w:pPr>
                                  <w:r>
                                    <w:rPr>
                                      <w:rFonts w:hint="eastAsia" w:eastAsia="宋体"/>
                                      <w:sz w:val="18"/>
                                      <w:szCs w:val="1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55pt;margin-top:1.05pt;height:20.25pt;width:26.2pt;z-index:251745280;mso-width-relative:page;mso-height-relative:page;" filled="f" stroked="f" coordsize="21600,21600" o:gfxdata="UEsDBAoAAAAAAIdO4kAAAAAAAAAAAAAAAAAEAAAAZHJzL1BLAwQUAAAACACHTuJAj+/k6NoAAAAI&#10;AQAADwAAAGRycy9kb3ducmV2LnhtbE2PzU7DMBCE70i8g7VI3KiT0FZtGqdCkSokBIeWXrg58TaJ&#10;aq9D7P7A07Oc4LS7mtHsN8X66qw44xh6TwrSSQICqfGmp1bB/n3zsAARoiajrSdU8IUB1uXtTaFz&#10;4y+0xfMutoJDKORaQRfjkEsZmg6dDhM/ILF28KPTkc+xlWbUFw53VmZJMpdO98QfOj1g1WFz3J2c&#10;gpdq86a3deYW37Z6fj08DZ/7j5lS93dpsgIR8Rr/zPCLz+hQMlPtT2SCsAqmj8uUrQoyHqxPl+kM&#10;RM1LNgdZFvJ/gfIHUEsDBBQAAAAIAIdO4kBFKwMeQQIAAHUEAAAOAAAAZHJzL2Uyb0RvYy54bWyt&#10;VM2OEzEMviPxDlHudPq7harTVdmqCKliVyqIc5pJOiMlcUjSzpQHgDfgxIU7z9XnwMm03WrhsAcu&#10;qWN7Pvv77HR622hF9sL5CkxOe50uJcJwKCqzzemnj8tXrynxgZmCKTAipwfh6e3s5YtpbSeiDyWo&#10;QjiCIMZPapvTMgQ7yTLPS6GZ74AVBoMSnGYBr26bFY7ViK5V1u92b7IaXGEdcOE9ehdtkJ4Q3XMA&#10;QcqKiwXwnRYmtKhOKBaQki8r6+ksdSul4OFeSi8CUTlFpiGdWATtTTyz2ZRNto7ZsuKnFthzWnjC&#10;SbPKYNEL1IIFRnau+gtKV9yBBxk6HHTWEkmKIIte94k265JZkbig1N5eRPf/D5Z/2D84UhU5HQwp&#10;MUzjxI8/vh9//j7++kbQhwLV1k8wb20xMzRvocG1Ofs9OiPvRjodf5ERwTjKe7jIK5pAODoHg/54&#10;iBGOof5o3BuPIkr2+LF1PrwToEk0cupweklUtl/50KaeU2ItA8tKqTRBZUid05vBqJs+uEQQXJmY&#10;K9IunGAiobbxaIVm05xYbqA4IEkH7Z54y5cVtrJiPjwwh4uB3ePTCfd4SAVYEk4WJSW4r//yx3yc&#10;F0YpqXHRcuq/7JgTlKj3Bif5pjeMooR0GY7Gfby468jmOmJ2+g5wl3v4SC1PZswP6mxKB/ozvrB5&#10;rIohZjjWzmk4m3ehXX98oVzM5ykJd9GysDJryyN0K+58F0BWSfcoU6sNzitecBvT5E4vJ6779T1l&#10;Pf5b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k6NoAAAAIAQAADwAAAAAAAAABACAAAAAi&#10;AAAAZHJzL2Rvd25yZXYueG1sUEsBAhQAFAAAAAgAh07iQEUrAx5BAgAAdQQAAA4AAAAAAAAAAQAg&#10;AAAAKQEAAGRycy9lMm9Eb2MueG1sUEsFBgAAAAAGAAYAWQEAANwFAAAAAA==&#10;">
                      <v:fill on="f" focussize="0,0"/>
                      <v:stroke on="f" weight="0.5pt"/>
                      <v:imagedata o:title=""/>
                      <o:lock v:ext="edit" aspectratio="f"/>
                      <v:textbox>
                        <w:txbxContent>
                          <w:p w14:paraId="2EB3BAAF">
                            <w:pPr>
                              <w:jc w:val="center"/>
                              <w:rPr>
                                <w:rFonts w:hint="default" w:eastAsia="宋体"/>
                                <w:sz w:val="18"/>
                                <w:szCs w:val="18"/>
                                <w:lang w:val="en-US" w:eastAsia="zh-CN"/>
                              </w:rPr>
                            </w:pPr>
                            <w:r>
                              <w:rPr>
                                <w:rFonts w:hint="eastAsia" w:eastAsia="宋体"/>
                                <w:sz w:val="18"/>
                                <w:szCs w:val="18"/>
                                <w:lang w:val="en-US" w:eastAsia="zh-CN"/>
                              </w:rPr>
                              <w:t>N</w:t>
                            </w:r>
                          </w:p>
                        </w:txbxContent>
                      </v:textbox>
                    </v:shape>
                  </w:pict>
                </mc:Fallback>
              </mc:AlternateContent>
            </w:r>
            <w:r>
              <w:rPr>
                <w:color w:val="auto"/>
                <w:sz w:val="20"/>
              </w:rPr>
              <mc:AlternateContent>
                <mc:Choice Requires="wps">
                  <w:drawing>
                    <wp:anchor distT="0" distB="0" distL="114300" distR="114300" simplePos="0" relativeHeight="251744256" behindDoc="0" locked="0" layoutInCell="1" allowOverlap="1">
                      <wp:simplePos x="0" y="0"/>
                      <wp:positionH relativeFrom="column">
                        <wp:posOffset>2421890</wp:posOffset>
                      </wp:positionH>
                      <wp:positionV relativeFrom="paragraph">
                        <wp:posOffset>143510</wp:posOffset>
                      </wp:positionV>
                      <wp:extent cx="454025" cy="0"/>
                      <wp:effectExtent l="0" t="50800" r="3175" b="63500"/>
                      <wp:wrapNone/>
                      <wp:docPr id="33" name="直接箭头连接符 33"/>
                      <wp:cNvGraphicFramePr/>
                      <a:graphic xmlns:a="http://schemas.openxmlformats.org/drawingml/2006/main">
                        <a:graphicData uri="http://schemas.microsoft.com/office/word/2010/wordprocessingShape">
                          <wps:wsp>
                            <wps:cNvCnPr/>
                            <wps:spPr>
                              <a:xfrm>
                                <a:off x="0" y="0"/>
                                <a:ext cx="454025" cy="0"/>
                              </a:xfrm>
                              <a:prstGeom prst="straightConnector1">
                                <a:avLst/>
                              </a:prstGeom>
                              <a:ln w="12700" cmpd="sng">
                                <a:solidFill>
                                  <a:schemeClr val="accent1">
                                    <a:shade val="50000"/>
                                  </a:schemeClr>
                                </a:solidFill>
                                <a:prstDash val="sysDot"/>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0.7pt;margin-top:11.3pt;height:0pt;width:35.75pt;z-index:251744256;mso-width-relative:page;mso-height-relative:page;" filled="f" stroked="t" coordsize="21600,21600" o:gfxdata="UEsDBAoAAAAAAIdO4kAAAAAAAAAAAAAAAAAEAAAAZHJzL1BLAwQUAAAACACHTuJAwHUqgdsAAAAJ&#10;AQAADwAAAGRycy9kb3ducmV2LnhtbE2PwUrDQBCG74LvsIzgRewmsS0xZtJDUUEFwSiKt212moRm&#10;Z0N206Y+vSse9DgzH/98f76aTCf2NLjWMkI8i0AQV1a3XCO8vd5dpiCcV6xVZ5kQjuRgVZye5CrT&#10;9sAvtC99LUIIu0whNN73mZSuasgoN7M9cbht7WCUD+NQSz2oQwg3nUyiaCmNajl8aFRP64aqXTka&#10;hDVvP7+mh4/F8/vu/ja9eDzy01ginp/F0Q0IT5P/g+FHP6hDEZw2dmTtRIdwlcbzgCIkyRJEAOaL&#10;5BrE5nchi1z+b1B8A1BLAwQUAAAACACHTuJAWKhULxkCAAACBAAADgAAAGRycy9lMm9Eb2MueG1s&#10;rVPNbtQwEL4j8Q6W72zS3S6U1WZ72KVcEFQCHsB1nMSS/zTjbnZfghdA4gScgFPvPA2Ux2DspNuq&#10;XHogh2RsZ76Z75vPy9OdNWyrALV3FT+alJwpJ32tXVvx9+/OnpxwhlG4WhjvVMX3Cvnp6vGjZR8W&#10;auo7b2oFjEAcLvpQ8S7GsCgKlJ2yAic+KEeHjQcrIi2hLWoQPaFbU0zL8mnRe6gDeKkQaXczHPIR&#10;ER4C6JtGS7Xx8tIqFwdUUEZEooSdDshXudumUTK+aRpUkZmKE9OY31SE4ov0LlZLsWhBhE7LsQXx&#10;kBbucbJCOyp6gNqIKNgl6H+grJbg0TdxIr0tBiJZEWJxVN7T5m0ngspcSGoMB9Hx/8HK19tzYLqu&#10;+GzGmROWJn798er3hy/XP77/+nz15+enFH/7yuicxOoDLihn7c5hXGE4h8R814BNX+LEdlng/UFg&#10;tYtM0ubx/LiczjmTN0fFbV4AjC+VtywFFccIQrddXHvnaIoejrK+YvsKI1WmxJuEVNT5M21MHqZx&#10;rCdfT5+VNGMpyKENOYNCG4glupYzYVqyvoyQIdEbXaf0BITQXqwNsK0gw8ym89nz+fBTJ2o17M5L&#10;epIW1MP4+xDfxUnNbQR2QwrucePjYDarI90fo23FTxLS6MEotHnhahb3gUYgAHw/1jCO4JPug9Ip&#10;uvD1Pg8g75M1cgOjjZP37q5z9u3VXf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HUqgdsAAAAJ&#10;AQAADwAAAAAAAAABACAAAAAiAAAAZHJzL2Rvd25yZXYueG1sUEsBAhQAFAAAAAgAh07iQFioVC8Z&#10;AgAAAgQAAA4AAAAAAAAAAQAgAAAAKgEAAGRycy9lMm9Eb2MueG1sUEsFBgAAAAAGAAYAWQEAALUF&#10;AAAAAA==&#10;">
                      <v:fill on="f" focussize="0,0"/>
                      <v:stroke weight="1pt" color="#325395 [3204]" miterlimit="8" joinstyle="miter" dashstyle="1 1" endarrow="open"/>
                      <v:imagedata o:title=""/>
                      <o:lock v:ext="edit" aspectratio="f"/>
                    </v:shape>
                  </w:pict>
                </mc:Fallback>
              </mc:AlternateContent>
            </w:r>
          </w:p>
          <w:p w14:paraId="53DE93BD">
            <w:pPr>
              <w:keepNext w:val="0"/>
              <w:keepLines w:val="0"/>
              <w:pageBreakBefore w:val="0"/>
              <w:kinsoku/>
              <w:wordWrap/>
              <w:overflowPunct/>
              <w:topLinePunct w:val="0"/>
              <w:bidi w:val="0"/>
              <w:adjustRightInd/>
              <w:snapToGrid/>
              <w:spacing w:line="360" w:lineRule="auto"/>
              <w:ind w:firstLine="0" w:firstLineChars="0"/>
              <w:textAlignment w:val="auto"/>
              <w:rPr>
                <w:rFonts w:hAnsi="宋体"/>
                <w:color w:val="auto"/>
                <w:sz w:val="24"/>
              </w:rPr>
            </w:pPr>
            <w:r>
              <w:rPr>
                <w:color w:val="auto"/>
              </w:rPr>
              <mc:AlternateContent>
                <mc:Choice Requires="wps">
                  <w:drawing>
                    <wp:anchor distT="0" distB="0" distL="114300" distR="114300" simplePos="0" relativeHeight="251723776" behindDoc="0" locked="0" layoutInCell="1" allowOverlap="1">
                      <wp:simplePos x="0" y="0"/>
                      <wp:positionH relativeFrom="column">
                        <wp:posOffset>3248025</wp:posOffset>
                      </wp:positionH>
                      <wp:positionV relativeFrom="paragraph">
                        <wp:posOffset>106680</wp:posOffset>
                      </wp:positionV>
                      <wp:extent cx="1551305" cy="514350"/>
                      <wp:effectExtent l="6350" t="6350" r="23495" b="12700"/>
                      <wp:wrapNone/>
                      <wp:docPr id="323" name="文本框 45"/>
                      <wp:cNvGraphicFramePr/>
                      <a:graphic xmlns:a="http://schemas.openxmlformats.org/drawingml/2006/main">
                        <a:graphicData uri="http://schemas.microsoft.com/office/word/2010/wordprocessingShape">
                          <wps:wsp>
                            <wps:cNvSpPr txBox="1"/>
                            <wps:spPr>
                              <a:xfrm>
                                <a:off x="0" y="0"/>
                                <a:ext cx="1551305" cy="514350"/>
                              </a:xfrm>
                              <a:prstGeom prst="rect">
                                <a:avLst/>
                              </a:prstGeom>
                              <a:noFill/>
                              <a:ln w="12700" cmpd="sng">
                                <a:solidFill>
                                  <a:schemeClr val="accent1">
                                    <a:shade val="50000"/>
                                  </a:schemeClr>
                                </a:solidFill>
                                <a:prstDash val="dashDot"/>
                              </a:ln>
                              <a:effectLst/>
                            </wps:spPr>
                            <wps:txbx>
                              <w:txbxContent>
                                <w:p w14:paraId="11A011FD">
                                  <w:pPr>
                                    <w:ind w:left="420" w:hanging="420" w:hangingChars="200"/>
                                    <w:jc w:val="left"/>
                                    <w:rPr>
                                      <w:rFonts w:hint="default" w:ascii="Times New Roman" w:hAnsi="Times New Roman" w:eastAsia="宋体" w:cs="Times New Roman"/>
                                      <w:sz w:val="21"/>
                                      <w:szCs w:val="21"/>
                                      <w:lang w:val="en-US" w:eastAsia="zh-CN"/>
                                    </w:rPr>
                                  </w:pPr>
                                  <w:r>
                                    <w:rPr>
                                      <w:rFonts w:hint="eastAsia" w:cs="Times New Roman"/>
                                      <w:sz w:val="21"/>
                                      <w:szCs w:val="21"/>
                                      <w:lang w:val="en-US" w:eastAsia="zh-CN"/>
                                    </w:rPr>
                                    <w:t>注：N--噪声、W--废水、S--固废、G--废气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26" o:spt="202" type="#_x0000_t202" style="position:absolute;left:0pt;margin-left:255.75pt;margin-top:8.4pt;height:40.5pt;width:122.15pt;z-index:251723776;mso-width-relative:page;mso-height-relative:page;" filled="f" stroked="t" coordsize="21600,21600" o:gfxdata="UEsDBAoAAAAAAIdO4kAAAAAAAAAAAAAAAAAEAAAAZHJzL1BLAwQUAAAACACHTuJA1whRBNkAAAAJ&#10;AQAADwAAAGRycy9kb3ducmV2LnhtbE2PzW7CMBCE75V4B2uReitOUANpGocDgnKrFPojcVtiN4ka&#10;r6PYhPTtuz2V247m0+xMvplsJ0Yz+NaRgngRgTBUOd1SreD9bf+QgvABSWPnyCj4MR42xewux0y7&#10;K5VmPIZacAj5DBU0IfSZlL5qjEW/cL0h9r7cYDGwHGqpB7xyuO3kMopW0mJL/KHB3mwbU30fL1bB&#10;eHhMP1/wtdRTOOyr/mN3Kk87pe7ncfQMIpgp/MPwV5+rQ8Gdzu5C2otOQRLHCaNsrHgCA+sk4eOs&#10;4Gmdgixyebug+AVQSwMEFAAAAAgAh07iQHysNSp8AgAA6AQAAA4AAABkcnMvZTJvRG9jLnhtbK1U&#10;y24TMRTdI/EPlvd0Jo+hNOqkCo2KkCpaKSDWjseTGckvbCeT8gHwB6zYsOe7+h0ceyZtVFh0QRaT&#10;a9/nOfden1/slSQ74XxrdElHJzklQnNTtXpT0k8fr169ocQHpismjRYlvROeXsxfvjjv7EyMTWNk&#10;JRxBEO1nnS1pE4KdZZnnjVDMnxgrNJS1cYoFHN0mqxzrEF3JbJznr7POuMo6w4X3uF32SjpEdM8J&#10;aOq65WJp+FYJHfqoTkgWAMk3rfV0nqqta8HDTV17EYgsKZCG9EUSyOv4zebnbLZxzDYtH0pgzynh&#10;CSbFWo2kD6GWLDCyde1foVTLnfGmDifcqKwHkhgBilH+hJtVw6xIWEC1tw+k+/8Xln/Y3TrSViWd&#10;jCeUaKbQ8vsf3+9//r7/9Y1Mi8hQZ/0MhisL07B/a/aYm8O9x2UEvq+div+ARKAHv3cP/Ip9IDw6&#10;FcVokheUcOiK0XRSpAZkj97W+fBOGEWiUFKH/iVa2e7aB1QC04NJTKbNVStl6qHUpEOG8WmO1FxZ&#10;IPJ6k5y9kW0VDaOLd5v1pXRkxzARk3ExOSt6o4ZVor8tcvwiPmQbzHv5OE4sY8l807tUkJYmDE5S&#10;x0wijd9Qd6SwpypKYb/eD7yuTXUHWp3pR9NbftUi9DXz4ZY5zCLgYFvDDT61NMBoBomSxriv/7qP&#10;9hgRaCnpMNug4suWOUGJfK8xPGej6RRhQzpMi9MxDu5Ysz7W6K26NCBrhHfB8iRG+yAPYu2M+oyl&#10;XsSsUDHNkbuk4SBehn7j8ChwsVgkI4y/ZeFaryyPoftuLrbB1G1qdKSp5wbcxwMWIHVhWNa4Ycfn&#10;ZPX4QM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cIUQTZAAAACQEAAA8AAAAAAAAAAQAgAAAA&#10;IgAAAGRycy9kb3ducmV2LnhtbFBLAQIUABQAAAAIAIdO4kB8rDUqfAIAAOgEAAAOAAAAAAAAAAEA&#10;IAAAACgBAABkcnMvZTJvRG9jLnhtbFBLBQYAAAAABgAGAFkBAAAWBgAAAAA=&#10;">
                      <v:fill on="f" focussize="0,0"/>
                      <v:stroke weight="1pt" color="#325395 [3204]" joinstyle="round" dashstyle="dashDot"/>
                      <v:imagedata o:title=""/>
                      <o:lock v:ext="edit" aspectratio="f"/>
                      <v:textbox>
                        <w:txbxContent>
                          <w:p w14:paraId="11A011FD">
                            <w:pPr>
                              <w:ind w:left="420" w:hanging="420" w:hangingChars="200"/>
                              <w:jc w:val="left"/>
                              <w:rPr>
                                <w:rFonts w:hint="default" w:ascii="Times New Roman" w:hAnsi="Times New Roman" w:eastAsia="宋体" w:cs="Times New Roman"/>
                                <w:sz w:val="21"/>
                                <w:szCs w:val="21"/>
                                <w:lang w:val="en-US" w:eastAsia="zh-CN"/>
                              </w:rPr>
                            </w:pPr>
                            <w:r>
                              <w:rPr>
                                <w:rFonts w:hint="eastAsia" w:cs="Times New Roman"/>
                                <w:sz w:val="21"/>
                                <w:szCs w:val="21"/>
                                <w:lang w:val="en-US" w:eastAsia="zh-CN"/>
                              </w:rPr>
                              <w:t>注：N--噪声、W--废水、S--固废、G--废气</w:t>
                            </w:r>
                          </w:p>
                        </w:txbxContent>
                      </v:textbox>
                    </v:shape>
                  </w:pict>
                </mc:Fallback>
              </mc:AlternateContent>
            </w:r>
            <w:r>
              <w:rPr>
                <w:color w:val="auto"/>
              </w:rPr>
              <mc:AlternateContent>
                <mc:Choice Requires="wps">
                  <w:drawing>
                    <wp:anchor distT="0" distB="0" distL="114300" distR="114300" simplePos="0" relativeHeight="251720704" behindDoc="0" locked="0" layoutInCell="1" allowOverlap="1">
                      <wp:simplePos x="0" y="0"/>
                      <wp:positionH relativeFrom="character">
                        <wp:posOffset>1828165</wp:posOffset>
                      </wp:positionH>
                      <wp:positionV relativeFrom="line">
                        <wp:posOffset>8890</wp:posOffset>
                      </wp:positionV>
                      <wp:extent cx="635" cy="254000"/>
                      <wp:effectExtent l="37465" t="0" r="38100" b="12700"/>
                      <wp:wrapNone/>
                      <wp:docPr id="62" name="直接连接符 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35" cy="2540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3.95pt;margin-top:0.7pt;height:20pt;width:0.05pt;mso-position-horizontal-relative:char;mso-position-vertical-relative:line;z-index:251720704;mso-width-relative:page;mso-height-relative:page;" filled="f" stroked="t" coordsize="21600,21600" o:gfxdata="UEsDBAoAAAAAAIdO4kAAAAAAAAAAAAAAAAAEAAAAZHJzL1BLAwQUAAAACACHTuJAnBxxKNgAAAAI&#10;AQAADwAAAGRycy9kb3ducmV2LnhtbE2PwU7DMBBE70j8g7VI3KiTqAIT4vSAVC4toLYItTc3XpKI&#10;eB3FThv+nuVUjjtvNDtTLCbXiRMOofWkIZ0lIJAqb1uqNXzslncKRIiGrOk8oYYfDLAor68Kk1t/&#10;pg2etrEWHEIhNxqaGPtcylA16EyY+R6J2ZcfnIl8DrW0gzlzuOtkliT30pmW+ENjenxusPrejk7D&#10;Zr1cqc/VOFXD4SV9272vX/dBaX17kyZPICJO8WKGv/pcHUrudPQj2SA6DZl6eGQrgzkI5plSvO2o&#10;Yc6CLAv5f0D5C1BLAwQUAAAACACHTuJAlAqkaBkCAAAoBAAADgAAAGRycy9lMm9Eb2MueG1srVNL&#10;bhQxEN0jcQfLe6Y7AxNBa3oiNEPYRBApcIAat7vbwj+5PL9LcAEkdrBimT23IRyDsnsykwQhZUEv&#10;WmVX+bneq+fp2dZotpYBlbM1PxmVnEkrXKNsV/OPH86fveQMI9gGtLOy5juJ/Gz29Ml04ys5dr3T&#10;jQyMQCxWG1/zPkZfFQWKXhrAkfPSUrJ1wUCkZeiKJsCG0I0uxmV5WmxcaHxwQiLS7mJI8j1ieAyg&#10;a1sl5MKJlZE2DqhBaohECXvlkc9yt20rRXzftigj0zUnpjH/6RKKl+lfzKZQdQF8r8S+BXhMCw84&#10;GVCWLj1ALSACWwX1F5RRIjh0bRwJZ4qBSFaEWJyUD7S56sHLzIWkRn8QHf8frHi3vgxMNTU/HXNm&#10;wdDEb75c//r87ffPr/S/+fGdUYZk2nisqHpuL0MiKrb2yl848QmZdfMebCdfoye9yVOpvLhXnxbo&#10;h5PbNpiEQOTZNk9id5iE3EYmaPP0+YQzQfvjyYuyzGMqoLo96QPGt9IZloKaa2WTSlDB+gJjuhuq&#10;25K0rS3b1PzVZJwwgSzbklUoNJ5oo+3yWXRaNedK63QCQ7ec68DWkGyTv8yJMnfL0iULwH6oy6nB&#10;UL2E5o1tWNx50tPSO+KpBSMbzrSkZ5eibL0ISh8rY1AkpP5HNdHSNrUns7H3XI/Spmjpmh0NdOWD&#10;6vp7syADZWX2Zk8OvbvOEzs+8N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BxxKNgAAAAIAQAA&#10;DwAAAAAAAAABACAAAAAiAAAAZHJzL2Rvd25yZXYueG1sUEsBAhQAFAAAAAgAh07iQJQKpGgZAgAA&#10;KAQAAA4AAAAAAAAAAQAgAAAAJwEAAGRycy9lMm9Eb2MueG1sUEsFBgAAAAAGAAYAWQEAALIFAAAA&#10;AA==&#10;">
                      <v:fill on="f" focussize="0,0"/>
                      <v:stroke color="#000000" joinstyle="round" endarrow="block"/>
                      <v:imagedata o:title=""/>
                      <o:lock v:ext="edit" aspectratio="t"/>
                    </v:line>
                  </w:pict>
                </mc:Fallback>
              </mc:AlternateContent>
            </w:r>
            <w:r>
              <w:rPr>
                <w:color w:val="auto"/>
              </w:rPr>
              <mc:AlternateContent>
                <mc:Choice Requires="wps">
                  <w:drawing>
                    <wp:anchor distT="0" distB="0" distL="114300" distR="114300" simplePos="0" relativeHeight="251721728" behindDoc="0" locked="0" layoutInCell="1" allowOverlap="1">
                      <wp:simplePos x="0" y="0"/>
                      <wp:positionH relativeFrom="character">
                        <wp:posOffset>1227455</wp:posOffset>
                      </wp:positionH>
                      <wp:positionV relativeFrom="line">
                        <wp:posOffset>274320</wp:posOffset>
                      </wp:positionV>
                      <wp:extent cx="1187450" cy="306705"/>
                      <wp:effectExtent l="4445" t="5080" r="8255" b="12065"/>
                      <wp:wrapNone/>
                      <wp:docPr id="63" name="矩形 63"/>
                      <wp:cNvGraphicFramePr/>
                      <a:graphic xmlns:a="http://schemas.openxmlformats.org/drawingml/2006/main">
                        <a:graphicData uri="http://schemas.microsoft.com/office/word/2010/wordprocessingShape">
                          <wps:wsp>
                            <wps:cNvSpPr/>
                            <wps:spPr>
                              <a:xfrm>
                                <a:off x="0" y="0"/>
                                <a:ext cx="1187450" cy="306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151305">
                                  <w:pPr>
                                    <w:jc w:val="center"/>
                                    <w:rPr>
                                      <w:rFonts w:hint="eastAsia" w:eastAsia="宋体"/>
                                      <w:szCs w:val="21"/>
                                      <w:lang w:val="en-US" w:eastAsia="zh-CN"/>
                                    </w:rPr>
                                  </w:pPr>
                                  <w:r>
                                    <w:rPr>
                                      <w:rFonts w:hint="eastAsia" w:eastAsia="宋体"/>
                                      <w:szCs w:val="21"/>
                                      <w:lang w:val="en-US" w:eastAsia="zh-CN"/>
                                    </w:rPr>
                                    <w:t>入库</w:t>
                                  </w:r>
                                </w:p>
                              </w:txbxContent>
                            </wps:txbx>
                            <wps:bodyPr lIns="90526" tIns="45263" rIns="90526" bIns="45263" upright="1"/>
                          </wps:wsp>
                        </a:graphicData>
                      </a:graphic>
                    </wp:anchor>
                  </w:drawing>
                </mc:Choice>
                <mc:Fallback>
                  <w:pict>
                    <v:rect id="_x0000_s1026" o:spid="_x0000_s1026" o:spt="1" style="position:absolute;left:0pt;margin-left:96.65pt;margin-top:21.6pt;height:24.15pt;width:93.5pt;mso-position-horizontal-relative:char;mso-position-vertical-relative:line;z-index:251721728;mso-width-relative:page;mso-height-relative:page;" fillcolor="#FFFFFF" filled="t" stroked="t" coordsize="21600,21600" o:gfxdata="UEsDBAoAAAAAAIdO4kAAAAAAAAAAAAAAAAAEAAAAZHJzL1BLAwQUAAAACACHTuJAlZ/tEtcAAAAJ&#10;AQAADwAAAGRycy9kb3ducmV2LnhtbE2PTU/DMAyG70j8h8hI3FjSlo+tNN1hCIkDBzYmzlnjtRWN&#10;EzXpuv17zAmOr/3o9eNqfXaDOOEYe08asoUCgdR421OrYf/5ercEEZMhawZPqOGCEdb19VVlSutn&#10;2uJpl1rBJRRLo6FLKZRSxqZDZ+LCByTeHf3oTOI4ttKOZuZyN8hcqUfpTE98oTMBNx0237vJaZgm&#10;DO+bfDg+zR/7l0tMXn6FN61vbzL1DCLhOf3B8KvP6lCz08FPZKMYOK+KglEN90UOgoFiqXhw0LDK&#10;HkDWlfz/Qf0DUEsDBBQAAAAIAIdO4kBw3Ga4HwIAAG0EAAAOAAAAZHJzL2Uyb0RvYy54bWytVM2O&#10;0zAQviPxDpbvNGl3292Nmu6BUoSEYKWFB3AdJ7HkP43dJn0aJG48BI+DeA3GTijZhUMP5JB+45l8&#10;M/PNuOv7XityFOClNSWdz3JKhOG2kqYp6edPu1e3lPjATMWUNaKkJ+Hp/ebli3XnCrGwrVWVAIIk&#10;xhedK2kbgiuyzPNWaOZn1gmDztqCZgFNaLIKWIfsWmWLPF9lnYXKgeXCezzdDk46MsIlhLauJRdb&#10;yw9amDCwglAsYEu+lc7TTaq2rgUPH+vai0BUSbHTkN6YBPE+vrPNmhUNMNdKPpbALinhWU+aSYNJ&#10;z1RbFhg5gPyLSksO1ts6zLjV2dBIUgS7mOfPtHlsmROpF5Tau7Po/v/R8g/HByCyKunqihLDNE78&#10;55dvP75/JXiA6nTOFxj06B5gtDzC2Gpfg46/2ATpk6Kns6KiD4Tj4Xx+e3O9RLE5+q7y1U2+jKTZ&#10;n68d+PBWWE0iKCngxJKQ7PjehyH0d0hM5q2S1U4qlQxo9q8VkCPD6e7SM7I/CVOGdCW9Wy6WWAfD&#10;la1xVRBqh21706R8T77wU+I8Pf8ijoVtmW+HAhJDDGOFlkFAQq1g1RtTkXByqKzBG0VjMVpUlCiB&#10;FzCiFBmYVJdEonbKxCQirfeoUhzTMJiIQr/vkTTCva1OOGH1zuDW3OXLxQpvQTKuEePMYerZTz0H&#10;B7JpcSjz1Hxkwy1M0xtvTFzzqY14+i+x+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n+0S1wAA&#10;AAkBAAAPAAAAAAAAAAEAIAAAACIAAABkcnMvZG93bnJldi54bWxQSwECFAAUAAAACACHTuJAcNxm&#10;uB8CAABtBAAADgAAAAAAAAABACAAAAAmAQAAZHJzL2Uyb0RvYy54bWxQSwUGAAAAAAYABgBZAQAA&#10;twUAAAAA&#10;">
                      <v:fill on="t" focussize="0,0"/>
                      <v:stroke color="#000000" joinstyle="miter"/>
                      <v:imagedata o:title=""/>
                      <o:lock v:ext="edit" aspectratio="f"/>
                      <v:textbox inset="7.12803149606299pt,3.5640157480315pt,7.12803149606299pt,3.5640157480315pt">
                        <w:txbxContent>
                          <w:p w14:paraId="1B151305">
                            <w:pPr>
                              <w:jc w:val="center"/>
                              <w:rPr>
                                <w:rFonts w:hint="eastAsia" w:eastAsia="宋体"/>
                                <w:szCs w:val="21"/>
                                <w:lang w:val="en-US" w:eastAsia="zh-CN"/>
                              </w:rPr>
                            </w:pPr>
                            <w:r>
                              <w:rPr>
                                <w:rFonts w:hint="eastAsia" w:eastAsia="宋体"/>
                                <w:szCs w:val="21"/>
                                <w:lang w:val="en-US" w:eastAsia="zh-CN"/>
                              </w:rPr>
                              <w:t>入库</w:t>
                            </w:r>
                          </w:p>
                        </w:txbxContent>
                      </v:textbox>
                    </v:rect>
                  </w:pict>
                </mc:Fallback>
              </mc:AlternateContent>
            </w:r>
          </w:p>
          <w:p w14:paraId="0B9E59F6">
            <w:pPr>
              <w:keepNext w:val="0"/>
              <w:keepLines w:val="0"/>
              <w:pageBreakBefore w:val="0"/>
              <w:kinsoku/>
              <w:wordWrap/>
              <w:overflowPunct/>
              <w:topLinePunct w:val="0"/>
              <w:bidi w:val="0"/>
              <w:adjustRightInd/>
              <w:snapToGrid/>
              <w:spacing w:line="360" w:lineRule="auto"/>
              <w:ind w:firstLine="0" w:firstLineChars="0"/>
              <w:textAlignment w:val="auto"/>
              <w:rPr>
                <w:rFonts w:hAnsi="宋体"/>
                <w:color w:val="auto"/>
                <w:sz w:val="24"/>
              </w:rPr>
            </w:pPr>
          </w:p>
          <w:p w14:paraId="24F42867">
            <w:pPr>
              <w:keepNext w:val="0"/>
              <w:keepLines w:val="0"/>
              <w:pageBreakBefore w:val="0"/>
              <w:kinsoku/>
              <w:wordWrap/>
              <w:overflowPunct/>
              <w:topLinePunct w:val="0"/>
              <w:bidi w:val="0"/>
              <w:adjustRightInd/>
              <w:snapToGrid/>
              <w:spacing w:line="360" w:lineRule="auto"/>
              <w:ind w:firstLine="0" w:firstLineChars="0"/>
              <w:textAlignment w:val="auto"/>
              <w:rPr>
                <w:rFonts w:hAnsi="宋体"/>
                <w:color w:val="auto"/>
                <w:sz w:val="24"/>
              </w:rPr>
            </w:pPr>
          </w:p>
          <w:p w14:paraId="60C5C4BC">
            <w:pPr>
              <w:keepNext w:val="0"/>
              <w:keepLines w:val="0"/>
              <w:pageBreakBefore w:val="0"/>
              <w:kinsoku/>
              <w:wordWrap/>
              <w:overflowPunct/>
              <w:topLinePunct w:val="0"/>
              <w:bidi w:val="0"/>
              <w:adjustRightInd/>
              <w:snapToGrid/>
              <w:spacing w:line="360" w:lineRule="auto"/>
              <w:ind w:firstLine="0" w:firstLineChars="0"/>
              <w:jc w:val="center"/>
              <w:textAlignment w:val="auto"/>
              <w:rPr>
                <w:rFonts w:hAnsi="宋体"/>
                <w:color w:val="auto"/>
                <w:sz w:val="21"/>
                <w:szCs w:val="21"/>
              </w:rPr>
            </w:pPr>
            <w:r>
              <w:rPr>
                <w:b/>
                <w:bCs/>
                <w:color w:val="auto"/>
                <w:sz w:val="21"/>
                <w:szCs w:val="21"/>
              </w:rPr>
              <mc:AlternateContent>
                <mc:Choice Requires="wps">
                  <w:drawing>
                    <wp:anchor distT="0" distB="0" distL="114300" distR="114300" simplePos="0" relativeHeight="251693056" behindDoc="0" locked="0" layoutInCell="1" allowOverlap="1">
                      <wp:simplePos x="0" y="0"/>
                      <wp:positionH relativeFrom="column">
                        <wp:posOffset>770255</wp:posOffset>
                      </wp:positionH>
                      <wp:positionV relativeFrom="paragraph">
                        <wp:posOffset>3818255</wp:posOffset>
                      </wp:positionV>
                      <wp:extent cx="4784725" cy="406400"/>
                      <wp:effectExtent l="0" t="0" r="0" b="0"/>
                      <wp:wrapNone/>
                      <wp:docPr id="88" name="文本框 88"/>
                      <wp:cNvGraphicFramePr/>
                      <a:graphic xmlns:a="http://schemas.openxmlformats.org/drawingml/2006/main">
                        <a:graphicData uri="http://schemas.microsoft.com/office/word/2010/wordprocessingShape">
                          <wps:wsp>
                            <wps:cNvSpPr txBox="1"/>
                            <wps:spPr>
                              <a:xfrm>
                                <a:off x="1560830" y="3140710"/>
                                <a:ext cx="4362450" cy="410210"/>
                              </a:xfrm>
                              <a:prstGeom prst="rect">
                                <a:avLst/>
                              </a:prstGeom>
                              <a:noFill/>
                              <a:ln w="9525">
                                <a:noFill/>
                              </a:ln>
                              <a:effectLst/>
                            </wps:spPr>
                            <wps:txbx>
                              <w:txbxContent>
                                <w:p w14:paraId="68712178">
                                  <w:pPr>
                                    <w:jc w:val="center"/>
                                  </w:pPr>
                                  <w:r>
                                    <w:rPr>
                                      <w:rFonts w:hint="eastAsia" w:ascii="宋体" w:hAnsi="宋体"/>
                                      <w:b/>
                                    </w:rPr>
                                    <w:t>图例：有组织废气：  无组织废气：</w:t>
                                  </w:r>
                                  <w:r>
                                    <w:rPr>
                                      <w:szCs w:val="21"/>
                                    </w:rPr>
                                    <w:drawing>
                                      <wp:inline distT="0" distB="0" distL="114300" distR="114300">
                                        <wp:extent cx="238125" cy="208280"/>
                                        <wp:effectExtent l="0" t="0" r="9525" b="1270"/>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pic:cNvPicPr>
                                              </pic:nvPicPr>
                                              <pic:blipFill>
                                                <a:blip r:embed="rId11"/>
                                                <a:stretch>
                                                  <a:fillRect/>
                                                </a:stretch>
                                              </pic:blipFill>
                                              <pic:spPr>
                                                <a:xfrm>
                                                  <a:off x="0" y="0"/>
                                                  <a:ext cx="238125" cy="208280"/>
                                                </a:xfrm>
                                                <a:prstGeom prst="rect">
                                                  <a:avLst/>
                                                </a:prstGeom>
                                                <a:noFill/>
                                                <a:ln>
                                                  <a:noFill/>
                                                </a:ln>
                                              </pic:spPr>
                                            </pic:pic>
                                          </a:graphicData>
                                        </a:graphic>
                                      </wp:inline>
                                    </w:drawing>
                                  </w:r>
                                  <w:r>
                                    <w:rPr>
                                      <w:rFonts w:hint="eastAsia" w:ascii="宋体" w:hAnsi="宋体"/>
                                      <w:b/>
                                    </w:rPr>
                                    <w:t>噪声：  固体废物：</w:t>
                                  </w:r>
                                </w:p>
                              </w:txbxContent>
                            </wps:txbx>
                            <wps:bodyPr upright="1"/>
                          </wps:wsp>
                        </a:graphicData>
                      </a:graphic>
                    </wp:anchor>
                  </w:drawing>
                </mc:Choice>
                <mc:Fallback>
                  <w:pict>
                    <v:shape id="_x0000_s1026" o:spid="_x0000_s1026" o:spt="202" type="#_x0000_t202" style="position:absolute;left:0pt;margin-left:60.65pt;margin-top:300.65pt;height:32pt;width:376.75pt;z-index:251693056;mso-width-relative:page;mso-height-relative:page;" filled="f" stroked="f" coordsize="21600,21600" o:gfxdata="UEsDBAoAAAAAAIdO4kAAAAAAAAAAAAAAAAAEAAAAZHJzL1BLAwQUAAAACACHTuJA5kLjPNgAAAAL&#10;AQAADwAAAGRycy9kb3ducmV2LnhtbE2PzU7DMBCE70i8g7VI3Kid/qQljdMDiCuI0lbi5sbbJGq8&#10;jmK3CW/P9gS3nd3R7Df5ZnStuGIfGk8akokCgVR621ClYff19rQCEaIha1pPqOEHA2yK+7vcZNYP&#10;9InXbawEh1DIjIY6xi6TMpQ1OhMmvkPi28n3zkSWfSVtbwYOd62cKpVKZxriD7Xp8KXG8ry9OA37&#10;99P3Ya4+qle36AY/KknuWWr9+JCoNYiIY/wzww2f0aFgpqO/kA2iZT1NZmzVkKrbwI7Vcs5ljrxJ&#10;FzOQRS7/dyh+AVBLAwQUAAAACACHTuJA0osfUsYBAABzAwAADgAAAGRycy9lMm9Eb2MueG1srVNL&#10;btswEN0X6B0I7mt9/KkrmA4QGOmmaAskPQBNkRYB/kDSlnyB9gZdddN9z+VzdEgpbpBussiGImce&#10;38x7Q21uBq3QifsgrSG4mpUYccNsK82B4G8Pd+/WGIVITUuVNZzgMw/4Zvv2zaZ3Da9tZ1XLPQIS&#10;E5reEdzF6JqiCKzjmoaZddxAUlivaYSjPxStpz2wa1XUZbkqeutb5y3jIUB0NybxxOhfQmiFkIzv&#10;LDtqbuLI6rmiESSFTrqAt7lbITiLX4QIPCJFMCiNeYUisN+ntdhuaHPw1HWSTS3Ql7TwTJOm0kDR&#10;K9WORoqOXv5HpSXzNlgRZ8zqYhSSHQEVVfnMm/uOOp61gNXBXU0Pr0fLPp++eiRbgtcwd0M1TPzy&#10;88fl15/L7+8IYmBQ70IDuHsHyDjc2gGezWM8QDDpHoTX6QuKUMovV+V6DiafCZ5Xi/J9NVnNh4gY&#10;ABbzVb1YAoABYlGV9Qgo/jE5H+JHbjVKG4I9jDI7TE+fQoSuAPoISYWNvZNK5XEqg3qCPyzrZb5w&#10;zcANZRKW54cx0SR1o4q0i8N+mCTvbXsGxUfn5aGDDrLmIoFgFrn+9G7SsJ+eYf/0X9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ZC4zzYAAAACwEAAA8AAAAAAAAAAQAgAAAAIgAAAGRycy9kb3du&#10;cmV2LnhtbFBLAQIUABQAAAAIAIdO4kDSix9SxgEAAHMDAAAOAAAAAAAAAAEAIAAAACcBAABkcnMv&#10;ZTJvRG9jLnhtbFBLBQYAAAAABgAGAFkBAABfBQAAAAA=&#10;">
                      <v:fill on="f" focussize="0,0"/>
                      <v:stroke on="f"/>
                      <v:imagedata o:title=""/>
                      <o:lock v:ext="edit" aspectratio="f"/>
                      <v:textbox>
                        <w:txbxContent>
                          <w:p w14:paraId="68712178">
                            <w:pPr>
                              <w:jc w:val="center"/>
                            </w:pPr>
                            <w:r>
                              <w:rPr>
                                <w:rFonts w:hint="eastAsia" w:ascii="宋体" w:hAnsi="宋体"/>
                                <w:b/>
                              </w:rPr>
                              <w:t>图例：有组织废气：  无组织废气：</w:t>
                            </w:r>
                            <w:r>
                              <w:rPr>
                                <w:szCs w:val="21"/>
                              </w:rPr>
                              <w:drawing>
                                <wp:inline distT="0" distB="0" distL="114300" distR="114300">
                                  <wp:extent cx="238125" cy="208280"/>
                                  <wp:effectExtent l="0" t="0" r="9525" b="1270"/>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pic:cNvPicPr>
                                        </pic:nvPicPr>
                                        <pic:blipFill>
                                          <a:blip r:embed="rId11"/>
                                          <a:stretch>
                                            <a:fillRect/>
                                          </a:stretch>
                                        </pic:blipFill>
                                        <pic:spPr>
                                          <a:xfrm>
                                            <a:off x="0" y="0"/>
                                            <a:ext cx="238125" cy="208280"/>
                                          </a:xfrm>
                                          <a:prstGeom prst="rect">
                                            <a:avLst/>
                                          </a:prstGeom>
                                          <a:noFill/>
                                          <a:ln>
                                            <a:noFill/>
                                          </a:ln>
                                        </pic:spPr>
                                      </pic:pic>
                                    </a:graphicData>
                                  </a:graphic>
                                </wp:inline>
                              </w:drawing>
                            </w:r>
                            <w:r>
                              <w:rPr>
                                <w:rFonts w:hint="eastAsia" w:ascii="宋体" w:hAnsi="宋体"/>
                                <w:b/>
                              </w:rPr>
                              <w:t>噪声：  固体废物：</w:t>
                            </w:r>
                          </w:p>
                        </w:txbxContent>
                      </v:textbox>
                    </v:shape>
                  </w:pict>
                </mc:Fallback>
              </mc:AlternateContent>
            </w:r>
            <w:r>
              <w:rPr>
                <w:rFonts w:hint="eastAsia" w:hAnsi="宋体"/>
                <w:b/>
                <w:bCs/>
                <w:color w:val="auto"/>
                <w:sz w:val="21"/>
                <w:szCs w:val="21"/>
              </w:rPr>
              <w:t>图</w:t>
            </w:r>
            <w:r>
              <w:rPr>
                <w:rFonts w:hint="eastAsia" w:hAnsi="宋体" w:eastAsia="宋体"/>
                <w:b/>
                <w:bCs/>
                <w:color w:val="auto"/>
                <w:sz w:val="21"/>
                <w:szCs w:val="21"/>
                <w:lang w:val="en-US" w:eastAsia="zh-CN"/>
              </w:rPr>
              <w:t>2</w:t>
            </w:r>
            <w:r>
              <w:rPr>
                <w:rFonts w:hint="eastAsia" w:hAnsi="宋体"/>
                <w:b/>
                <w:bCs/>
                <w:color w:val="auto"/>
                <w:sz w:val="21"/>
                <w:szCs w:val="21"/>
              </w:rPr>
              <w:t>-3   项目生产工艺流程及产污节点图</w:t>
            </w:r>
          </w:p>
          <w:p w14:paraId="5D99ADAE">
            <w:pPr>
              <w:pStyle w:val="12"/>
              <w:keepNext w:val="0"/>
              <w:keepLines w:val="0"/>
              <w:pageBreakBefore w:val="0"/>
              <w:tabs>
                <w:tab w:val="left" w:pos="0"/>
              </w:tabs>
              <w:kinsoku/>
              <w:wordWrap/>
              <w:overflowPunct/>
              <w:topLinePunct w:val="0"/>
              <w:bidi w:val="0"/>
              <w:adjustRightInd/>
              <w:snapToGrid/>
              <w:spacing w:beforeAutospacing="0" w:after="0" w:afterAutospacing="0" w:line="360" w:lineRule="auto"/>
              <w:ind w:left="0" w:leftChars="0" w:right="0" w:rightChars="0" w:firstLine="0" w:firstLineChars="0"/>
              <w:jc w:val="center"/>
              <w:textAlignment w:val="auto"/>
              <w:rPr>
                <w:b/>
                <w:color w:val="auto"/>
                <w:sz w:val="18"/>
                <w:szCs w:val="18"/>
              </w:rPr>
            </w:pPr>
          </w:p>
          <w:p w14:paraId="169787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b w:val="0"/>
                <w:bCs w:val="0"/>
                <w:color w:val="auto"/>
                <w:kern w:val="21"/>
                <w:sz w:val="24"/>
                <w:szCs w:val="24"/>
              </w:rPr>
            </w:pPr>
            <w:r>
              <w:rPr>
                <w:rFonts w:hint="eastAsia"/>
                <w:b w:val="0"/>
                <w:bCs w:val="0"/>
                <w:color w:val="auto"/>
                <w:sz w:val="24"/>
                <w:szCs w:val="24"/>
                <w:lang w:val="en-US" w:eastAsia="zh-CN"/>
              </w:rPr>
              <w:t>2、</w:t>
            </w:r>
            <w:r>
              <w:rPr>
                <w:b w:val="0"/>
                <w:bCs w:val="0"/>
                <w:color w:val="auto"/>
                <w:sz w:val="24"/>
                <w:szCs w:val="24"/>
              </w:rPr>
              <w:t>生产工艺说明</w:t>
            </w:r>
            <w:r>
              <w:rPr>
                <w:rFonts w:hint="eastAsia"/>
                <w:b w:val="0"/>
                <w:bCs w:val="0"/>
                <w:color w:val="auto"/>
                <w:sz w:val="24"/>
                <w:szCs w:val="24"/>
              </w:rPr>
              <w:t>及产污环节</w:t>
            </w:r>
            <w:r>
              <w:rPr>
                <w:b w:val="0"/>
                <w:bCs w:val="0"/>
                <w:color w:val="auto"/>
                <w:sz w:val="24"/>
                <w:szCs w:val="24"/>
              </w:rPr>
              <w:t>：</w:t>
            </w:r>
          </w:p>
          <w:p w14:paraId="426BC971">
            <w:pPr>
              <w:pStyle w:val="34"/>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firstLineChars="200"/>
              <w:textAlignment w:val="auto"/>
              <w:rPr>
                <w:rFonts w:hint="default" w:eastAsia="宋体"/>
                <w:b w:val="0"/>
                <w:bCs w:val="0"/>
                <w:color w:val="auto"/>
                <w:sz w:val="24"/>
                <w:szCs w:val="24"/>
                <w:lang w:val="en-US" w:eastAsia="zh-CN"/>
              </w:rPr>
            </w:pPr>
            <w:r>
              <w:rPr>
                <w:rFonts w:hint="eastAsia" w:eastAsia="宋体"/>
                <w:b w:val="0"/>
                <w:bCs w:val="0"/>
                <w:color w:val="auto"/>
                <w:sz w:val="24"/>
                <w:szCs w:val="24"/>
                <w:lang w:val="en-US" w:eastAsia="zh-CN"/>
              </w:rPr>
              <w:t>（1）第一工段（破碎、清洗、分选工段）</w:t>
            </w:r>
          </w:p>
          <w:p w14:paraId="0929C8DC">
            <w:pPr>
              <w:pStyle w:val="34"/>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2" w:firstLineChars="200"/>
              <w:textAlignment w:val="auto"/>
              <w:rPr>
                <w:rFonts w:hint="eastAsia" w:eastAsia="宋体"/>
                <w:color w:val="auto"/>
                <w:sz w:val="24"/>
                <w:szCs w:val="24"/>
                <w:lang w:val="en-US" w:eastAsia="zh-CN"/>
              </w:rPr>
            </w:pPr>
            <w:r>
              <w:rPr>
                <w:rFonts w:hint="eastAsia" w:eastAsia="宋体"/>
                <w:b/>
                <w:bCs/>
                <w:color w:val="auto"/>
                <w:sz w:val="24"/>
                <w:szCs w:val="24"/>
                <w:lang w:val="en-US" w:eastAsia="zh-CN"/>
              </w:rPr>
              <w:t>金属分选</w:t>
            </w:r>
            <w:r>
              <w:rPr>
                <w:rFonts w:hint="eastAsia" w:eastAsia="宋体"/>
                <w:color w:val="auto"/>
                <w:sz w:val="24"/>
                <w:szCs w:val="24"/>
                <w:lang w:val="en-US" w:eastAsia="zh-CN"/>
              </w:rPr>
              <w:t>：外购已初步分类的废塑料原料，使用自动金属磁选设备将废旧塑料中混有金属的杂质自动分拣出来。</w:t>
            </w:r>
          </w:p>
          <w:p w14:paraId="2DFF3299">
            <w:pPr>
              <w:spacing w:line="360" w:lineRule="auto"/>
              <w:ind w:firstLine="482" w:firstLineChars="200"/>
              <w:rPr>
                <w:rFonts w:hAnsi="宋体"/>
                <w:color w:val="auto"/>
                <w:sz w:val="24"/>
              </w:rPr>
            </w:pPr>
            <w:r>
              <w:rPr>
                <w:rFonts w:hint="eastAsia" w:eastAsia="宋体"/>
                <w:b/>
                <w:bCs/>
                <w:color w:val="auto"/>
                <w:sz w:val="24"/>
                <w:szCs w:val="24"/>
                <w:lang w:val="en-US" w:eastAsia="zh-CN"/>
              </w:rPr>
              <w:t>水浮初洗</w:t>
            </w:r>
            <w:r>
              <w:rPr>
                <w:rFonts w:hint="eastAsia" w:eastAsia="宋体"/>
                <w:color w:val="auto"/>
                <w:sz w:val="24"/>
                <w:szCs w:val="24"/>
                <w:lang w:val="en-US" w:eastAsia="zh-CN"/>
              </w:rPr>
              <w:t>：完成金属分选的</w:t>
            </w:r>
            <w:r>
              <w:rPr>
                <w:rFonts w:hint="eastAsia" w:hAnsi="宋体"/>
                <w:color w:val="auto"/>
                <w:sz w:val="24"/>
              </w:rPr>
              <w:t>物料要先进入塑料清洗线中进行水浮初洗，根据物料和杂质在水中的浮力不等的原理将塑料中的织物、废纸等夹带物剔除。</w:t>
            </w:r>
            <w:r>
              <w:rPr>
                <w:rFonts w:hint="eastAsia" w:hAnsi="宋体" w:eastAsia="宋体"/>
                <w:color w:val="auto"/>
                <w:sz w:val="24"/>
                <w:lang w:val="en-US" w:eastAsia="zh-CN"/>
              </w:rPr>
              <w:t>根据不同物料的特点，部分批次物料需放入少量工业盐使得PP、PE、ABS及其它塑料杂质分层，去除其他塑料杂质。</w:t>
            </w:r>
            <w:r>
              <w:rPr>
                <w:rFonts w:hint="eastAsia" w:hAnsi="宋体"/>
                <w:color w:val="auto"/>
                <w:sz w:val="24"/>
              </w:rPr>
              <w:t>清洗线中各池子与自建</w:t>
            </w:r>
            <w:r>
              <w:rPr>
                <w:rFonts w:hint="eastAsia" w:hAnsi="宋体" w:eastAsia="宋体"/>
                <w:color w:val="auto"/>
                <w:sz w:val="24"/>
                <w:lang w:val="en-US" w:eastAsia="zh-CN"/>
              </w:rPr>
              <w:t>处理废水</w:t>
            </w:r>
            <w:r>
              <w:rPr>
                <w:rFonts w:hint="eastAsia" w:hAnsi="宋体"/>
                <w:color w:val="auto"/>
                <w:sz w:val="24"/>
              </w:rPr>
              <w:t>水池均有水管连接，清洗废水排入自建</w:t>
            </w:r>
            <w:r>
              <w:rPr>
                <w:rFonts w:hint="eastAsia" w:hAnsi="宋体" w:eastAsia="宋体"/>
                <w:color w:val="auto"/>
                <w:sz w:val="24"/>
                <w:lang w:val="en-US" w:eastAsia="zh-CN"/>
              </w:rPr>
              <w:t>处理废水</w:t>
            </w:r>
            <w:r>
              <w:rPr>
                <w:rFonts w:hint="eastAsia" w:hAnsi="宋体"/>
                <w:color w:val="auto"/>
                <w:sz w:val="24"/>
              </w:rPr>
              <w:t>水池处理后</w:t>
            </w:r>
            <w:r>
              <w:rPr>
                <w:rFonts w:hint="eastAsia" w:hAnsi="宋体" w:eastAsia="宋体"/>
                <w:color w:val="auto"/>
                <w:sz w:val="24"/>
                <w:lang w:val="en-US" w:eastAsia="zh-CN"/>
              </w:rPr>
              <w:t>部分</w:t>
            </w:r>
            <w:r>
              <w:rPr>
                <w:rFonts w:hint="eastAsia" w:hAnsi="宋体"/>
                <w:color w:val="auto"/>
                <w:sz w:val="24"/>
              </w:rPr>
              <w:t>回用于清洗工序，其余部分经管网排入</w:t>
            </w:r>
            <w:r>
              <w:rPr>
                <w:rFonts w:hint="eastAsia" w:eastAsia="宋体"/>
                <w:color w:val="auto"/>
                <w:sz w:val="24"/>
                <w:highlight w:val="none"/>
                <w:lang w:val="en-US" w:eastAsia="zh-CN"/>
              </w:rPr>
              <w:t>星火工业园</w:t>
            </w:r>
            <w:r>
              <w:rPr>
                <w:rFonts w:hint="eastAsia" w:eastAsia="宋体"/>
                <w:color w:val="auto"/>
                <w:sz w:val="24"/>
                <w:highlight w:val="none"/>
                <w:lang w:eastAsia="zh-CN"/>
              </w:rPr>
              <w:t>园区污水处理厂</w:t>
            </w:r>
            <w:r>
              <w:rPr>
                <w:rFonts w:hint="eastAsia" w:hAnsi="宋体"/>
                <w:color w:val="auto"/>
                <w:sz w:val="24"/>
              </w:rPr>
              <w:t>进一步处理。</w:t>
            </w:r>
          </w:p>
          <w:p w14:paraId="61D07620">
            <w:pPr>
              <w:spacing w:line="360" w:lineRule="auto"/>
              <w:ind w:firstLine="482" w:firstLineChars="200"/>
              <w:rPr>
                <w:rFonts w:hint="default" w:hAnsi="宋体" w:eastAsia="宋体"/>
                <w:color w:val="auto"/>
                <w:sz w:val="24"/>
                <w:lang w:val="en-US" w:eastAsia="zh-CN"/>
              </w:rPr>
            </w:pPr>
            <w:r>
              <w:rPr>
                <w:rFonts w:hint="eastAsia" w:hAnsi="宋体" w:eastAsia="宋体"/>
                <w:b/>
                <w:bCs/>
                <w:color w:val="auto"/>
                <w:sz w:val="24"/>
                <w:lang w:val="en-US" w:eastAsia="zh-CN"/>
              </w:rPr>
              <w:t>破碎</w:t>
            </w:r>
            <w:r>
              <w:rPr>
                <w:rFonts w:hint="eastAsia" w:hAnsi="宋体" w:eastAsia="宋体"/>
                <w:color w:val="auto"/>
                <w:sz w:val="24"/>
                <w:lang w:val="en-US" w:eastAsia="zh-CN"/>
              </w:rPr>
              <w:t>：经过初洗的物料采用撕碎机</w:t>
            </w:r>
            <w:r>
              <w:rPr>
                <w:rFonts w:hint="eastAsia" w:hAnsi="宋体"/>
                <w:color w:val="auto"/>
                <w:sz w:val="24"/>
              </w:rPr>
              <w:t>将块状、条状物料，或者大颗粒</w:t>
            </w:r>
            <w:r>
              <w:rPr>
                <w:rFonts w:hint="eastAsia" w:hAnsi="宋体" w:eastAsia="宋体"/>
                <w:color w:val="auto"/>
                <w:sz w:val="24"/>
                <w:lang w:val="en-US" w:eastAsia="zh-CN"/>
              </w:rPr>
              <w:t>塑料进行破碎</w:t>
            </w:r>
            <w:r>
              <w:rPr>
                <w:rFonts w:hint="eastAsia" w:hAnsi="宋体"/>
                <w:color w:val="auto"/>
                <w:sz w:val="24"/>
              </w:rPr>
              <w:t>，根据不同的物料特性和产品设计的要求，通过剪切、挤压的作用，将废塑料</w:t>
            </w:r>
            <w:r>
              <w:rPr>
                <w:rFonts w:hint="eastAsia" w:hAnsi="宋体" w:eastAsia="宋体"/>
                <w:color w:val="auto"/>
                <w:sz w:val="24"/>
                <w:lang w:val="en-US" w:eastAsia="zh-CN"/>
              </w:rPr>
              <w:t>破</w:t>
            </w:r>
            <w:r>
              <w:rPr>
                <w:rFonts w:hint="eastAsia" w:hAnsi="宋体"/>
                <w:color w:val="auto"/>
                <w:sz w:val="24"/>
              </w:rPr>
              <w:t>碎成3-5cm大小的碎片，该工艺为湿物理粉碎，破碎过程无粉尘产生。</w:t>
            </w:r>
            <w:r>
              <w:rPr>
                <w:rFonts w:hint="eastAsia" w:hAnsi="宋体" w:eastAsia="宋体"/>
                <w:color w:val="auto"/>
                <w:sz w:val="24"/>
                <w:lang w:val="en-US" w:eastAsia="zh-CN"/>
              </w:rPr>
              <w:t>为保证产品品质，破碎后的物料需要进一步进行金属磁选。</w:t>
            </w:r>
          </w:p>
          <w:p w14:paraId="68E7245D">
            <w:pPr>
              <w:pStyle w:val="27"/>
              <w:rPr>
                <w:rFonts w:hint="eastAsia"/>
                <w:color w:val="auto"/>
                <w:lang w:val="en-US" w:eastAsia="zh-CN"/>
              </w:rPr>
            </w:pPr>
            <w:r>
              <w:rPr>
                <w:rFonts w:hint="eastAsia"/>
                <w:b/>
                <w:bCs/>
                <w:color w:val="auto"/>
                <w:lang w:val="en-US" w:eastAsia="zh-CN"/>
              </w:rPr>
              <w:t>清洗</w:t>
            </w:r>
            <w:r>
              <w:rPr>
                <w:rFonts w:hint="eastAsia"/>
                <w:color w:val="auto"/>
                <w:lang w:val="en-US" w:eastAsia="zh-CN"/>
              </w:rPr>
              <w:t>：对破碎、磁选后的物料进行进一步清水洗料，部分产品通过磨料机进行摩擦洗料，磨料机通过其内部的高速摩擦搓洗，能够有效的清洗破碎后的废塑料，使片料干净透明。</w:t>
            </w:r>
            <w:r>
              <w:rPr>
                <w:rFonts w:hint="eastAsia"/>
                <w:bCs/>
                <w:color w:val="auto"/>
              </w:rPr>
              <w:t>清洗</w:t>
            </w:r>
            <w:r>
              <w:rPr>
                <w:rFonts w:hint="eastAsia"/>
                <w:bCs/>
                <w:color w:val="auto"/>
                <w:lang w:val="en-US" w:eastAsia="zh-CN"/>
              </w:rPr>
              <w:t>废水</w:t>
            </w:r>
            <w:r>
              <w:rPr>
                <w:rFonts w:hint="eastAsia"/>
                <w:bCs/>
                <w:color w:val="auto"/>
              </w:rPr>
              <w:t>经管道与厂内一体化污水处理站相连，清洗废水经厂内一体化污水处理站处理后部分回用于清洗工序，</w:t>
            </w:r>
            <w:r>
              <w:rPr>
                <w:rFonts w:hint="eastAsia" w:hAnsi="宋体"/>
                <w:color w:val="auto"/>
                <w:sz w:val="24"/>
              </w:rPr>
              <w:t>其余部分经管网排入</w:t>
            </w:r>
            <w:r>
              <w:rPr>
                <w:rFonts w:hint="eastAsia" w:eastAsia="宋体"/>
                <w:color w:val="auto"/>
                <w:sz w:val="24"/>
                <w:highlight w:val="none"/>
                <w:lang w:val="en-US" w:eastAsia="zh-CN"/>
              </w:rPr>
              <w:t>星火工业园</w:t>
            </w:r>
            <w:r>
              <w:rPr>
                <w:rFonts w:hint="eastAsia" w:eastAsia="宋体"/>
                <w:color w:val="auto"/>
                <w:sz w:val="24"/>
                <w:highlight w:val="none"/>
                <w:lang w:eastAsia="zh-CN"/>
              </w:rPr>
              <w:t>园区污水处理厂</w:t>
            </w:r>
            <w:r>
              <w:rPr>
                <w:rFonts w:hint="eastAsia" w:hAnsi="宋体"/>
                <w:color w:val="auto"/>
                <w:sz w:val="24"/>
              </w:rPr>
              <w:t>进一步处理。</w:t>
            </w:r>
          </w:p>
          <w:p w14:paraId="69CAA366">
            <w:pPr>
              <w:pStyle w:val="27"/>
              <w:rPr>
                <w:rFonts w:hint="default"/>
                <w:color w:val="auto"/>
                <w:lang w:val="en-US" w:eastAsia="zh-CN"/>
              </w:rPr>
            </w:pPr>
            <w:r>
              <w:rPr>
                <w:rFonts w:hint="eastAsia"/>
                <w:b/>
                <w:bCs/>
                <w:color w:val="auto"/>
                <w:lang w:val="en-US" w:eastAsia="zh-CN"/>
              </w:rPr>
              <w:t>甩干：</w:t>
            </w:r>
            <w:r>
              <w:rPr>
                <w:rFonts w:hint="eastAsia"/>
                <w:color w:val="auto"/>
                <w:lang w:val="en-US" w:eastAsia="zh-CN"/>
              </w:rPr>
              <w:t>清水洗料后物料通过离心脱水机进行甩干脱水，</w:t>
            </w:r>
            <w:r>
              <w:rPr>
                <w:rFonts w:hint="eastAsia"/>
                <w:bCs/>
                <w:color w:val="auto"/>
              </w:rPr>
              <w:t>甩去塑料表面的水分，物料被截留在滚筒内，甩出的水分经设备自带的收集系统收集后经甩干机出口排入厂内一体化污水处理站处理</w:t>
            </w:r>
            <w:r>
              <w:rPr>
                <w:rFonts w:hint="eastAsia"/>
                <w:color w:val="auto"/>
                <w:lang w:val="en-US" w:eastAsia="zh-CN"/>
              </w:rPr>
              <w:t>。</w:t>
            </w:r>
          </w:p>
          <w:p w14:paraId="1187C41C">
            <w:pPr>
              <w:pStyle w:val="27"/>
              <w:rPr>
                <w:rFonts w:hint="eastAsia"/>
                <w:color w:val="auto"/>
                <w:lang w:val="en-US" w:eastAsia="zh-CN"/>
              </w:rPr>
            </w:pPr>
            <w:r>
              <w:rPr>
                <w:rFonts w:hint="eastAsia"/>
                <w:b/>
                <w:bCs/>
                <w:color w:val="auto"/>
                <w:lang w:val="en-US" w:eastAsia="zh-CN"/>
              </w:rPr>
              <w:t>静电分选、色选</w:t>
            </w:r>
            <w:r>
              <w:rPr>
                <w:rFonts w:hint="eastAsia"/>
                <w:color w:val="auto"/>
                <w:lang w:val="en-US" w:eastAsia="zh-CN"/>
              </w:rPr>
              <w:t>：静电分选是利用各种塑料不同的静电性能来进行分选的方法，在静电力、重力、离心力等的合力下落，完成多种不同电性物料的分离。塑料色选机的工作原理‌是基于物料的光学特性差异，利用光电探测技术将塑料颗粒中的异色颗粒自动分拣出来，它能够有效地将不同颜色的塑料颗粒分开，提高回收效率和产品质量。项目利用静电分选、色选机进一步提高了物料分选的准确性和效率，能够确保回收的塑料质量更高。</w:t>
            </w:r>
          </w:p>
          <w:p w14:paraId="36250F8D">
            <w:pPr>
              <w:pStyle w:val="27"/>
              <w:numPr>
                <w:ilvl w:val="0"/>
                <w:numId w:val="0"/>
              </w:numPr>
              <w:ind w:leftChars="200"/>
              <w:rPr>
                <w:rFonts w:hint="eastAsia"/>
                <w:color w:val="auto"/>
                <w:lang w:val="en-US" w:eastAsia="zh-CN"/>
              </w:rPr>
            </w:pPr>
            <w:r>
              <w:rPr>
                <w:rFonts w:hint="eastAsia"/>
                <w:color w:val="auto"/>
                <w:lang w:val="en-US" w:eastAsia="zh-CN"/>
              </w:rPr>
              <w:t>（2）第二工段（造粒成型工段）</w:t>
            </w:r>
          </w:p>
          <w:p w14:paraId="15EAE26F">
            <w:pPr>
              <w:pStyle w:val="27"/>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480" w:firstLineChars="200"/>
              <w:textAlignment w:val="auto"/>
              <w:rPr>
                <w:rFonts w:hint="default"/>
                <w:color w:val="auto"/>
                <w:lang w:val="en-US" w:eastAsia="zh-CN"/>
              </w:rPr>
            </w:pPr>
            <w:r>
              <w:rPr>
                <w:rFonts w:hint="eastAsia" w:hAnsi="宋体"/>
                <w:color w:val="auto"/>
                <w:sz w:val="24"/>
                <w:lang w:val="en-US" w:eastAsia="zh-CN"/>
              </w:rPr>
              <w:t>项目造粒成型</w:t>
            </w:r>
            <w:r>
              <w:rPr>
                <w:rFonts w:hint="eastAsia" w:hAnsi="宋体"/>
                <w:color w:val="auto"/>
                <w:sz w:val="24"/>
              </w:rPr>
              <w:t>工段的主要工艺设施为“全自动造粒成型一体机组”，该机组主要由“熔融挤出机”、“冷却水槽”和“切粒机”三部分组成。</w:t>
            </w:r>
          </w:p>
          <w:p w14:paraId="5D58A3F1">
            <w:pPr>
              <w:pStyle w:val="27"/>
              <w:rPr>
                <w:rFonts w:hint="default"/>
                <w:color w:val="auto"/>
                <w:lang w:val="en-US" w:eastAsia="zh-CN"/>
              </w:rPr>
            </w:pPr>
            <w:r>
              <w:rPr>
                <w:rFonts w:hint="eastAsia"/>
                <w:b/>
                <w:bCs/>
                <w:color w:val="auto"/>
                <w:lang w:val="en-US" w:eastAsia="zh-CN"/>
              </w:rPr>
              <w:t>熔融、挤出拉丝</w:t>
            </w:r>
            <w:r>
              <w:rPr>
                <w:rFonts w:hint="eastAsia"/>
                <w:color w:val="auto"/>
                <w:lang w:val="en-US" w:eastAsia="zh-CN"/>
              </w:rPr>
              <w:t>：</w:t>
            </w:r>
            <w:r>
              <w:rPr>
                <w:rFonts w:hint="eastAsia" w:hAnsi="宋体"/>
                <w:color w:val="auto"/>
                <w:sz w:val="24"/>
              </w:rPr>
              <w:t>废塑料经人工送进入塑料挤出机，设备用电加热使塑料成为熔融状态，在此期间添加少量硅酸钙粉</w:t>
            </w:r>
            <w:r>
              <w:rPr>
                <w:rFonts w:hint="eastAsia" w:hAnsi="宋体"/>
                <w:color w:val="auto"/>
                <w:sz w:val="24"/>
                <w:lang w:val="en-US" w:eastAsia="zh-CN"/>
              </w:rPr>
              <w:t>和</w:t>
            </w:r>
            <w:r>
              <w:rPr>
                <w:rFonts w:hint="eastAsia" w:hAnsi="宋体"/>
                <w:color w:val="auto"/>
                <w:sz w:val="24"/>
                <w:highlight w:val="none"/>
                <w:lang w:val="en-US" w:eastAsia="zh-CN"/>
              </w:rPr>
              <w:t>白油</w:t>
            </w:r>
            <w:r>
              <w:rPr>
                <w:rFonts w:hint="eastAsia" w:hAnsi="宋体"/>
                <w:color w:val="auto"/>
                <w:sz w:val="24"/>
                <w:highlight w:val="none"/>
              </w:rPr>
              <w:t>，增加</w:t>
            </w:r>
            <w:r>
              <w:rPr>
                <w:rFonts w:hint="eastAsia" w:hAnsi="宋体"/>
                <w:color w:val="auto"/>
                <w:sz w:val="24"/>
                <w:highlight w:val="none"/>
                <w:lang w:val="en-US" w:eastAsia="zh-CN"/>
              </w:rPr>
              <w:t>产品</w:t>
            </w:r>
            <w:r>
              <w:rPr>
                <w:rFonts w:hint="eastAsia" w:hAnsi="宋体"/>
                <w:color w:val="auto"/>
                <w:sz w:val="24"/>
                <w:highlight w:val="none"/>
              </w:rPr>
              <w:t>配重</w:t>
            </w:r>
            <w:r>
              <w:rPr>
                <w:rFonts w:hint="eastAsia" w:hAnsi="宋体"/>
                <w:color w:val="auto"/>
                <w:sz w:val="24"/>
                <w:highlight w:val="none"/>
                <w:lang w:val="en-US" w:eastAsia="zh-CN"/>
              </w:rPr>
              <w:t>和</w:t>
            </w:r>
            <w:r>
              <w:rPr>
                <w:rFonts w:hint="eastAsia" w:hAnsi="宋体"/>
                <w:color w:val="auto"/>
                <w:sz w:val="24"/>
              </w:rPr>
              <w:t>提高塑料的塑性和延展性，废塑料熔融态温度控制在1</w:t>
            </w:r>
            <w:r>
              <w:rPr>
                <w:rFonts w:hint="eastAsia" w:hAnsi="宋体"/>
                <w:color w:val="auto"/>
                <w:sz w:val="24"/>
                <w:lang w:val="en-US" w:eastAsia="zh-CN"/>
              </w:rPr>
              <w:t>2</w:t>
            </w:r>
            <w:r>
              <w:rPr>
                <w:rFonts w:hint="eastAsia" w:hAnsi="宋体"/>
                <w:color w:val="auto"/>
                <w:sz w:val="24"/>
              </w:rPr>
              <w:t>0</w:t>
            </w:r>
            <w:r>
              <w:rPr>
                <w:color w:val="auto"/>
                <w:sz w:val="24"/>
                <w:shd w:val="clear" w:color="auto" w:fill="FFFFFF"/>
              </w:rPr>
              <w:t>～</w:t>
            </w:r>
            <w:r>
              <w:rPr>
                <w:rFonts w:hint="eastAsia" w:hAnsi="宋体"/>
                <w:color w:val="auto"/>
                <w:sz w:val="24"/>
                <w:lang w:val="en-US" w:eastAsia="zh-CN"/>
              </w:rPr>
              <w:t>17</w:t>
            </w:r>
            <w:r>
              <w:rPr>
                <w:rFonts w:hint="eastAsia" w:hAnsi="宋体"/>
                <w:color w:val="auto"/>
                <w:sz w:val="24"/>
              </w:rPr>
              <w:t>0℃，待塑料呈熔融态则通过拉丝机进行拉丝。</w:t>
            </w:r>
          </w:p>
          <w:p w14:paraId="4D40B514">
            <w:pPr>
              <w:pStyle w:val="27"/>
              <w:rPr>
                <w:rFonts w:hint="default"/>
                <w:color w:val="auto"/>
                <w:lang w:val="en-US" w:eastAsia="zh-CN"/>
              </w:rPr>
            </w:pPr>
            <w:r>
              <w:rPr>
                <w:rFonts w:hint="eastAsia"/>
                <w:b/>
                <w:bCs/>
                <w:color w:val="auto"/>
                <w:lang w:val="en-US" w:eastAsia="zh-CN"/>
              </w:rPr>
              <w:t>冷却、切粒</w:t>
            </w:r>
            <w:r>
              <w:rPr>
                <w:rFonts w:hint="eastAsia"/>
                <w:color w:val="auto"/>
                <w:lang w:val="en-US" w:eastAsia="zh-CN"/>
              </w:rPr>
              <w:t>：</w:t>
            </w:r>
            <w:r>
              <w:rPr>
                <w:rFonts w:hint="eastAsia"/>
                <w:bCs/>
                <w:color w:val="auto"/>
              </w:rPr>
              <w:t>挤出的塑料条浸入到冷却水槽中，使其温度逐渐下降，硬度逐渐增加，冷却后的塑料条送入切粒机，切制成</w:t>
            </w:r>
            <w:r>
              <w:rPr>
                <w:rFonts w:hint="eastAsia"/>
                <w:bCs/>
                <w:color w:val="auto"/>
                <w:lang w:val="en-US" w:eastAsia="zh-CN"/>
              </w:rPr>
              <w:t>3</w:t>
            </w:r>
            <w:r>
              <w:rPr>
                <w:rFonts w:hint="eastAsia"/>
                <w:bCs/>
                <w:color w:val="auto"/>
              </w:rPr>
              <w:t>mm</w:t>
            </w:r>
            <w:r>
              <w:rPr>
                <w:rFonts w:hint="eastAsia"/>
                <w:bCs/>
                <w:color w:val="auto"/>
                <w:lang w:val="en-US" w:eastAsia="zh-CN"/>
              </w:rPr>
              <w:t>-</w:t>
            </w:r>
            <w:r>
              <w:rPr>
                <w:rFonts w:hint="eastAsia"/>
                <w:bCs/>
                <w:color w:val="auto"/>
              </w:rPr>
              <w:t>5mm的颗粒。冷却过程中水与塑料条不发生化学反应，仅会挥发散失，需定期补充，长时间使用后冷却水中盐分过高，需重新更换冷却水，冷却废水为清净下水，直接回用于清洗工序。</w:t>
            </w:r>
          </w:p>
          <w:p w14:paraId="1B24A470">
            <w:pPr>
              <w:pStyle w:val="27"/>
              <w:rPr>
                <w:rFonts w:hint="default"/>
                <w:color w:val="auto"/>
                <w:lang w:val="en-US" w:eastAsia="zh-CN"/>
              </w:rPr>
            </w:pPr>
            <w:r>
              <w:rPr>
                <w:rFonts w:hint="eastAsia"/>
                <w:b/>
                <w:bCs/>
                <w:color w:val="auto"/>
                <w:lang w:val="en-US" w:eastAsia="zh-CN"/>
              </w:rPr>
              <w:t>均化打包入库</w:t>
            </w:r>
            <w:r>
              <w:rPr>
                <w:rFonts w:hint="eastAsia"/>
                <w:color w:val="auto"/>
                <w:lang w:val="en-US" w:eastAsia="zh-CN"/>
              </w:rPr>
              <w:t>：</w:t>
            </w:r>
            <w:r>
              <w:rPr>
                <w:rFonts w:hint="eastAsia"/>
                <w:bCs/>
                <w:color w:val="auto"/>
              </w:rPr>
              <w:t>成品经切粒机出口送入储料</w:t>
            </w:r>
            <w:r>
              <w:rPr>
                <w:rFonts w:hint="eastAsia"/>
                <w:bCs/>
                <w:color w:val="auto"/>
                <w:lang w:val="en-US" w:eastAsia="zh-CN"/>
              </w:rPr>
              <w:t>罐</w:t>
            </w:r>
            <w:r>
              <w:rPr>
                <w:rFonts w:hint="eastAsia"/>
                <w:bCs/>
                <w:color w:val="auto"/>
              </w:rPr>
              <w:t>内，经</w:t>
            </w:r>
            <w:r>
              <w:rPr>
                <w:rFonts w:hint="eastAsia"/>
                <w:bCs/>
                <w:color w:val="auto"/>
                <w:lang w:val="en-US" w:eastAsia="zh-CN"/>
              </w:rPr>
              <w:t>搅拌均化后</w:t>
            </w:r>
            <w:r>
              <w:rPr>
                <w:rFonts w:hint="eastAsia"/>
                <w:bCs/>
                <w:color w:val="auto"/>
              </w:rPr>
              <w:t>包装</w:t>
            </w:r>
            <w:r>
              <w:rPr>
                <w:rFonts w:hint="eastAsia"/>
                <w:bCs/>
                <w:color w:val="auto"/>
                <w:lang w:val="en-US" w:eastAsia="zh-CN"/>
              </w:rPr>
              <w:t>成品至成品仓库代售</w:t>
            </w:r>
            <w:r>
              <w:rPr>
                <w:rFonts w:hint="eastAsia"/>
                <w:bCs/>
                <w:color w:val="auto"/>
              </w:rPr>
              <w:t>。</w:t>
            </w:r>
          </w:p>
          <w:p w14:paraId="7A37C6EF">
            <w:pPr>
              <w:pStyle w:val="27"/>
              <w:keepNext w:val="0"/>
              <w:keepLines w:val="0"/>
              <w:pageBreakBefore w:val="0"/>
              <w:widowControl w:val="0"/>
              <w:numPr>
                <w:ilvl w:val="0"/>
                <w:numId w:val="8"/>
              </w:numPr>
              <w:kinsoku/>
              <w:wordWrap/>
              <w:overflowPunct/>
              <w:topLinePunct w:val="0"/>
              <w:autoSpaceDE w:val="0"/>
              <w:autoSpaceDN w:val="0"/>
              <w:bidi w:val="0"/>
              <w:adjustRightInd/>
              <w:snapToGrid/>
              <w:ind w:firstLine="480" w:firstLineChars="200"/>
              <w:textAlignment w:val="auto"/>
              <w:rPr>
                <w:rFonts w:hint="eastAsia"/>
                <w:color w:val="auto"/>
                <w:sz w:val="24"/>
                <w:szCs w:val="24"/>
                <w:shd w:val="clear" w:color="auto" w:fill="FFFFFF"/>
                <w:lang w:val="en-US" w:eastAsia="zh-CN"/>
              </w:rPr>
            </w:pPr>
            <w:r>
              <w:rPr>
                <w:rFonts w:hint="eastAsia"/>
                <w:color w:val="auto"/>
                <w:sz w:val="24"/>
                <w:szCs w:val="24"/>
                <w:shd w:val="clear" w:color="auto" w:fill="FFFFFF"/>
                <w:lang w:val="en-US" w:eastAsia="zh-CN"/>
              </w:rPr>
              <w:t>运营期主要</w:t>
            </w:r>
            <w:r>
              <w:rPr>
                <w:rFonts w:hint="eastAsia" w:ascii="宋体" w:eastAsia="宋体"/>
                <w:color w:val="auto"/>
                <w:sz w:val="24"/>
                <w:szCs w:val="24"/>
                <w:lang w:eastAsia="zh-CN"/>
              </w:rPr>
              <w:t>产污情况分析</w:t>
            </w:r>
          </w:p>
          <w:p w14:paraId="540F0D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项目运营期产物环节及污染物见下表。</w:t>
            </w:r>
          </w:p>
          <w:p w14:paraId="150D8126">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b/>
                <w:bCs/>
                <w:color w:val="auto"/>
                <w:sz w:val="21"/>
                <w:szCs w:val="21"/>
                <w:lang w:val="zh-CN" w:eastAsia="zh-CN"/>
              </w:rPr>
            </w:pPr>
            <w:r>
              <w:rPr>
                <w:rFonts w:hint="eastAsia" w:ascii="Times New Roman" w:hAnsi="Times New Roman" w:cs="Times New Roman"/>
                <w:b/>
                <w:bCs/>
                <w:color w:val="auto"/>
                <w:sz w:val="21"/>
                <w:szCs w:val="21"/>
                <w:lang w:val="zh-CN" w:eastAsia="zh-CN"/>
              </w:rPr>
              <w:t>表</w:t>
            </w:r>
            <w:r>
              <w:rPr>
                <w:rFonts w:hint="eastAsia"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6</w:t>
            </w:r>
            <w:r>
              <w:rPr>
                <w:rFonts w:hint="eastAsia" w:ascii="Times New Roman" w:hAnsi="Times New Roman" w:cs="Times New Roman"/>
                <w:b/>
                <w:bCs/>
                <w:color w:val="auto"/>
                <w:sz w:val="21"/>
                <w:szCs w:val="21"/>
                <w:lang w:val="zh-CN" w:eastAsia="zh-CN"/>
              </w:rPr>
              <w:t xml:space="preserve">  </w:t>
            </w:r>
            <w:r>
              <w:rPr>
                <w:rFonts w:hint="eastAsia"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zh-CN" w:eastAsia="zh-CN"/>
              </w:rPr>
              <w:t xml:space="preserve"> 污染物种类、来源、排放方式等一览表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
              <w:gridCol w:w="726"/>
              <w:gridCol w:w="2510"/>
              <w:gridCol w:w="2725"/>
              <w:gridCol w:w="1208"/>
            </w:tblGrid>
            <w:tr w14:paraId="12C54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gridSpan w:val="2"/>
                  <w:tcBorders>
                    <w:tl2br w:val="nil"/>
                    <w:tr2bl w:val="nil"/>
                  </w:tcBorders>
                  <w:noWrap w:val="0"/>
                  <w:vAlign w:val="center"/>
                </w:tcPr>
                <w:p w14:paraId="7EDA1BDD">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b/>
                      <w:bCs/>
                      <w:color w:val="auto"/>
                      <w:spacing w:val="0"/>
                      <w:w w:val="100"/>
                      <w:kern w:val="0"/>
                      <w:sz w:val="21"/>
                      <w:szCs w:val="21"/>
                    </w:rPr>
                  </w:pPr>
                  <w:r>
                    <w:rPr>
                      <w:rFonts w:ascii="Times New Roman"/>
                      <w:b/>
                      <w:bCs/>
                      <w:color w:val="auto"/>
                      <w:spacing w:val="0"/>
                      <w:w w:val="100"/>
                      <w:kern w:val="0"/>
                      <w:sz w:val="21"/>
                      <w:szCs w:val="21"/>
                    </w:rPr>
                    <w:t>主要污染源</w:t>
                  </w:r>
                </w:p>
              </w:tc>
              <w:tc>
                <w:tcPr>
                  <w:tcW w:w="1668" w:type="pct"/>
                  <w:tcBorders>
                    <w:tl2br w:val="nil"/>
                    <w:tr2bl w:val="nil"/>
                  </w:tcBorders>
                  <w:noWrap w:val="0"/>
                  <w:vAlign w:val="center"/>
                </w:tcPr>
                <w:p w14:paraId="0EB21D8E">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b/>
                      <w:bCs/>
                      <w:color w:val="auto"/>
                      <w:spacing w:val="0"/>
                      <w:w w:val="100"/>
                      <w:kern w:val="0"/>
                      <w:sz w:val="21"/>
                      <w:szCs w:val="21"/>
                    </w:rPr>
                  </w:pPr>
                  <w:r>
                    <w:rPr>
                      <w:rFonts w:hint="eastAsia" w:ascii="Times New Roman"/>
                      <w:b/>
                      <w:bCs/>
                      <w:color w:val="auto"/>
                      <w:spacing w:val="0"/>
                      <w:w w:val="100"/>
                      <w:kern w:val="0"/>
                      <w:sz w:val="21"/>
                      <w:szCs w:val="21"/>
                    </w:rPr>
                    <w:t>项目</w:t>
                  </w:r>
                </w:p>
              </w:tc>
              <w:tc>
                <w:tcPr>
                  <w:tcW w:w="1811" w:type="pct"/>
                  <w:tcBorders>
                    <w:tl2br w:val="nil"/>
                    <w:tr2bl w:val="nil"/>
                  </w:tcBorders>
                  <w:noWrap w:val="0"/>
                  <w:vAlign w:val="center"/>
                </w:tcPr>
                <w:p w14:paraId="032CB48B">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b/>
                      <w:bCs/>
                      <w:color w:val="auto"/>
                      <w:spacing w:val="0"/>
                      <w:w w:val="100"/>
                      <w:kern w:val="0"/>
                      <w:sz w:val="21"/>
                      <w:szCs w:val="21"/>
                    </w:rPr>
                  </w:pPr>
                  <w:r>
                    <w:rPr>
                      <w:rFonts w:ascii="Times New Roman"/>
                      <w:b/>
                      <w:bCs/>
                      <w:color w:val="auto"/>
                      <w:spacing w:val="0"/>
                      <w:w w:val="100"/>
                      <w:kern w:val="0"/>
                      <w:sz w:val="21"/>
                      <w:szCs w:val="21"/>
                    </w:rPr>
                    <w:t>污染物</w:t>
                  </w:r>
                </w:p>
              </w:tc>
              <w:tc>
                <w:tcPr>
                  <w:tcW w:w="802" w:type="pct"/>
                  <w:tcBorders>
                    <w:tl2br w:val="nil"/>
                    <w:tr2bl w:val="nil"/>
                  </w:tcBorders>
                  <w:noWrap w:val="0"/>
                  <w:vAlign w:val="center"/>
                </w:tcPr>
                <w:p w14:paraId="18664880">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b/>
                      <w:bCs/>
                      <w:color w:val="auto"/>
                      <w:spacing w:val="0"/>
                      <w:w w:val="100"/>
                      <w:kern w:val="0"/>
                      <w:sz w:val="21"/>
                      <w:szCs w:val="21"/>
                    </w:rPr>
                  </w:pPr>
                  <w:r>
                    <w:rPr>
                      <w:rFonts w:ascii="Times New Roman"/>
                      <w:b/>
                      <w:bCs/>
                      <w:color w:val="auto"/>
                      <w:spacing w:val="0"/>
                      <w:w w:val="100"/>
                      <w:kern w:val="0"/>
                      <w:sz w:val="21"/>
                      <w:szCs w:val="21"/>
                    </w:rPr>
                    <w:t>排放方式</w:t>
                  </w:r>
                </w:p>
              </w:tc>
            </w:tr>
            <w:tr w14:paraId="0209B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restart"/>
                  <w:tcBorders>
                    <w:tl2br w:val="nil"/>
                    <w:tr2bl w:val="nil"/>
                  </w:tcBorders>
                  <w:noWrap w:val="0"/>
                  <w:vAlign w:val="center"/>
                </w:tcPr>
                <w:p w14:paraId="635A50A0">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r>
                    <w:rPr>
                      <w:rFonts w:ascii="Times New Roman"/>
                      <w:snapToGrid w:val="0"/>
                      <w:color w:val="auto"/>
                      <w:spacing w:val="0"/>
                      <w:w w:val="100"/>
                      <w:kern w:val="0"/>
                      <w:sz w:val="21"/>
                      <w:szCs w:val="21"/>
                    </w:rPr>
                    <w:t>营</w:t>
                  </w:r>
                </w:p>
                <w:p w14:paraId="6AAE218C">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r>
                    <w:rPr>
                      <w:rFonts w:ascii="Times New Roman"/>
                      <w:snapToGrid w:val="0"/>
                      <w:color w:val="auto"/>
                      <w:spacing w:val="0"/>
                      <w:w w:val="100"/>
                      <w:kern w:val="0"/>
                      <w:sz w:val="21"/>
                      <w:szCs w:val="21"/>
                    </w:rPr>
                    <w:t>运</w:t>
                  </w:r>
                </w:p>
                <w:p w14:paraId="1305B56B">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r>
                    <w:rPr>
                      <w:rFonts w:ascii="Times New Roman"/>
                      <w:snapToGrid w:val="0"/>
                      <w:color w:val="auto"/>
                      <w:spacing w:val="0"/>
                      <w:w w:val="100"/>
                      <w:kern w:val="0"/>
                      <w:sz w:val="21"/>
                      <w:szCs w:val="21"/>
                    </w:rPr>
                    <w:t>期</w:t>
                  </w:r>
                </w:p>
              </w:tc>
              <w:tc>
                <w:tcPr>
                  <w:tcW w:w="482" w:type="pct"/>
                  <w:vMerge w:val="restart"/>
                  <w:tcBorders>
                    <w:tl2br w:val="nil"/>
                    <w:tr2bl w:val="nil"/>
                  </w:tcBorders>
                  <w:noWrap w:val="0"/>
                  <w:vAlign w:val="center"/>
                </w:tcPr>
                <w:p w14:paraId="3337ED1B">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r>
                    <w:rPr>
                      <w:rFonts w:ascii="Times New Roman"/>
                      <w:snapToGrid w:val="0"/>
                      <w:color w:val="auto"/>
                      <w:spacing w:val="0"/>
                      <w:w w:val="100"/>
                      <w:kern w:val="0"/>
                      <w:sz w:val="21"/>
                      <w:szCs w:val="21"/>
                    </w:rPr>
                    <w:t>废水</w:t>
                  </w:r>
                </w:p>
              </w:tc>
              <w:tc>
                <w:tcPr>
                  <w:tcW w:w="1668" w:type="pct"/>
                  <w:tcBorders>
                    <w:tl2br w:val="nil"/>
                    <w:tr2bl w:val="nil"/>
                  </w:tcBorders>
                  <w:noWrap w:val="0"/>
                  <w:vAlign w:val="center"/>
                </w:tcPr>
                <w:p w14:paraId="0B5F0EF2">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val="en-US" w:eastAsia="zh-CN"/>
                    </w:rPr>
                  </w:pPr>
                  <w:r>
                    <w:rPr>
                      <w:rFonts w:hint="eastAsia" w:ascii="Times New Roman" w:eastAsia="宋体"/>
                      <w:color w:val="auto"/>
                      <w:spacing w:val="0"/>
                      <w:w w:val="100"/>
                      <w:kern w:val="0"/>
                      <w:sz w:val="21"/>
                      <w:szCs w:val="21"/>
                      <w:lang w:val="en-US" w:eastAsia="zh-CN"/>
                    </w:rPr>
                    <w:t>生活污水</w:t>
                  </w:r>
                </w:p>
              </w:tc>
              <w:tc>
                <w:tcPr>
                  <w:tcW w:w="1811" w:type="pct"/>
                  <w:tcBorders>
                    <w:tl2br w:val="nil"/>
                    <w:tr2bl w:val="nil"/>
                  </w:tcBorders>
                  <w:noWrap w:val="0"/>
                  <w:vAlign w:val="center"/>
                </w:tcPr>
                <w:p w14:paraId="74DD0825">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color w:val="auto"/>
                      <w:spacing w:val="0"/>
                      <w:w w:val="100"/>
                      <w:sz w:val="21"/>
                      <w:szCs w:val="21"/>
                      <w:lang w:val="en-US"/>
                    </w:rPr>
                  </w:pPr>
                  <w:r>
                    <w:rPr>
                      <w:rFonts w:hint="eastAsia" w:ascii="Times New Roman"/>
                      <w:color w:val="auto"/>
                      <w:spacing w:val="0"/>
                      <w:w w:val="100"/>
                      <w:sz w:val="21"/>
                      <w:szCs w:val="21"/>
                      <w:lang w:val="en-US" w:eastAsia="zh-CN"/>
                    </w:rPr>
                    <w:t>CODcr</w:t>
                  </w:r>
                  <w:r>
                    <w:rPr>
                      <w:rFonts w:hint="default" w:ascii="Times New Roman"/>
                      <w:color w:val="auto"/>
                      <w:spacing w:val="0"/>
                      <w:w w:val="100"/>
                      <w:sz w:val="21"/>
                      <w:szCs w:val="21"/>
                      <w:lang w:val="en-US" w:eastAsia="zh-CN"/>
                    </w:rPr>
                    <w:t>、BOD</w:t>
                  </w:r>
                  <w:r>
                    <w:rPr>
                      <w:rFonts w:hint="eastAsia" w:ascii="Times New Roman"/>
                      <w:color w:val="auto"/>
                      <w:spacing w:val="0"/>
                      <w:w w:val="100"/>
                      <w:sz w:val="21"/>
                      <w:szCs w:val="21"/>
                      <w:vertAlign w:val="subscript"/>
                      <w:lang w:val="en-US" w:eastAsia="zh-CN"/>
                    </w:rPr>
                    <w:t>5</w:t>
                  </w:r>
                  <w:r>
                    <w:rPr>
                      <w:rFonts w:hint="default" w:ascii="Times New Roman"/>
                      <w:color w:val="auto"/>
                      <w:spacing w:val="0"/>
                      <w:w w:val="100"/>
                      <w:sz w:val="21"/>
                      <w:szCs w:val="21"/>
                      <w:lang w:val="en-US" w:eastAsia="zh-CN"/>
                    </w:rPr>
                    <w:t>、SS、NH</w:t>
                  </w:r>
                  <w:r>
                    <w:rPr>
                      <w:rFonts w:hint="default" w:ascii="Times New Roman"/>
                      <w:color w:val="auto"/>
                      <w:spacing w:val="0"/>
                      <w:w w:val="100"/>
                      <w:sz w:val="21"/>
                      <w:szCs w:val="21"/>
                      <w:vertAlign w:val="subscript"/>
                      <w:lang w:val="en-US" w:eastAsia="zh-CN"/>
                    </w:rPr>
                    <w:t>3</w:t>
                  </w:r>
                  <w:r>
                    <w:rPr>
                      <w:rFonts w:hint="default" w:ascii="Times New Roman"/>
                      <w:color w:val="auto"/>
                      <w:spacing w:val="0"/>
                      <w:w w:val="100"/>
                      <w:sz w:val="21"/>
                      <w:szCs w:val="21"/>
                      <w:lang w:val="en-US" w:eastAsia="zh-CN"/>
                    </w:rPr>
                    <w:t>-N</w:t>
                  </w:r>
                  <w:r>
                    <w:rPr>
                      <w:rFonts w:hint="eastAsia" w:ascii="Times New Roman"/>
                      <w:color w:val="auto"/>
                      <w:spacing w:val="0"/>
                      <w:w w:val="100"/>
                      <w:sz w:val="21"/>
                      <w:szCs w:val="21"/>
                      <w:lang w:val="en-US" w:eastAsia="zh-CN"/>
                    </w:rPr>
                    <w:t>、TN、TP</w:t>
                  </w:r>
                </w:p>
              </w:tc>
              <w:tc>
                <w:tcPr>
                  <w:tcW w:w="802" w:type="pct"/>
                  <w:tcBorders>
                    <w:tl2br w:val="nil"/>
                    <w:tr2bl w:val="nil"/>
                  </w:tcBorders>
                  <w:noWrap w:val="0"/>
                  <w:vAlign w:val="center"/>
                </w:tcPr>
                <w:p w14:paraId="6EA2A711">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color w:val="auto"/>
                      <w:spacing w:val="0"/>
                      <w:w w:val="100"/>
                      <w:kern w:val="0"/>
                      <w:sz w:val="21"/>
                      <w:szCs w:val="21"/>
                      <w:lang w:eastAsia="zh-CN"/>
                    </w:rPr>
                  </w:pPr>
                  <w:r>
                    <w:rPr>
                      <w:rFonts w:hint="eastAsia" w:ascii="Times New Roman"/>
                      <w:color w:val="auto"/>
                      <w:spacing w:val="0"/>
                      <w:w w:val="100"/>
                      <w:kern w:val="0"/>
                      <w:sz w:val="21"/>
                      <w:szCs w:val="21"/>
                      <w:lang w:eastAsia="zh-CN"/>
                    </w:rPr>
                    <w:t>间断</w:t>
                  </w:r>
                </w:p>
              </w:tc>
            </w:tr>
            <w:tr w14:paraId="7AFDE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60285F47">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3E251EC1">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1668" w:type="pct"/>
                  <w:tcBorders>
                    <w:tl2br w:val="nil"/>
                    <w:tr2bl w:val="nil"/>
                  </w:tcBorders>
                  <w:noWrap w:val="0"/>
                  <w:vAlign w:val="center"/>
                </w:tcPr>
                <w:p w14:paraId="262997B2">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清洗废水</w:t>
                  </w:r>
                </w:p>
              </w:tc>
              <w:tc>
                <w:tcPr>
                  <w:tcW w:w="1811" w:type="pct"/>
                  <w:tcBorders>
                    <w:tl2br w:val="nil"/>
                    <w:tr2bl w:val="nil"/>
                  </w:tcBorders>
                  <w:noWrap w:val="0"/>
                  <w:vAlign w:val="center"/>
                </w:tcPr>
                <w:p w14:paraId="5960CE08">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eastAsia="宋体"/>
                      <w:color w:val="auto"/>
                      <w:spacing w:val="0"/>
                      <w:w w:val="100"/>
                      <w:sz w:val="21"/>
                      <w:szCs w:val="21"/>
                      <w:lang w:val="en-US" w:eastAsia="zh-CN"/>
                    </w:rPr>
                  </w:pPr>
                  <w:r>
                    <w:rPr>
                      <w:rFonts w:hint="eastAsia" w:ascii="Times New Roman"/>
                      <w:color w:val="auto"/>
                      <w:spacing w:val="0"/>
                      <w:w w:val="100"/>
                      <w:sz w:val="21"/>
                      <w:szCs w:val="21"/>
                      <w:lang w:val="en-US" w:eastAsia="zh-CN"/>
                    </w:rPr>
                    <w:t>CODcr</w:t>
                  </w:r>
                  <w:r>
                    <w:rPr>
                      <w:rFonts w:hint="default" w:ascii="Times New Roman"/>
                      <w:color w:val="auto"/>
                      <w:spacing w:val="0"/>
                      <w:w w:val="100"/>
                      <w:sz w:val="21"/>
                      <w:szCs w:val="21"/>
                      <w:lang w:val="en-US" w:eastAsia="zh-CN"/>
                    </w:rPr>
                    <w:t>、BOD</w:t>
                  </w:r>
                  <w:r>
                    <w:rPr>
                      <w:rFonts w:hint="eastAsia" w:ascii="Times New Roman"/>
                      <w:color w:val="auto"/>
                      <w:spacing w:val="0"/>
                      <w:w w:val="100"/>
                      <w:sz w:val="21"/>
                      <w:szCs w:val="21"/>
                      <w:vertAlign w:val="subscript"/>
                      <w:lang w:val="en-US" w:eastAsia="zh-CN"/>
                    </w:rPr>
                    <w:t>5</w:t>
                  </w:r>
                  <w:r>
                    <w:rPr>
                      <w:rFonts w:hint="default" w:ascii="Times New Roman"/>
                      <w:color w:val="auto"/>
                      <w:spacing w:val="0"/>
                      <w:w w:val="100"/>
                      <w:sz w:val="21"/>
                      <w:szCs w:val="21"/>
                      <w:lang w:val="en-US" w:eastAsia="zh-CN"/>
                    </w:rPr>
                    <w:t>、SS、NH</w:t>
                  </w:r>
                  <w:r>
                    <w:rPr>
                      <w:rFonts w:hint="default" w:ascii="Times New Roman"/>
                      <w:color w:val="auto"/>
                      <w:spacing w:val="0"/>
                      <w:w w:val="100"/>
                      <w:sz w:val="21"/>
                      <w:szCs w:val="21"/>
                      <w:vertAlign w:val="subscript"/>
                      <w:lang w:val="en-US" w:eastAsia="zh-CN"/>
                    </w:rPr>
                    <w:t>3</w:t>
                  </w:r>
                  <w:r>
                    <w:rPr>
                      <w:rFonts w:hint="default" w:ascii="Times New Roman"/>
                      <w:color w:val="auto"/>
                      <w:spacing w:val="0"/>
                      <w:w w:val="100"/>
                      <w:sz w:val="21"/>
                      <w:szCs w:val="21"/>
                      <w:lang w:val="en-US" w:eastAsia="zh-CN"/>
                    </w:rPr>
                    <w:t>-N</w:t>
                  </w:r>
                  <w:r>
                    <w:rPr>
                      <w:rFonts w:hint="eastAsia" w:ascii="Times New Roman"/>
                      <w:color w:val="auto"/>
                      <w:spacing w:val="0"/>
                      <w:w w:val="100"/>
                      <w:sz w:val="21"/>
                      <w:szCs w:val="21"/>
                      <w:lang w:val="en-US" w:eastAsia="zh-CN"/>
                    </w:rPr>
                    <w:t>、TN、TP</w:t>
                  </w:r>
                </w:p>
              </w:tc>
              <w:tc>
                <w:tcPr>
                  <w:tcW w:w="802" w:type="pct"/>
                  <w:tcBorders>
                    <w:tl2br w:val="nil"/>
                    <w:tr2bl w:val="nil"/>
                  </w:tcBorders>
                  <w:noWrap w:val="0"/>
                  <w:vAlign w:val="center"/>
                </w:tcPr>
                <w:p w14:paraId="4188107F">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color w:val="auto"/>
                      <w:spacing w:val="0"/>
                      <w:w w:val="100"/>
                      <w:kern w:val="0"/>
                      <w:sz w:val="21"/>
                      <w:szCs w:val="21"/>
                      <w:lang w:eastAsia="zh-CN"/>
                    </w:rPr>
                  </w:pPr>
                  <w:r>
                    <w:rPr>
                      <w:rFonts w:hint="eastAsia" w:ascii="Times New Roman"/>
                      <w:color w:val="auto"/>
                      <w:spacing w:val="0"/>
                      <w:w w:val="100"/>
                      <w:kern w:val="0"/>
                      <w:sz w:val="21"/>
                      <w:szCs w:val="21"/>
                      <w:lang w:eastAsia="zh-CN"/>
                    </w:rPr>
                    <w:t>间断</w:t>
                  </w:r>
                </w:p>
              </w:tc>
            </w:tr>
            <w:tr w14:paraId="7DDCF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5F07394B">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tcBorders>
                    <w:tl2br w:val="nil"/>
                    <w:tr2bl w:val="nil"/>
                  </w:tcBorders>
                  <w:noWrap w:val="0"/>
                  <w:vAlign w:val="center"/>
                </w:tcPr>
                <w:p w14:paraId="61DE1FD2">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snapToGrid w:val="0"/>
                      <w:color w:val="auto"/>
                      <w:spacing w:val="0"/>
                      <w:w w:val="100"/>
                      <w:kern w:val="0"/>
                      <w:sz w:val="21"/>
                      <w:szCs w:val="21"/>
                      <w:lang w:eastAsia="zh-CN"/>
                    </w:rPr>
                  </w:pPr>
                  <w:r>
                    <w:rPr>
                      <w:rFonts w:hint="eastAsia" w:ascii="Times New Roman"/>
                      <w:snapToGrid w:val="0"/>
                      <w:color w:val="auto"/>
                      <w:spacing w:val="0"/>
                      <w:w w:val="100"/>
                      <w:kern w:val="0"/>
                      <w:sz w:val="21"/>
                      <w:szCs w:val="21"/>
                      <w:lang w:eastAsia="zh-CN"/>
                    </w:rPr>
                    <w:t>废气</w:t>
                  </w:r>
                </w:p>
              </w:tc>
              <w:tc>
                <w:tcPr>
                  <w:tcW w:w="1668" w:type="pct"/>
                  <w:tcBorders>
                    <w:tl2br w:val="nil"/>
                    <w:tr2bl w:val="nil"/>
                  </w:tcBorders>
                  <w:noWrap w:val="0"/>
                  <w:vAlign w:val="center"/>
                </w:tcPr>
                <w:p w14:paraId="0E91B089">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eastAsia="宋体"/>
                      <w:color w:val="auto"/>
                      <w:spacing w:val="0"/>
                      <w:w w:val="100"/>
                      <w:kern w:val="0"/>
                      <w:sz w:val="21"/>
                      <w:szCs w:val="21"/>
                      <w:lang w:val="en-US" w:eastAsia="zh-CN"/>
                    </w:rPr>
                  </w:pPr>
                  <w:r>
                    <w:rPr>
                      <w:rFonts w:hint="eastAsia" w:ascii="Times New Roman" w:eastAsia="宋体"/>
                      <w:color w:val="auto"/>
                      <w:spacing w:val="0"/>
                      <w:w w:val="100"/>
                      <w:kern w:val="0"/>
                      <w:sz w:val="21"/>
                      <w:szCs w:val="21"/>
                      <w:lang w:val="en-US" w:eastAsia="zh-CN"/>
                    </w:rPr>
                    <w:t>熔融造粒</w:t>
                  </w:r>
                  <w:r>
                    <w:rPr>
                      <w:rFonts w:hint="default" w:ascii="Times New Roman" w:eastAsia="宋体"/>
                      <w:color w:val="auto"/>
                      <w:spacing w:val="0"/>
                      <w:w w:val="100"/>
                      <w:kern w:val="0"/>
                      <w:sz w:val="21"/>
                      <w:szCs w:val="21"/>
                      <w:lang w:val="en-US" w:eastAsia="zh-CN"/>
                    </w:rPr>
                    <w:t>废气</w:t>
                  </w:r>
                </w:p>
              </w:tc>
              <w:tc>
                <w:tcPr>
                  <w:tcW w:w="1811" w:type="pct"/>
                  <w:tcBorders>
                    <w:tl2br w:val="nil"/>
                    <w:tr2bl w:val="nil"/>
                  </w:tcBorders>
                  <w:noWrap w:val="0"/>
                  <w:vAlign w:val="center"/>
                </w:tcPr>
                <w:p w14:paraId="65D31599">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color w:val="auto"/>
                      <w:spacing w:val="0"/>
                      <w:w w:val="100"/>
                      <w:sz w:val="21"/>
                      <w:szCs w:val="21"/>
                      <w:lang w:val="en-US" w:eastAsia="zh-CN"/>
                    </w:rPr>
                  </w:pPr>
                  <w:r>
                    <w:rPr>
                      <w:rFonts w:hint="eastAsia" w:ascii="Times New Roman"/>
                      <w:color w:val="auto"/>
                      <w:spacing w:val="0"/>
                      <w:w w:val="100"/>
                      <w:sz w:val="21"/>
                      <w:szCs w:val="21"/>
                      <w:lang w:val="en-US" w:eastAsia="zh-CN"/>
                    </w:rPr>
                    <w:t>VOCs</w:t>
                  </w:r>
                </w:p>
              </w:tc>
              <w:tc>
                <w:tcPr>
                  <w:tcW w:w="802" w:type="pct"/>
                  <w:tcBorders>
                    <w:tl2br w:val="nil"/>
                    <w:tr2bl w:val="nil"/>
                  </w:tcBorders>
                  <w:noWrap w:val="0"/>
                  <w:vAlign w:val="center"/>
                </w:tcPr>
                <w:p w14:paraId="5637600E">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有组织</w:t>
                  </w:r>
                </w:p>
              </w:tc>
            </w:tr>
            <w:tr w14:paraId="00D57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7C7FD727">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tcBorders>
                    <w:tl2br w:val="nil"/>
                    <w:tr2bl w:val="nil"/>
                  </w:tcBorders>
                  <w:noWrap w:val="0"/>
                  <w:vAlign w:val="center"/>
                </w:tcPr>
                <w:p w14:paraId="05F9B3E0">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eastAsia="zh-CN"/>
                    </w:rPr>
                  </w:pPr>
                  <w:r>
                    <w:rPr>
                      <w:rFonts w:hint="eastAsia" w:ascii="Times New Roman"/>
                      <w:snapToGrid w:val="0"/>
                      <w:color w:val="auto"/>
                      <w:spacing w:val="0"/>
                      <w:w w:val="100"/>
                      <w:kern w:val="0"/>
                      <w:sz w:val="21"/>
                      <w:szCs w:val="21"/>
                    </w:rPr>
                    <w:t>噪声</w:t>
                  </w:r>
                </w:p>
              </w:tc>
              <w:tc>
                <w:tcPr>
                  <w:tcW w:w="1668" w:type="pct"/>
                  <w:tcBorders>
                    <w:tl2br w:val="nil"/>
                    <w:tr2bl w:val="nil"/>
                  </w:tcBorders>
                  <w:noWrap w:val="0"/>
                  <w:vAlign w:val="center"/>
                </w:tcPr>
                <w:p w14:paraId="7C0A4951">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eastAsia="zh-CN"/>
                    </w:rPr>
                  </w:pPr>
                  <w:r>
                    <w:rPr>
                      <w:rFonts w:hint="eastAsia" w:ascii="Times New Roman" w:eastAsia="宋体"/>
                      <w:color w:val="auto"/>
                      <w:spacing w:val="0"/>
                      <w:w w:val="100"/>
                      <w:kern w:val="0"/>
                      <w:sz w:val="21"/>
                      <w:szCs w:val="21"/>
                      <w:lang w:eastAsia="zh-CN"/>
                    </w:rPr>
                    <w:t>生产过程设备噪声</w:t>
                  </w:r>
                </w:p>
              </w:tc>
              <w:tc>
                <w:tcPr>
                  <w:tcW w:w="1811" w:type="pct"/>
                  <w:tcBorders>
                    <w:tl2br w:val="nil"/>
                    <w:tr2bl w:val="nil"/>
                  </w:tcBorders>
                  <w:noWrap w:val="0"/>
                  <w:vAlign w:val="center"/>
                </w:tcPr>
                <w:p w14:paraId="38897E83">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color w:val="auto"/>
                      <w:spacing w:val="0"/>
                      <w:w w:val="100"/>
                      <w:sz w:val="21"/>
                      <w:szCs w:val="21"/>
                    </w:rPr>
                  </w:pPr>
                  <w:r>
                    <w:rPr>
                      <w:rFonts w:hint="eastAsia" w:ascii="Times New Roman"/>
                      <w:color w:val="auto"/>
                      <w:spacing w:val="0"/>
                      <w:w w:val="100"/>
                      <w:sz w:val="21"/>
                      <w:szCs w:val="21"/>
                      <w:lang w:eastAsia="zh-CN"/>
                    </w:rPr>
                    <w:t>机械</w:t>
                  </w:r>
                  <w:r>
                    <w:rPr>
                      <w:rFonts w:hint="eastAsia" w:ascii="Times New Roman"/>
                      <w:color w:val="auto"/>
                      <w:spacing w:val="0"/>
                      <w:w w:val="100"/>
                      <w:sz w:val="21"/>
                      <w:szCs w:val="21"/>
                    </w:rPr>
                    <w:t>噪声</w:t>
                  </w:r>
                </w:p>
              </w:tc>
              <w:tc>
                <w:tcPr>
                  <w:tcW w:w="802" w:type="pct"/>
                  <w:tcBorders>
                    <w:tl2br w:val="nil"/>
                    <w:tr2bl w:val="nil"/>
                  </w:tcBorders>
                  <w:noWrap w:val="0"/>
                  <w:vAlign w:val="center"/>
                </w:tcPr>
                <w:p w14:paraId="0B5CFB07">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eastAsia="zh-CN"/>
                    </w:rPr>
                  </w:pPr>
                  <w:r>
                    <w:rPr>
                      <w:rFonts w:hint="eastAsia" w:ascii="Times New Roman"/>
                      <w:color w:val="auto"/>
                      <w:spacing w:val="0"/>
                      <w:w w:val="100"/>
                      <w:kern w:val="0"/>
                      <w:sz w:val="21"/>
                      <w:szCs w:val="21"/>
                      <w:lang w:eastAsia="zh-CN"/>
                    </w:rPr>
                    <w:t>间断</w:t>
                  </w:r>
                </w:p>
              </w:tc>
            </w:tr>
            <w:tr w14:paraId="693A2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46E6DF91">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restart"/>
                  <w:tcBorders>
                    <w:tl2br w:val="nil"/>
                    <w:tr2bl w:val="nil"/>
                  </w:tcBorders>
                  <w:noWrap w:val="0"/>
                  <w:vAlign w:val="center"/>
                </w:tcPr>
                <w:p w14:paraId="025B4915">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r>
                    <w:rPr>
                      <w:rFonts w:ascii="Times New Roman"/>
                      <w:color w:val="auto"/>
                      <w:spacing w:val="0"/>
                      <w:w w:val="100"/>
                      <w:kern w:val="0"/>
                      <w:sz w:val="21"/>
                      <w:szCs w:val="21"/>
                    </w:rPr>
                    <w:t>固体废物</w:t>
                  </w:r>
                </w:p>
              </w:tc>
              <w:tc>
                <w:tcPr>
                  <w:tcW w:w="1668" w:type="pct"/>
                  <w:tcBorders>
                    <w:tl2br w:val="nil"/>
                    <w:tr2bl w:val="nil"/>
                  </w:tcBorders>
                  <w:noWrap w:val="0"/>
                  <w:vAlign w:val="center"/>
                </w:tcPr>
                <w:p w14:paraId="35640F11">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eastAsia="宋体"/>
                      <w:color w:val="auto"/>
                      <w:spacing w:val="0"/>
                      <w:w w:val="100"/>
                      <w:sz w:val="21"/>
                      <w:szCs w:val="21"/>
                      <w:lang w:val="en-US" w:eastAsia="zh-CN"/>
                    </w:rPr>
                  </w:pPr>
                  <w:r>
                    <w:rPr>
                      <w:rFonts w:hint="eastAsia" w:ascii="Times New Roman" w:eastAsia="宋体"/>
                      <w:color w:val="auto"/>
                      <w:spacing w:val="0"/>
                      <w:w w:val="100"/>
                      <w:sz w:val="21"/>
                      <w:szCs w:val="21"/>
                      <w:lang w:val="en-US" w:eastAsia="zh-CN"/>
                    </w:rPr>
                    <w:t>员工生活</w:t>
                  </w:r>
                </w:p>
              </w:tc>
              <w:tc>
                <w:tcPr>
                  <w:tcW w:w="1811" w:type="pct"/>
                  <w:tcBorders>
                    <w:tl2br w:val="nil"/>
                    <w:tr2bl w:val="nil"/>
                  </w:tcBorders>
                  <w:noWrap w:val="0"/>
                  <w:vAlign w:val="center"/>
                </w:tcPr>
                <w:p w14:paraId="0BE19136">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eastAsia="宋体"/>
                      <w:color w:val="auto"/>
                      <w:spacing w:val="0"/>
                      <w:w w:val="100"/>
                      <w:kern w:val="0"/>
                      <w:sz w:val="21"/>
                      <w:szCs w:val="21"/>
                      <w:lang w:val="en-US" w:eastAsia="zh-CN"/>
                    </w:rPr>
                  </w:pPr>
                  <w:r>
                    <w:rPr>
                      <w:rFonts w:hint="eastAsia" w:ascii="Times New Roman" w:eastAsia="宋体"/>
                      <w:color w:val="auto"/>
                      <w:spacing w:val="0"/>
                      <w:w w:val="100"/>
                      <w:kern w:val="0"/>
                      <w:sz w:val="21"/>
                      <w:szCs w:val="21"/>
                      <w:lang w:val="en-US" w:eastAsia="zh-CN"/>
                    </w:rPr>
                    <w:t>生活垃圾</w:t>
                  </w:r>
                </w:p>
              </w:tc>
              <w:tc>
                <w:tcPr>
                  <w:tcW w:w="802" w:type="pct"/>
                  <w:tcBorders>
                    <w:tl2br w:val="nil"/>
                    <w:tr2bl w:val="nil"/>
                  </w:tcBorders>
                  <w:noWrap w:val="0"/>
                  <w:vAlign w:val="center"/>
                </w:tcPr>
                <w:p w14:paraId="5A8E31B6">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r>
                    <w:rPr>
                      <w:rFonts w:ascii="Times New Roman"/>
                      <w:color w:val="auto"/>
                      <w:spacing w:val="0"/>
                      <w:w w:val="100"/>
                      <w:kern w:val="0"/>
                      <w:sz w:val="21"/>
                      <w:szCs w:val="21"/>
                    </w:rPr>
                    <w:t>/</w:t>
                  </w:r>
                </w:p>
              </w:tc>
            </w:tr>
            <w:tr w14:paraId="58847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Merge w:val="continue"/>
                  <w:tcBorders>
                    <w:tl2br w:val="nil"/>
                    <w:tr2bl w:val="nil"/>
                  </w:tcBorders>
                  <w:noWrap w:val="0"/>
                  <w:vAlign w:val="center"/>
                </w:tcPr>
                <w:p w14:paraId="5933001C">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50C76113">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p>
              </w:tc>
              <w:tc>
                <w:tcPr>
                  <w:tcW w:w="1668" w:type="pct"/>
                  <w:tcBorders>
                    <w:tl2br w:val="nil"/>
                    <w:tr2bl w:val="nil"/>
                  </w:tcBorders>
                  <w:shd w:val="clear" w:color="auto" w:fill="auto"/>
                  <w:noWrap w:val="0"/>
                  <w:vAlign w:val="center"/>
                </w:tcPr>
                <w:p w14:paraId="2CF13814">
                  <w:pPr>
                    <w:jc w:val="center"/>
                    <w:rPr>
                      <w:rFonts w:hint="default" w:ascii="Times New Roman" w:hAnsi="宋体" w:eastAsia="Times New Roman" w:cs="Times New Roman"/>
                      <w:color w:val="auto"/>
                      <w:kern w:val="2"/>
                      <w:sz w:val="21"/>
                      <w:szCs w:val="21"/>
                      <w:lang w:val="en-US" w:eastAsia="zh-CN" w:bidi="ar-SA"/>
                    </w:rPr>
                  </w:pPr>
                  <w:r>
                    <w:rPr>
                      <w:rFonts w:hint="eastAsia" w:hAnsi="宋体" w:eastAsia="宋体"/>
                      <w:color w:val="auto"/>
                      <w:szCs w:val="21"/>
                      <w:lang w:val="en-US" w:eastAsia="zh-CN"/>
                    </w:rPr>
                    <w:t>分选、</w:t>
                  </w:r>
                  <w:r>
                    <w:rPr>
                      <w:rFonts w:hint="eastAsia" w:hAnsi="宋体"/>
                      <w:color w:val="auto"/>
                      <w:szCs w:val="21"/>
                    </w:rPr>
                    <w:t>撕碎、清洗生产线清洗过程</w:t>
                  </w:r>
                </w:p>
              </w:tc>
              <w:tc>
                <w:tcPr>
                  <w:tcW w:w="1811" w:type="pct"/>
                  <w:tcBorders>
                    <w:tl2br w:val="nil"/>
                    <w:tr2bl w:val="nil"/>
                  </w:tcBorders>
                  <w:shd w:val="clear" w:color="auto" w:fill="auto"/>
                  <w:noWrap w:val="0"/>
                  <w:vAlign w:val="center"/>
                </w:tcPr>
                <w:p w14:paraId="5346A2D1">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不可利用固体废物</w:t>
                  </w:r>
                </w:p>
              </w:tc>
              <w:tc>
                <w:tcPr>
                  <w:tcW w:w="802" w:type="pct"/>
                  <w:tcBorders>
                    <w:tl2br w:val="nil"/>
                    <w:tr2bl w:val="nil"/>
                  </w:tcBorders>
                  <w:noWrap w:val="0"/>
                  <w:vAlign w:val="center"/>
                </w:tcPr>
                <w:p w14:paraId="17B1DBAF">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w:t>
                  </w:r>
                </w:p>
              </w:tc>
            </w:tr>
            <w:tr w14:paraId="5816D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5B5F92FC">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409BCAFB">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p>
              </w:tc>
              <w:tc>
                <w:tcPr>
                  <w:tcW w:w="1668" w:type="pct"/>
                  <w:tcBorders>
                    <w:tl2br w:val="nil"/>
                    <w:tr2bl w:val="nil"/>
                  </w:tcBorders>
                  <w:shd w:val="clear" w:color="auto" w:fill="auto"/>
                  <w:noWrap w:val="0"/>
                  <w:vAlign w:val="center"/>
                </w:tcPr>
                <w:p w14:paraId="6DC70B84">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自建循环污水处理系统</w:t>
                  </w:r>
                </w:p>
              </w:tc>
              <w:tc>
                <w:tcPr>
                  <w:tcW w:w="1811" w:type="pct"/>
                  <w:tcBorders>
                    <w:tl2br w:val="nil"/>
                    <w:tr2bl w:val="nil"/>
                  </w:tcBorders>
                  <w:shd w:val="clear" w:color="auto" w:fill="auto"/>
                  <w:noWrap w:val="0"/>
                  <w:vAlign w:val="center"/>
                </w:tcPr>
                <w:p w14:paraId="542863FB">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循环水处理系统的泥渣</w:t>
                  </w:r>
                </w:p>
              </w:tc>
              <w:tc>
                <w:tcPr>
                  <w:tcW w:w="802" w:type="pct"/>
                  <w:tcBorders>
                    <w:tl2br w:val="nil"/>
                    <w:tr2bl w:val="nil"/>
                  </w:tcBorders>
                  <w:noWrap w:val="0"/>
                  <w:vAlign w:val="center"/>
                </w:tcPr>
                <w:p w14:paraId="0D16F337">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w:t>
                  </w:r>
                </w:p>
              </w:tc>
            </w:tr>
            <w:tr w14:paraId="3D806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6AD0DD77">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3F792F59">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p>
              </w:tc>
              <w:tc>
                <w:tcPr>
                  <w:tcW w:w="1668" w:type="pct"/>
                  <w:tcBorders>
                    <w:tl2br w:val="nil"/>
                    <w:tr2bl w:val="nil"/>
                  </w:tcBorders>
                  <w:shd w:val="clear" w:color="auto" w:fill="auto"/>
                  <w:noWrap w:val="0"/>
                  <w:vAlign w:val="center"/>
                </w:tcPr>
                <w:p w14:paraId="0201488A">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熔融拉丝造粒过程</w:t>
                  </w:r>
                </w:p>
              </w:tc>
              <w:tc>
                <w:tcPr>
                  <w:tcW w:w="1811" w:type="pct"/>
                  <w:tcBorders>
                    <w:tl2br w:val="nil"/>
                    <w:tr2bl w:val="nil"/>
                  </w:tcBorders>
                  <w:shd w:val="clear" w:color="auto" w:fill="auto"/>
                  <w:noWrap w:val="0"/>
                  <w:vAlign w:val="center"/>
                </w:tcPr>
                <w:p w14:paraId="6529E27E">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废滤网</w:t>
                  </w:r>
                </w:p>
              </w:tc>
              <w:tc>
                <w:tcPr>
                  <w:tcW w:w="802" w:type="pct"/>
                  <w:tcBorders>
                    <w:tl2br w:val="nil"/>
                    <w:tr2bl w:val="nil"/>
                  </w:tcBorders>
                  <w:noWrap w:val="0"/>
                  <w:vAlign w:val="center"/>
                </w:tcPr>
                <w:p w14:paraId="705B399A">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w:t>
                  </w:r>
                </w:p>
              </w:tc>
            </w:tr>
            <w:tr w14:paraId="6E38A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70A66D1B">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087253C3">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p>
              </w:tc>
              <w:tc>
                <w:tcPr>
                  <w:tcW w:w="1668" w:type="pct"/>
                  <w:tcBorders>
                    <w:tl2br w:val="nil"/>
                    <w:tr2bl w:val="nil"/>
                  </w:tcBorders>
                  <w:shd w:val="clear" w:color="auto" w:fill="auto"/>
                  <w:noWrap w:val="0"/>
                  <w:vAlign w:val="center"/>
                </w:tcPr>
                <w:p w14:paraId="52B50038">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废气处理</w:t>
                  </w:r>
                </w:p>
              </w:tc>
              <w:tc>
                <w:tcPr>
                  <w:tcW w:w="1811" w:type="pct"/>
                  <w:tcBorders>
                    <w:tl2br w:val="nil"/>
                    <w:tr2bl w:val="nil"/>
                  </w:tcBorders>
                  <w:shd w:val="clear" w:color="auto" w:fill="auto"/>
                  <w:noWrap w:val="0"/>
                  <w:vAlign w:val="center"/>
                </w:tcPr>
                <w:p w14:paraId="20553FA3">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废活性炭</w:t>
                  </w:r>
                </w:p>
              </w:tc>
              <w:tc>
                <w:tcPr>
                  <w:tcW w:w="802" w:type="pct"/>
                  <w:tcBorders>
                    <w:tl2br w:val="nil"/>
                    <w:tr2bl w:val="nil"/>
                  </w:tcBorders>
                  <w:noWrap w:val="0"/>
                  <w:vAlign w:val="center"/>
                </w:tcPr>
                <w:p w14:paraId="4CB0F128">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w:t>
                  </w:r>
                </w:p>
              </w:tc>
            </w:tr>
            <w:tr w14:paraId="7D0C1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66BEC742">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68BCF762">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p>
              </w:tc>
              <w:tc>
                <w:tcPr>
                  <w:tcW w:w="1668" w:type="pct"/>
                  <w:tcBorders>
                    <w:tl2br w:val="nil"/>
                    <w:tr2bl w:val="nil"/>
                  </w:tcBorders>
                  <w:shd w:val="clear" w:color="auto" w:fill="auto"/>
                  <w:noWrap w:val="0"/>
                  <w:vAlign w:val="center"/>
                </w:tcPr>
                <w:p w14:paraId="0B1C7BFB">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机械护理</w:t>
                  </w:r>
                </w:p>
              </w:tc>
              <w:tc>
                <w:tcPr>
                  <w:tcW w:w="1811" w:type="pct"/>
                  <w:tcBorders>
                    <w:tl2br w:val="nil"/>
                    <w:tr2bl w:val="nil"/>
                  </w:tcBorders>
                  <w:shd w:val="clear" w:color="auto" w:fill="auto"/>
                  <w:noWrap w:val="0"/>
                  <w:vAlign w:val="center"/>
                </w:tcPr>
                <w:p w14:paraId="3F6B212D">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废机油和废抹布</w:t>
                  </w:r>
                </w:p>
              </w:tc>
              <w:tc>
                <w:tcPr>
                  <w:tcW w:w="802" w:type="pct"/>
                  <w:tcBorders>
                    <w:tl2br w:val="nil"/>
                    <w:tr2bl w:val="nil"/>
                  </w:tcBorders>
                  <w:noWrap w:val="0"/>
                  <w:vAlign w:val="center"/>
                </w:tcPr>
                <w:p w14:paraId="23DE7553">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w:t>
                  </w:r>
                </w:p>
              </w:tc>
            </w:tr>
            <w:tr w14:paraId="39AF9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733AA1D2">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0AA14B71">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p>
              </w:tc>
              <w:tc>
                <w:tcPr>
                  <w:tcW w:w="1668" w:type="pct"/>
                  <w:tcBorders>
                    <w:tl2br w:val="nil"/>
                    <w:tr2bl w:val="nil"/>
                  </w:tcBorders>
                  <w:shd w:val="clear" w:color="auto" w:fill="auto"/>
                  <w:noWrap w:val="0"/>
                  <w:vAlign w:val="center"/>
                </w:tcPr>
                <w:p w14:paraId="1448B51A">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生产</w:t>
                  </w:r>
                </w:p>
              </w:tc>
              <w:tc>
                <w:tcPr>
                  <w:tcW w:w="1811" w:type="pct"/>
                  <w:tcBorders>
                    <w:tl2br w:val="nil"/>
                    <w:tr2bl w:val="nil"/>
                  </w:tcBorders>
                  <w:shd w:val="clear" w:color="auto" w:fill="auto"/>
                  <w:noWrap w:val="0"/>
                  <w:vAlign w:val="center"/>
                </w:tcPr>
                <w:p w14:paraId="59C7FD09">
                  <w:pPr>
                    <w:jc w:val="center"/>
                    <w:rPr>
                      <w:rFonts w:hint="default" w:ascii="Times New Roman" w:hAnsi="宋体" w:eastAsia="Times New Roman" w:cs="Times New Roman"/>
                      <w:color w:val="auto"/>
                      <w:kern w:val="2"/>
                      <w:sz w:val="21"/>
                      <w:szCs w:val="21"/>
                      <w:lang w:val="en-US" w:eastAsia="zh-CN" w:bidi="ar-SA"/>
                    </w:rPr>
                  </w:pPr>
                  <w:r>
                    <w:rPr>
                      <w:rFonts w:hint="eastAsia" w:hAnsi="宋体"/>
                      <w:color w:val="auto"/>
                      <w:szCs w:val="21"/>
                    </w:rPr>
                    <w:t>不合格产品及边角料</w:t>
                  </w:r>
                </w:p>
              </w:tc>
              <w:tc>
                <w:tcPr>
                  <w:tcW w:w="802" w:type="pct"/>
                  <w:tcBorders>
                    <w:tl2br w:val="nil"/>
                    <w:tr2bl w:val="nil"/>
                  </w:tcBorders>
                  <w:noWrap w:val="0"/>
                  <w:vAlign w:val="center"/>
                </w:tcPr>
                <w:p w14:paraId="647F0366">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eastAsia" w:ascii="Times New Roman" w:eastAsia="宋体"/>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w:t>
                  </w:r>
                </w:p>
              </w:tc>
            </w:tr>
            <w:tr w14:paraId="34BF9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Borders>
                    <w:tl2br w:val="nil"/>
                    <w:tr2bl w:val="nil"/>
                  </w:tcBorders>
                  <w:noWrap w:val="0"/>
                  <w:vAlign w:val="center"/>
                </w:tcPr>
                <w:p w14:paraId="33BC947D">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snapToGrid w:val="0"/>
                      <w:color w:val="auto"/>
                      <w:spacing w:val="0"/>
                      <w:w w:val="100"/>
                      <w:kern w:val="0"/>
                      <w:sz w:val="21"/>
                      <w:szCs w:val="21"/>
                    </w:rPr>
                  </w:pPr>
                </w:p>
              </w:tc>
              <w:tc>
                <w:tcPr>
                  <w:tcW w:w="482" w:type="pct"/>
                  <w:vMerge w:val="continue"/>
                  <w:tcBorders>
                    <w:tl2br w:val="nil"/>
                    <w:tr2bl w:val="nil"/>
                  </w:tcBorders>
                  <w:noWrap w:val="0"/>
                  <w:vAlign w:val="center"/>
                </w:tcPr>
                <w:p w14:paraId="21378F61">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ascii="Times New Roman"/>
                      <w:color w:val="auto"/>
                      <w:spacing w:val="0"/>
                      <w:w w:val="100"/>
                      <w:kern w:val="0"/>
                      <w:sz w:val="21"/>
                      <w:szCs w:val="21"/>
                    </w:rPr>
                  </w:pPr>
                </w:p>
              </w:tc>
              <w:tc>
                <w:tcPr>
                  <w:tcW w:w="1668" w:type="pct"/>
                  <w:tcBorders>
                    <w:tl2br w:val="nil"/>
                    <w:tr2bl w:val="nil"/>
                  </w:tcBorders>
                  <w:shd w:val="clear" w:color="auto" w:fill="auto"/>
                  <w:noWrap w:val="0"/>
                  <w:vAlign w:val="center"/>
                </w:tcPr>
                <w:p w14:paraId="15200419">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包装</w:t>
                  </w:r>
                </w:p>
              </w:tc>
              <w:tc>
                <w:tcPr>
                  <w:tcW w:w="1811" w:type="pct"/>
                  <w:tcBorders>
                    <w:tl2br w:val="nil"/>
                    <w:tr2bl w:val="nil"/>
                  </w:tcBorders>
                  <w:shd w:val="clear" w:color="auto" w:fill="auto"/>
                  <w:noWrap w:val="0"/>
                  <w:vAlign w:val="center"/>
                </w:tcPr>
                <w:p w14:paraId="28EBCBD7">
                  <w:pPr>
                    <w:jc w:val="center"/>
                    <w:rPr>
                      <w:rFonts w:hint="eastAsia" w:ascii="Times New Roman" w:hAnsi="宋体" w:eastAsia="Times New Roman" w:cs="Times New Roman"/>
                      <w:color w:val="auto"/>
                      <w:kern w:val="2"/>
                      <w:sz w:val="21"/>
                      <w:szCs w:val="21"/>
                      <w:lang w:val="en-US" w:eastAsia="zh-CN" w:bidi="ar-SA"/>
                    </w:rPr>
                  </w:pPr>
                  <w:r>
                    <w:rPr>
                      <w:rFonts w:hint="eastAsia" w:hAnsi="宋体"/>
                      <w:color w:val="auto"/>
                      <w:szCs w:val="21"/>
                    </w:rPr>
                    <w:t>废包装材料</w:t>
                  </w:r>
                </w:p>
              </w:tc>
              <w:tc>
                <w:tcPr>
                  <w:tcW w:w="802" w:type="pct"/>
                  <w:tcBorders>
                    <w:tl2br w:val="nil"/>
                    <w:tr2bl w:val="nil"/>
                  </w:tcBorders>
                  <w:noWrap w:val="0"/>
                  <w:vAlign w:val="center"/>
                </w:tcPr>
                <w:p w14:paraId="01DD9409">
                  <w:pPr>
                    <w:pStyle w:val="53"/>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textAlignment w:val="auto"/>
                    <w:rPr>
                      <w:rFonts w:hint="default" w:ascii="Times New Roman"/>
                      <w:color w:val="auto"/>
                      <w:spacing w:val="0"/>
                      <w:w w:val="100"/>
                      <w:kern w:val="0"/>
                      <w:sz w:val="21"/>
                      <w:szCs w:val="21"/>
                      <w:lang w:val="en-US" w:eastAsia="zh-CN"/>
                    </w:rPr>
                  </w:pPr>
                  <w:r>
                    <w:rPr>
                      <w:rFonts w:hint="eastAsia" w:ascii="Times New Roman"/>
                      <w:color w:val="auto"/>
                      <w:spacing w:val="0"/>
                      <w:w w:val="100"/>
                      <w:kern w:val="0"/>
                      <w:sz w:val="21"/>
                      <w:szCs w:val="21"/>
                      <w:lang w:val="en-US" w:eastAsia="zh-CN"/>
                    </w:rPr>
                    <w:t>/</w:t>
                  </w:r>
                </w:p>
              </w:tc>
            </w:tr>
          </w:tbl>
          <w:p w14:paraId="5EC88DF8">
            <w:pPr>
              <w:pStyle w:val="27"/>
              <w:ind w:left="0" w:leftChars="0" w:firstLine="0" w:firstLineChars="0"/>
              <w:rPr>
                <w:rFonts w:hint="default"/>
                <w:color w:val="auto"/>
                <w:lang w:val="en-US" w:eastAsia="zh-CN"/>
              </w:rPr>
            </w:pPr>
          </w:p>
        </w:tc>
      </w:tr>
      <w:tr w14:paraId="06239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shd w:val="clear" w:color="auto" w:fill="auto"/>
            <w:noWrap w:val="0"/>
            <w:vAlign w:val="center"/>
          </w:tcPr>
          <w:p w14:paraId="3428F671">
            <w:pPr>
              <w:pStyle w:val="14"/>
              <w:pageBreakBefore w:val="0"/>
              <w:topLinePunct w:val="0"/>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hAnsi="Times New Roman"/>
                <w:color w:val="auto"/>
                <w:kern w:val="2"/>
                <w:sz w:val="24"/>
                <w:szCs w:val="24"/>
              </w:rPr>
              <w:t>与项目有关的原有环境污染问题</w:t>
            </w:r>
          </w:p>
        </w:tc>
        <w:tc>
          <w:tcPr>
            <w:tcW w:w="4542" w:type="pct"/>
            <w:shd w:val="clear" w:color="auto" w:fill="auto"/>
            <w:noWrap w:val="0"/>
            <w:vAlign w:val="top"/>
          </w:tcPr>
          <w:p w14:paraId="05F135A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b/>
                <w:bCs/>
                <w:color w:val="auto"/>
                <w:sz w:val="24"/>
              </w:rPr>
            </w:pPr>
            <w:r>
              <w:rPr>
                <w:rFonts w:hint="eastAsia"/>
                <w:b/>
                <w:bCs/>
                <w:color w:val="auto"/>
                <w:sz w:val="24"/>
              </w:rPr>
              <w:t>一、</w:t>
            </w:r>
            <w:r>
              <w:rPr>
                <w:rFonts w:hint="eastAsia" w:eastAsia="宋体"/>
                <w:b/>
                <w:bCs/>
                <w:color w:val="auto"/>
                <w:sz w:val="24"/>
                <w:lang w:val="en-US" w:eastAsia="zh-CN"/>
              </w:rPr>
              <w:t>原有</w:t>
            </w:r>
            <w:r>
              <w:rPr>
                <w:rFonts w:hint="eastAsia"/>
                <w:b/>
                <w:bCs/>
                <w:color w:val="auto"/>
                <w:sz w:val="24"/>
              </w:rPr>
              <w:t>项目</w:t>
            </w:r>
            <w:r>
              <w:rPr>
                <w:rFonts w:hint="eastAsia" w:eastAsia="宋体"/>
                <w:b/>
                <w:bCs/>
                <w:color w:val="auto"/>
                <w:sz w:val="24"/>
                <w:lang w:val="en-US" w:eastAsia="zh-CN"/>
              </w:rPr>
              <w:t>概</w:t>
            </w:r>
            <w:r>
              <w:rPr>
                <w:rFonts w:hint="eastAsia"/>
                <w:b/>
                <w:bCs/>
                <w:color w:val="auto"/>
                <w:sz w:val="24"/>
              </w:rPr>
              <w:t>况</w:t>
            </w:r>
          </w:p>
          <w:p w14:paraId="518BE19E">
            <w:pPr>
              <w:spacing w:beforeLines="0" w:afterLines="0" w:line="360" w:lineRule="auto"/>
              <w:ind w:firstLine="480" w:firstLineChars="200"/>
              <w:rPr>
                <w:rFonts w:hint="eastAsia" w:ascii="宋体" w:eastAsia="宋体"/>
                <w:color w:val="auto"/>
                <w:kern w:val="21"/>
                <w:sz w:val="24"/>
                <w:szCs w:val="24"/>
              </w:rPr>
            </w:pPr>
            <w:r>
              <w:rPr>
                <w:rFonts w:hint="eastAsia" w:ascii="Times New Roman" w:hAnsi="Times New Roman" w:cs="Times New Roman"/>
                <w:color w:val="auto"/>
                <w:sz w:val="24"/>
                <w:szCs w:val="24"/>
                <w:highlight w:val="none"/>
                <w:shd w:val="clear" w:color="auto" w:fill="auto"/>
                <w:lang w:val="en-US" w:eastAsia="zh-CN"/>
              </w:rPr>
              <w:t>江西鑫润绿色循环发展有限公司成立于2019年01月，位于江西省九江市永修县云山经济开发区</w:t>
            </w:r>
            <w:r>
              <w:rPr>
                <w:rFonts w:hint="eastAsia" w:asciiTheme="minorEastAsia" w:hAnsiTheme="minorEastAsia" w:eastAsiaTheme="minorEastAsia" w:cstheme="minorEastAsia"/>
                <w:snapToGrid w:val="0"/>
                <w:color w:val="auto"/>
                <w:kern w:val="18"/>
                <w:sz w:val="24"/>
                <w:szCs w:val="24"/>
                <w:lang w:val="en-US" w:eastAsia="zh-CN"/>
              </w:rPr>
              <w:t>星火工业园荣祺大道南侧</w:t>
            </w:r>
            <w:r>
              <w:rPr>
                <w:rFonts w:hint="eastAsia" w:ascii="Times New Roman" w:hAnsi="Times New Roman" w:cs="Times New Roman"/>
                <w:color w:val="auto"/>
                <w:sz w:val="24"/>
                <w:szCs w:val="24"/>
                <w:highlight w:val="none"/>
                <w:shd w:val="clear" w:color="auto" w:fill="auto"/>
                <w:lang w:val="en-US" w:eastAsia="zh-CN"/>
              </w:rPr>
              <w:t>，于2019年5月委托江西浔泽环保建设有限公司编制完成了《江西鑫润绿色循环发展有限公司年产2万吨新型材料燃料棒等产品项目环境影响报告书》，九江市永修生态环境局于2019年10月31日以《关于江西鑫润绿色循环发展有限公司年产2万吨新型材料燃料棒等产品项目环境影响报告书的批复》（九永环审（2019）49号）予以批复，并在2023年</w:t>
            </w:r>
            <w:r>
              <w:rPr>
                <w:rFonts w:hint="eastAsia" w:ascii="Times New Roman" w:cs="Times New Roman"/>
                <w:color w:val="auto"/>
                <w:sz w:val="24"/>
                <w:szCs w:val="24"/>
                <w:highlight w:val="none"/>
                <w:shd w:val="clear" w:color="auto" w:fill="auto"/>
                <w:lang w:val="en-US" w:eastAsia="zh-CN"/>
              </w:rPr>
              <w:t>完成</w:t>
            </w:r>
            <w:r>
              <w:rPr>
                <w:rFonts w:hint="eastAsia" w:ascii="Times New Roman" w:hAnsi="Times New Roman" w:cs="Times New Roman"/>
                <w:color w:val="auto"/>
                <w:sz w:val="24"/>
                <w:szCs w:val="24"/>
                <w:highlight w:val="none"/>
                <w:shd w:val="clear" w:color="auto" w:fill="auto"/>
                <w:lang w:val="en-US" w:eastAsia="zh-CN"/>
              </w:rPr>
              <w:t>对该项目一期工程（年产1万吨再生塑料粒子）自主验收</w:t>
            </w:r>
            <w:r>
              <w:rPr>
                <w:rFonts w:hint="eastAsia" w:ascii="Times New Roman" w:cs="Times New Roman"/>
                <w:color w:val="auto"/>
                <w:sz w:val="24"/>
                <w:szCs w:val="24"/>
                <w:highlight w:val="none"/>
                <w:shd w:val="clear" w:color="auto" w:fill="auto"/>
                <w:lang w:val="en-US" w:eastAsia="zh-CN"/>
              </w:rPr>
              <w:t>，并已取得排污许可证（许可证编号：91360425MA38CC4X38001U）</w:t>
            </w:r>
            <w:r>
              <w:rPr>
                <w:rFonts w:hint="eastAsia"/>
                <w:color w:val="auto"/>
                <w:sz w:val="24"/>
                <w:szCs w:val="24"/>
                <w:lang w:val="en-US" w:eastAsia="zh-CN"/>
              </w:rPr>
              <w:t>。</w:t>
            </w:r>
            <w:r>
              <w:rPr>
                <w:rFonts w:hint="eastAsia"/>
                <w:color w:val="auto"/>
                <w:sz w:val="24"/>
                <w:szCs w:val="20"/>
              </w:rPr>
              <w:t>本评价就原有项目的情况进行说明，</w:t>
            </w:r>
            <w:r>
              <w:rPr>
                <w:rFonts w:hint="eastAsia"/>
                <w:color w:val="auto"/>
                <w:sz w:val="24"/>
                <w:szCs w:val="20"/>
                <w:lang w:val="en-GB"/>
              </w:rPr>
              <w:t>以下原有项目排污数据均引用于环评及</w:t>
            </w:r>
            <w:r>
              <w:rPr>
                <w:rFonts w:hint="eastAsia"/>
                <w:color w:val="auto"/>
                <w:sz w:val="24"/>
                <w:szCs w:val="20"/>
              </w:rPr>
              <w:t>验收文件。</w:t>
            </w:r>
          </w:p>
          <w:p w14:paraId="2EB32F1D">
            <w:pPr>
              <w:pStyle w:val="2"/>
              <w:numPr>
                <w:ilvl w:val="0"/>
                <w:numId w:val="0"/>
              </w:numPr>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表2-</w:t>
            </w:r>
            <w:r>
              <w:rPr>
                <w:rFonts w:hint="eastAsia" w:asci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现有项目环评及验收情况一览表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1463"/>
              <w:gridCol w:w="1089"/>
              <w:gridCol w:w="1296"/>
              <w:gridCol w:w="1397"/>
            </w:tblGrid>
            <w:tr w14:paraId="1F83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Borders>
                    <w:top w:val="single" w:color="auto" w:sz="12" w:space="0"/>
                    <w:left w:val="nil"/>
                  </w:tcBorders>
                  <w:noWrap w:val="0"/>
                  <w:vAlign w:val="center"/>
                </w:tcPr>
                <w:p w14:paraId="1C1F2D6B">
                  <w:pPr>
                    <w:pStyle w:val="2"/>
                    <w:snapToGrid w:val="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项目名称</w:t>
                  </w:r>
                </w:p>
              </w:tc>
              <w:tc>
                <w:tcPr>
                  <w:tcW w:w="1287" w:type="dxa"/>
                  <w:tcBorders>
                    <w:top w:val="single" w:color="auto" w:sz="12" w:space="0"/>
                  </w:tcBorders>
                  <w:noWrap w:val="0"/>
                  <w:vAlign w:val="center"/>
                </w:tcPr>
                <w:p w14:paraId="52EA94E8">
                  <w:pPr>
                    <w:pStyle w:val="2"/>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批复产品</w:t>
                  </w:r>
                </w:p>
              </w:tc>
              <w:tc>
                <w:tcPr>
                  <w:tcW w:w="958" w:type="dxa"/>
                  <w:tcBorders>
                    <w:top w:val="single" w:color="auto" w:sz="12" w:space="0"/>
                  </w:tcBorders>
                  <w:noWrap w:val="0"/>
                  <w:vAlign w:val="center"/>
                </w:tcPr>
                <w:p w14:paraId="36077B08">
                  <w:pPr>
                    <w:pStyle w:val="2"/>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环评批复</w:t>
                  </w:r>
                </w:p>
              </w:tc>
              <w:tc>
                <w:tcPr>
                  <w:tcW w:w="1140" w:type="dxa"/>
                  <w:tcBorders>
                    <w:top w:val="single" w:color="auto" w:sz="12" w:space="0"/>
                  </w:tcBorders>
                  <w:noWrap w:val="0"/>
                  <w:vAlign w:val="center"/>
                </w:tcPr>
                <w:p w14:paraId="60E49E55">
                  <w:pPr>
                    <w:pStyle w:val="2"/>
                    <w:snapToGrid w:val="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已验收项目产品</w:t>
                  </w:r>
                </w:p>
              </w:tc>
              <w:tc>
                <w:tcPr>
                  <w:tcW w:w="1228" w:type="dxa"/>
                  <w:tcBorders>
                    <w:top w:val="single" w:color="auto" w:sz="12" w:space="0"/>
                    <w:right w:val="nil"/>
                  </w:tcBorders>
                  <w:noWrap w:val="0"/>
                  <w:vAlign w:val="center"/>
                </w:tcPr>
                <w:p w14:paraId="2A28479D">
                  <w:pPr>
                    <w:pStyle w:val="2"/>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排污许可</w:t>
                  </w:r>
                  <w:r>
                    <w:rPr>
                      <w:rFonts w:hint="eastAsia" w:ascii="Times New Roman" w:cs="Times New Roman"/>
                      <w:b/>
                      <w:bCs/>
                      <w:color w:val="auto"/>
                      <w:sz w:val="21"/>
                      <w:szCs w:val="21"/>
                      <w:lang w:val="en-US" w:eastAsia="zh-CN"/>
                    </w:rPr>
                    <w:t>证</w:t>
                  </w:r>
                </w:p>
              </w:tc>
            </w:tr>
            <w:tr w14:paraId="2534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5" w:type="dxa"/>
                  <w:tcBorders>
                    <w:left w:val="nil"/>
                    <w:bottom w:val="single" w:color="auto" w:sz="12" w:space="0"/>
                  </w:tcBorders>
                  <w:noWrap w:val="0"/>
                  <w:vAlign w:val="center"/>
                </w:tcPr>
                <w:p w14:paraId="69697769">
                  <w:pPr>
                    <w:pStyle w:val="2"/>
                    <w:snapToGrid w:val="0"/>
                    <w:spacing w:before="62" w:beforeLines="20" w:after="62" w:afterLines="2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江西鑫润绿色循环发展有限公司年产2万吨新型材料燃料棒等产品项目环境影响报告书</w:t>
                  </w:r>
                </w:p>
              </w:tc>
              <w:tc>
                <w:tcPr>
                  <w:tcW w:w="1287" w:type="dxa"/>
                  <w:tcBorders>
                    <w:bottom w:val="single" w:color="auto" w:sz="12" w:space="0"/>
                  </w:tcBorders>
                  <w:noWrap w:val="0"/>
                  <w:vAlign w:val="center"/>
                </w:tcPr>
                <w:p w14:paraId="6A6B79BB">
                  <w:pPr>
                    <w:pStyle w:val="2"/>
                    <w:snapToGrid w:val="0"/>
                    <w:spacing w:before="62" w:beforeLines="20" w:after="62" w:afterLines="2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新型材料燃烧棒2万吨/年；再生塑料粒子1万吨/年；</w:t>
                  </w:r>
                </w:p>
              </w:tc>
              <w:tc>
                <w:tcPr>
                  <w:tcW w:w="958" w:type="dxa"/>
                  <w:tcBorders>
                    <w:bottom w:val="single" w:color="auto" w:sz="12" w:space="0"/>
                  </w:tcBorders>
                  <w:noWrap w:val="0"/>
                  <w:vAlign w:val="center"/>
                </w:tcPr>
                <w:p w14:paraId="3169CB93">
                  <w:pPr>
                    <w:pStyle w:val="2"/>
                    <w:snapToGrid w:val="0"/>
                    <w:spacing w:before="62" w:beforeLines="20" w:after="62" w:afterLines="2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九永环审</w:t>
                  </w: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号</w:t>
                  </w:r>
                </w:p>
              </w:tc>
              <w:tc>
                <w:tcPr>
                  <w:tcW w:w="1140" w:type="dxa"/>
                  <w:tcBorders>
                    <w:bottom w:val="single" w:color="auto" w:sz="12" w:space="0"/>
                  </w:tcBorders>
                  <w:noWrap w:val="0"/>
                  <w:vAlign w:val="center"/>
                </w:tcPr>
                <w:p w14:paraId="3F47D3E8">
                  <w:pPr>
                    <w:pStyle w:val="2"/>
                    <w:snapToGrid w:val="0"/>
                    <w:spacing w:before="62" w:beforeLines="20" w:after="62" w:afterLines="2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再生塑料粒子1万吨/年；</w:t>
                  </w:r>
                </w:p>
              </w:tc>
              <w:tc>
                <w:tcPr>
                  <w:tcW w:w="1228" w:type="dxa"/>
                  <w:tcBorders>
                    <w:bottom w:val="single" w:color="auto" w:sz="12" w:space="0"/>
                    <w:right w:val="nil"/>
                  </w:tcBorders>
                  <w:noWrap w:val="0"/>
                  <w:vAlign w:val="center"/>
                </w:tcPr>
                <w:p w14:paraId="4A47E625">
                  <w:pPr>
                    <w:pStyle w:val="2"/>
                    <w:snapToGrid w:val="0"/>
                    <w:spacing w:before="62" w:beforeLines="20" w:after="62" w:afterLines="20"/>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4"/>
                      <w:szCs w:val="24"/>
                      <w:highlight w:val="none"/>
                      <w:shd w:val="clear" w:color="auto" w:fill="auto"/>
                      <w:lang w:val="en-US" w:eastAsia="zh-CN"/>
                    </w:rPr>
                    <w:t>91360425MA38CC4X38001U</w:t>
                  </w:r>
                </w:p>
              </w:tc>
            </w:tr>
          </w:tbl>
          <w:p w14:paraId="78538631">
            <w:pPr>
              <w:spacing w:beforeLines="0" w:afterLines="0" w:line="360" w:lineRule="auto"/>
              <w:ind w:firstLine="480" w:firstLineChars="200"/>
              <w:rPr>
                <w:rFonts w:hint="eastAsia" w:ascii="宋体" w:eastAsia="宋体"/>
                <w:color w:val="auto"/>
                <w:sz w:val="24"/>
                <w:szCs w:val="24"/>
              </w:rPr>
            </w:pPr>
            <w:r>
              <w:rPr>
                <w:rFonts w:hint="eastAsia" w:ascii="宋体" w:eastAsia="宋体"/>
                <w:color w:val="auto"/>
                <w:kern w:val="21"/>
                <w:sz w:val="24"/>
                <w:szCs w:val="24"/>
              </w:rPr>
              <w:t>（1）</w:t>
            </w:r>
            <w:r>
              <w:rPr>
                <w:rFonts w:hint="eastAsia" w:ascii="宋体" w:eastAsia="宋体"/>
                <w:color w:val="auto"/>
                <w:kern w:val="21"/>
                <w:sz w:val="24"/>
                <w:szCs w:val="24"/>
                <w:lang w:val="en-US" w:eastAsia="zh-CN"/>
              </w:rPr>
              <w:t>技改前</w:t>
            </w:r>
            <w:r>
              <w:rPr>
                <w:rFonts w:hint="eastAsia" w:ascii="宋体" w:eastAsia="宋体"/>
                <w:color w:val="auto"/>
                <w:kern w:val="21"/>
                <w:sz w:val="24"/>
                <w:szCs w:val="24"/>
              </w:rPr>
              <w:t>项目</w:t>
            </w:r>
            <w:r>
              <w:rPr>
                <w:rFonts w:hint="eastAsia" w:ascii="宋体" w:eastAsia="宋体"/>
                <w:color w:val="auto"/>
                <w:sz w:val="24"/>
                <w:szCs w:val="24"/>
              </w:rPr>
              <w:t>产品情况：</w:t>
            </w:r>
          </w:p>
          <w:p w14:paraId="7BFB420E">
            <w:pPr>
              <w:spacing w:beforeLines="0" w:afterLines="0"/>
              <w:jc w:val="center"/>
              <w:rPr>
                <w:rFonts w:hint="eastAsia" w:eastAsia="宋体"/>
                <w:b/>
                <w:color w:val="auto"/>
                <w:sz w:val="21"/>
                <w:szCs w:val="21"/>
                <w:lang w:val="en-US" w:eastAsia="zh-CN"/>
              </w:rPr>
            </w:pPr>
            <w:r>
              <w:rPr>
                <w:rFonts w:hint="eastAsia" w:ascii="宋体" w:eastAsia="宋体"/>
                <w:b/>
                <w:color w:val="auto"/>
                <w:sz w:val="21"/>
                <w:szCs w:val="21"/>
              </w:rPr>
              <w:t>表2-</w:t>
            </w:r>
            <w:r>
              <w:rPr>
                <w:rFonts w:hint="eastAsia" w:ascii="宋体" w:eastAsia="宋体"/>
                <w:b/>
                <w:color w:val="auto"/>
                <w:sz w:val="21"/>
                <w:szCs w:val="21"/>
                <w:lang w:val="en-US" w:eastAsia="zh-CN"/>
              </w:rPr>
              <w:t>8</w:t>
            </w:r>
            <w:r>
              <w:rPr>
                <w:rFonts w:hint="default"/>
                <w:b/>
                <w:color w:val="auto"/>
                <w:sz w:val="21"/>
                <w:szCs w:val="21"/>
              </w:rPr>
              <w:t xml:space="preserve">    </w:t>
            </w:r>
            <w:r>
              <w:rPr>
                <w:rFonts w:hint="eastAsia" w:ascii="宋体" w:eastAsia="宋体"/>
                <w:b/>
                <w:color w:val="auto"/>
                <w:sz w:val="21"/>
                <w:szCs w:val="21"/>
                <w:lang w:val="en-US" w:eastAsia="zh-CN"/>
              </w:rPr>
              <w:t>技改前</w:t>
            </w:r>
            <w:r>
              <w:rPr>
                <w:rFonts w:hint="eastAsia" w:ascii="宋体" w:eastAsia="宋体"/>
                <w:b/>
                <w:color w:val="auto"/>
                <w:sz w:val="21"/>
                <w:szCs w:val="21"/>
              </w:rPr>
              <w:t>主要产品方案</w:t>
            </w:r>
            <w:r>
              <w:rPr>
                <w:rFonts w:hint="eastAsia" w:ascii="宋体" w:eastAsia="宋体"/>
                <w:b/>
                <w:color w:val="auto"/>
                <w:sz w:val="21"/>
                <w:szCs w:val="21"/>
                <w:lang w:val="en-US" w:eastAsia="zh-CN"/>
              </w:rPr>
              <w:t>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47"/>
              <w:gridCol w:w="1191"/>
              <w:gridCol w:w="1395"/>
              <w:gridCol w:w="1396"/>
              <w:gridCol w:w="1398"/>
              <w:gridCol w:w="1398"/>
            </w:tblGrid>
            <w:tr w14:paraId="1844D6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tblHeader/>
              </w:trPr>
              <w:tc>
                <w:tcPr>
                  <w:tcW w:w="496" w:type="pct"/>
                  <w:tcBorders>
                    <w:tl2br w:val="nil"/>
                    <w:tr2bl w:val="nil"/>
                  </w:tcBorders>
                  <w:noWrap w:val="0"/>
                  <w:vAlign w:val="center"/>
                </w:tcPr>
                <w:p w14:paraId="1718FE9E">
                  <w:pPr>
                    <w:spacing w:beforeLines="0" w:afterLines="0"/>
                    <w:jc w:val="center"/>
                    <w:rPr>
                      <w:rFonts w:hint="default"/>
                      <w:b/>
                      <w:color w:val="auto"/>
                      <w:sz w:val="21"/>
                      <w:szCs w:val="21"/>
                    </w:rPr>
                  </w:pPr>
                  <w:r>
                    <w:rPr>
                      <w:rFonts w:hint="eastAsia" w:ascii="宋体" w:eastAsia="宋体"/>
                      <w:b/>
                      <w:color w:val="auto"/>
                      <w:sz w:val="21"/>
                      <w:szCs w:val="21"/>
                    </w:rPr>
                    <w:t>序号</w:t>
                  </w:r>
                </w:p>
              </w:tc>
              <w:tc>
                <w:tcPr>
                  <w:tcW w:w="791" w:type="pct"/>
                  <w:tcBorders>
                    <w:tl2br w:val="nil"/>
                    <w:tr2bl w:val="nil"/>
                  </w:tcBorders>
                  <w:noWrap w:val="0"/>
                  <w:vAlign w:val="center"/>
                </w:tcPr>
                <w:p w14:paraId="33226A1D">
                  <w:pPr>
                    <w:spacing w:beforeLines="0" w:afterLines="0"/>
                    <w:jc w:val="center"/>
                    <w:rPr>
                      <w:rFonts w:hint="default"/>
                      <w:b/>
                      <w:color w:val="auto"/>
                      <w:sz w:val="21"/>
                      <w:szCs w:val="21"/>
                    </w:rPr>
                  </w:pPr>
                  <w:r>
                    <w:rPr>
                      <w:rFonts w:hint="eastAsia" w:ascii="宋体" w:eastAsia="宋体"/>
                      <w:b/>
                      <w:color w:val="auto"/>
                      <w:sz w:val="21"/>
                      <w:szCs w:val="21"/>
                    </w:rPr>
                    <w:t>产品名称</w:t>
                  </w:r>
                </w:p>
              </w:tc>
              <w:tc>
                <w:tcPr>
                  <w:tcW w:w="926" w:type="pct"/>
                  <w:tcBorders>
                    <w:tl2br w:val="nil"/>
                    <w:tr2bl w:val="nil"/>
                  </w:tcBorders>
                  <w:noWrap w:val="0"/>
                  <w:vAlign w:val="center"/>
                </w:tcPr>
                <w:p w14:paraId="06A1EE4B">
                  <w:pPr>
                    <w:spacing w:beforeLines="0" w:afterLines="0"/>
                    <w:jc w:val="center"/>
                    <w:rPr>
                      <w:rFonts w:hint="default" w:eastAsia="宋体"/>
                      <w:b/>
                      <w:color w:val="auto"/>
                      <w:sz w:val="21"/>
                      <w:szCs w:val="21"/>
                      <w:lang w:val="en-US" w:eastAsia="zh-CN"/>
                    </w:rPr>
                  </w:pPr>
                  <w:r>
                    <w:rPr>
                      <w:rFonts w:hint="eastAsia" w:ascii="宋体" w:eastAsia="宋体"/>
                      <w:b/>
                      <w:color w:val="auto"/>
                      <w:sz w:val="21"/>
                      <w:szCs w:val="21"/>
                      <w:lang w:val="en-US" w:eastAsia="zh-CN"/>
                    </w:rPr>
                    <w:t>环评产能</w:t>
                  </w:r>
                </w:p>
              </w:tc>
              <w:tc>
                <w:tcPr>
                  <w:tcW w:w="927" w:type="pct"/>
                  <w:tcBorders>
                    <w:tl2br w:val="nil"/>
                    <w:tr2bl w:val="nil"/>
                  </w:tcBorders>
                  <w:noWrap w:val="0"/>
                  <w:vAlign w:val="center"/>
                </w:tcPr>
                <w:p w14:paraId="7CA0A911">
                  <w:pPr>
                    <w:spacing w:beforeLines="0" w:afterLines="0"/>
                    <w:jc w:val="center"/>
                    <w:rPr>
                      <w:rFonts w:hint="default" w:ascii="宋体" w:eastAsia="宋体"/>
                      <w:b/>
                      <w:color w:val="auto"/>
                      <w:sz w:val="21"/>
                      <w:szCs w:val="21"/>
                      <w:lang w:val="en-US" w:eastAsia="zh-CN"/>
                    </w:rPr>
                  </w:pPr>
                  <w:r>
                    <w:rPr>
                      <w:rFonts w:hint="eastAsia" w:ascii="宋体" w:eastAsia="宋体"/>
                      <w:b/>
                      <w:color w:val="auto"/>
                      <w:sz w:val="21"/>
                      <w:szCs w:val="21"/>
                      <w:lang w:val="en-US" w:eastAsia="zh-CN"/>
                    </w:rPr>
                    <w:t>实际产能</w:t>
                  </w:r>
                </w:p>
              </w:tc>
              <w:tc>
                <w:tcPr>
                  <w:tcW w:w="928" w:type="pct"/>
                  <w:tcBorders>
                    <w:tl2br w:val="nil"/>
                    <w:tr2bl w:val="nil"/>
                  </w:tcBorders>
                  <w:noWrap w:val="0"/>
                  <w:vAlign w:val="center"/>
                </w:tcPr>
                <w:p w14:paraId="47E7C162">
                  <w:pPr>
                    <w:spacing w:beforeLines="0" w:afterLines="0"/>
                    <w:jc w:val="center"/>
                    <w:rPr>
                      <w:rFonts w:hint="eastAsia" w:ascii="宋体" w:eastAsia="宋体"/>
                      <w:b/>
                      <w:color w:val="auto"/>
                      <w:sz w:val="21"/>
                      <w:szCs w:val="21"/>
                      <w:lang w:eastAsia="zh-CN"/>
                    </w:rPr>
                  </w:pPr>
                  <w:r>
                    <w:rPr>
                      <w:rFonts w:hint="eastAsia" w:ascii="宋体" w:eastAsia="宋体"/>
                      <w:b/>
                      <w:color w:val="auto"/>
                      <w:sz w:val="21"/>
                      <w:szCs w:val="21"/>
                      <w:lang w:val="en-US" w:eastAsia="zh-CN"/>
                    </w:rPr>
                    <w:t>单位</w:t>
                  </w:r>
                </w:p>
              </w:tc>
              <w:tc>
                <w:tcPr>
                  <w:tcW w:w="928" w:type="pct"/>
                  <w:tcBorders>
                    <w:tl2br w:val="nil"/>
                    <w:tr2bl w:val="nil"/>
                  </w:tcBorders>
                  <w:noWrap w:val="0"/>
                  <w:vAlign w:val="center"/>
                </w:tcPr>
                <w:p w14:paraId="55858491">
                  <w:pPr>
                    <w:spacing w:beforeLines="0" w:afterLines="0"/>
                    <w:jc w:val="center"/>
                    <w:rPr>
                      <w:rFonts w:hint="eastAsia" w:ascii="宋体" w:eastAsia="宋体"/>
                      <w:b/>
                      <w:color w:val="auto"/>
                      <w:sz w:val="21"/>
                      <w:szCs w:val="21"/>
                    </w:rPr>
                  </w:pPr>
                  <w:r>
                    <w:rPr>
                      <w:rFonts w:hint="eastAsia" w:ascii="宋体" w:eastAsia="宋体"/>
                      <w:b/>
                      <w:color w:val="auto"/>
                      <w:sz w:val="21"/>
                      <w:szCs w:val="21"/>
                    </w:rPr>
                    <w:t>备注</w:t>
                  </w:r>
                </w:p>
              </w:tc>
            </w:tr>
            <w:tr w14:paraId="77518D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7" w:hRule="atLeast"/>
                <w:tblHeader/>
              </w:trPr>
              <w:tc>
                <w:tcPr>
                  <w:tcW w:w="496" w:type="pct"/>
                  <w:tcBorders>
                    <w:tl2br w:val="nil"/>
                    <w:tr2bl w:val="nil"/>
                  </w:tcBorders>
                  <w:noWrap w:val="0"/>
                  <w:vAlign w:val="center"/>
                </w:tcPr>
                <w:p w14:paraId="6987C1B9">
                  <w:pPr>
                    <w:spacing w:beforeLines="0" w:afterLines="0"/>
                    <w:jc w:val="center"/>
                    <w:rPr>
                      <w:rFonts w:hint="default"/>
                      <w:color w:val="auto"/>
                      <w:sz w:val="21"/>
                      <w:szCs w:val="21"/>
                    </w:rPr>
                  </w:pPr>
                  <w:r>
                    <w:rPr>
                      <w:rFonts w:hint="eastAsia" w:ascii="宋体" w:eastAsia="宋体"/>
                      <w:color w:val="auto"/>
                      <w:sz w:val="21"/>
                      <w:szCs w:val="21"/>
                    </w:rPr>
                    <w:t>1</w:t>
                  </w:r>
                </w:p>
              </w:tc>
              <w:tc>
                <w:tcPr>
                  <w:tcW w:w="791" w:type="pct"/>
                  <w:tcBorders>
                    <w:tl2br w:val="nil"/>
                    <w:tr2bl w:val="nil"/>
                  </w:tcBorders>
                  <w:noWrap w:val="0"/>
                  <w:vAlign w:val="center"/>
                </w:tcPr>
                <w:p w14:paraId="66471439">
                  <w:pPr>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再生塑料粒子</w:t>
                  </w:r>
                </w:p>
              </w:tc>
              <w:tc>
                <w:tcPr>
                  <w:tcW w:w="926" w:type="pct"/>
                  <w:tcBorders>
                    <w:tl2br w:val="nil"/>
                    <w:tr2bl w:val="nil"/>
                  </w:tcBorders>
                  <w:noWrap w:val="0"/>
                  <w:vAlign w:val="center"/>
                </w:tcPr>
                <w:p w14:paraId="038B54B5">
                  <w:pPr>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10000</w:t>
                  </w:r>
                </w:p>
              </w:tc>
              <w:tc>
                <w:tcPr>
                  <w:tcW w:w="927" w:type="pct"/>
                  <w:tcBorders>
                    <w:tl2br w:val="nil"/>
                    <w:tr2bl w:val="nil"/>
                  </w:tcBorders>
                  <w:noWrap w:val="0"/>
                  <w:vAlign w:val="center"/>
                </w:tcPr>
                <w:p w14:paraId="198B3017">
                  <w:pPr>
                    <w:spacing w:beforeLines="0" w:afterLines="0"/>
                    <w:jc w:val="center"/>
                    <w:rPr>
                      <w:rFonts w:hint="default" w:ascii="宋体" w:eastAsia="宋体"/>
                      <w:color w:val="auto"/>
                      <w:sz w:val="21"/>
                      <w:szCs w:val="21"/>
                      <w:lang w:val="en-US" w:eastAsia="zh-CN"/>
                    </w:rPr>
                  </w:pPr>
                  <w:r>
                    <w:rPr>
                      <w:rFonts w:hint="eastAsia" w:ascii="宋体" w:eastAsia="宋体"/>
                      <w:color w:val="auto"/>
                      <w:sz w:val="21"/>
                      <w:szCs w:val="21"/>
                      <w:lang w:val="en-US" w:eastAsia="zh-CN"/>
                    </w:rPr>
                    <w:t>7000</w:t>
                  </w:r>
                </w:p>
              </w:tc>
              <w:tc>
                <w:tcPr>
                  <w:tcW w:w="928" w:type="pct"/>
                  <w:tcBorders>
                    <w:tl2br w:val="nil"/>
                    <w:tr2bl w:val="nil"/>
                  </w:tcBorders>
                  <w:noWrap w:val="0"/>
                  <w:vAlign w:val="center"/>
                </w:tcPr>
                <w:p w14:paraId="2394C21D">
                  <w:pPr>
                    <w:spacing w:beforeLines="0" w:afterLines="0"/>
                    <w:jc w:val="center"/>
                    <w:rPr>
                      <w:rFonts w:hint="default" w:ascii="宋体" w:eastAsia="宋体"/>
                      <w:color w:val="auto"/>
                      <w:sz w:val="21"/>
                      <w:szCs w:val="21"/>
                      <w:lang w:val="en-US" w:eastAsia="zh-CN"/>
                    </w:rPr>
                  </w:pPr>
                  <w:r>
                    <w:rPr>
                      <w:rFonts w:hint="eastAsia" w:ascii="宋体" w:eastAsia="宋体"/>
                      <w:color w:val="auto"/>
                      <w:sz w:val="21"/>
                      <w:szCs w:val="21"/>
                      <w:lang w:val="en-US" w:eastAsia="zh-CN"/>
                    </w:rPr>
                    <w:t>t/a</w:t>
                  </w:r>
                </w:p>
              </w:tc>
              <w:tc>
                <w:tcPr>
                  <w:tcW w:w="928" w:type="pct"/>
                  <w:tcBorders>
                    <w:tl2br w:val="nil"/>
                    <w:tr2bl w:val="nil"/>
                  </w:tcBorders>
                  <w:noWrap w:val="0"/>
                  <w:vAlign w:val="center"/>
                </w:tcPr>
                <w:p w14:paraId="58793D90">
                  <w:pPr>
                    <w:spacing w:beforeLines="0" w:afterLines="0"/>
                    <w:jc w:val="center"/>
                    <w:rPr>
                      <w:rFonts w:hint="eastAsia" w:ascii="宋体" w:eastAsia="宋体"/>
                      <w:color w:val="auto"/>
                      <w:sz w:val="21"/>
                      <w:szCs w:val="21"/>
                      <w:lang w:val="en-US" w:eastAsia="zh-CN"/>
                    </w:rPr>
                  </w:pPr>
                  <w:r>
                    <w:rPr>
                      <w:rFonts w:hint="eastAsia" w:ascii="宋体" w:eastAsia="宋体"/>
                      <w:color w:val="auto"/>
                      <w:sz w:val="21"/>
                      <w:szCs w:val="21"/>
                      <w:lang w:val="en-US" w:eastAsia="zh-CN"/>
                    </w:rPr>
                    <w:t>/</w:t>
                  </w:r>
                </w:p>
              </w:tc>
            </w:tr>
          </w:tbl>
          <w:p w14:paraId="6BD33589">
            <w:pPr>
              <w:adjustRightInd w:val="0"/>
              <w:snapToGrid w:val="0"/>
              <w:spacing w:beforeLines="0" w:afterLines="0" w:line="360" w:lineRule="auto"/>
              <w:ind w:firstLine="480" w:firstLineChars="200"/>
              <w:jc w:val="left"/>
              <w:rPr>
                <w:rFonts w:hint="eastAsia" w:ascii="宋体" w:eastAsia="宋体"/>
                <w:color w:val="auto"/>
                <w:sz w:val="24"/>
                <w:szCs w:val="24"/>
              </w:rPr>
            </w:pPr>
            <w:r>
              <w:rPr>
                <w:rFonts w:hint="eastAsia" w:ascii="宋体" w:eastAsia="宋体"/>
                <w:color w:val="auto"/>
                <w:sz w:val="24"/>
                <w:szCs w:val="24"/>
              </w:rPr>
              <w:t>（2）</w:t>
            </w:r>
            <w:r>
              <w:rPr>
                <w:rFonts w:hint="eastAsia" w:ascii="宋体" w:eastAsia="宋体"/>
                <w:color w:val="auto"/>
                <w:kern w:val="21"/>
                <w:sz w:val="24"/>
                <w:szCs w:val="24"/>
                <w:lang w:val="en-US" w:eastAsia="zh-CN"/>
              </w:rPr>
              <w:t>技改前</w:t>
            </w:r>
            <w:r>
              <w:rPr>
                <w:rFonts w:hint="eastAsia" w:ascii="宋体" w:eastAsia="宋体"/>
                <w:color w:val="auto"/>
                <w:kern w:val="21"/>
                <w:sz w:val="24"/>
                <w:szCs w:val="24"/>
              </w:rPr>
              <w:t>项目</w:t>
            </w:r>
            <w:r>
              <w:rPr>
                <w:rFonts w:hint="eastAsia" w:ascii="宋体" w:eastAsia="宋体"/>
                <w:color w:val="auto"/>
                <w:sz w:val="24"/>
                <w:szCs w:val="24"/>
              </w:rPr>
              <w:t>主要原辅材料</w:t>
            </w:r>
          </w:p>
          <w:p w14:paraId="622457CA">
            <w:pPr>
              <w:spacing w:beforeLines="0" w:afterLines="0"/>
              <w:ind w:firstLine="422" w:firstLineChars="200"/>
              <w:jc w:val="center"/>
              <w:rPr>
                <w:rFonts w:hint="eastAsia" w:ascii="宋体" w:eastAsia="宋体"/>
                <w:b/>
                <w:color w:val="auto"/>
                <w:sz w:val="21"/>
                <w:szCs w:val="21"/>
              </w:rPr>
            </w:pPr>
            <w:r>
              <w:rPr>
                <w:rFonts w:hint="eastAsia" w:ascii="宋体" w:eastAsia="宋体"/>
                <w:b/>
                <w:color w:val="auto"/>
                <w:sz w:val="21"/>
                <w:szCs w:val="24"/>
              </w:rPr>
              <w:t>表2-</w:t>
            </w:r>
            <w:r>
              <w:rPr>
                <w:rFonts w:hint="eastAsia" w:ascii="宋体" w:eastAsia="宋体"/>
                <w:b/>
                <w:color w:val="auto"/>
                <w:sz w:val="21"/>
                <w:szCs w:val="24"/>
                <w:lang w:val="en-US" w:eastAsia="zh-CN"/>
              </w:rPr>
              <w:t>9</w:t>
            </w:r>
            <w:r>
              <w:rPr>
                <w:rFonts w:hint="default"/>
                <w:b/>
                <w:color w:val="auto"/>
                <w:sz w:val="21"/>
                <w:szCs w:val="24"/>
              </w:rPr>
              <w:t xml:space="preserve">   </w:t>
            </w:r>
            <w:r>
              <w:rPr>
                <w:rFonts w:hint="eastAsia" w:ascii="宋体" w:eastAsia="宋体"/>
                <w:b/>
                <w:color w:val="auto"/>
                <w:sz w:val="21"/>
                <w:szCs w:val="24"/>
                <w:lang w:val="en-US" w:eastAsia="zh-CN"/>
              </w:rPr>
              <w:t>技改前</w:t>
            </w:r>
            <w:r>
              <w:rPr>
                <w:rFonts w:hint="eastAsia" w:ascii="宋体" w:eastAsia="宋体"/>
                <w:b/>
                <w:color w:val="auto"/>
                <w:sz w:val="21"/>
                <w:szCs w:val="21"/>
              </w:rPr>
              <w:t>主要原辅材料一览表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774"/>
              <w:gridCol w:w="1943"/>
              <w:gridCol w:w="2310"/>
              <w:gridCol w:w="2495"/>
            </w:tblGrid>
            <w:tr w14:paraId="46C4B12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67" w:hRule="atLeast"/>
                <w:jc w:val="center"/>
              </w:trPr>
              <w:tc>
                <w:tcPr>
                  <w:tcW w:w="514" w:type="pct"/>
                  <w:tcBorders>
                    <w:tl2br w:val="nil"/>
                    <w:tr2bl w:val="nil"/>
                  </w:tcBorders>
                  <w:noWrap w:val="0"/>
                  <w:vAlign w:val="center"/>
                </w:tcPr>
                <w:p w14:paraId="5B420661">
                  <w:pPr>
                    <w:adjustRightInd w:val="0"/>
                    <w:snapToGrid w:val="0"/>
                    <w:spacing w:beforeLines="0" w:afterLines="0"/>
                    <w:jc w:val="center"/>
                    <w:rPr>
                      <w:rFonts w:hint="default"/>
                      <w:b/>
                      <w:color w:val="auto"/>
                      <w:sz w:val="21"/>
                      <w:szCs w:val="21"/>
                    </w:rPr>
                  </w:pPr>
                  <w:r>
                    <w:rPr>
                      <w:rFonts w:hint="eastAsia" w:ascii="宋体" w:eastAsia="宋体"/>
                      <w:b/>
                      <w:color w:val="auto"/>
                      <w:sz w:val="21"/>
                      <w:szCs w:val="21"/>
                    </w:rPr>
                    <w:t>序号</w:t>
                  </w:r>
                </w:p>
              </w:tc>
              <w:tc>
                <w:tcPr>
                  <w:tcW w:w="1291" w:type="pct"/>
                  <w:tcBorders>
                    <w:tl2br w:val="nil"/>
                    <w:tr2bl w:val="nil"/>
                  </w:tcBorders>
                  <w:noWrap w:val="0"/>
                  <w:vAlign w:val="center"/>
                </w:tcPr>
                <w:p w14:paraId="1C3A024F">
                  <w:pPr>
                    <w:adjustRightInd w:val="0"/>
                    <w:snapToGrid w:val="0"/>
                    <w:spacing w:beforeLines="0" w:afterLines="0"/>
                    <w:jc w:val="center"/>
                    <w:rPr>
                      <w:rFonts w:hint="default"/>
                      <w:b/>
                      <w:color w:val="auto"/>
                      <w:sz w:val="21"/>
                      <w:szCs w:val="21"/>
                    </w:rPr>
                  </w:pPr>
                  <w:r>
                    <w:rPr>
                      <w:rFonts w:hint="eastAsia" w:ascii="宋体" w:eastAsia="宋体"/>
                      <w:b/>
                      <w:color w:val="auto"/>
                      <w:sz w:val="21"/>
                      <w:szCs w:val="21"/>
                    </w:rPr>
                    <w:t>名称</w:t>
                  </w:r>
                </w:p>
              </w:tc>
              <w:tc>
                <w:tcPr>
                  <w:tcW w:w="1535" w:type="pct"/>
                  <w:tcBorders>
                    <w:tl2br w:val="nil"/>
                    <w:tr2bl w:val="nil"/>
                  </w:tcBorders>
                  <w:noWrap w:val="0"/>
                  <w:vAlign w:val="center"/>
                </w:tcPr>
                <w:p w14:paraId="4357F739">
                  <w:pPr>
                    <w:adjustRightInd w:val="0"/>
                    <w:snapToGrid w:val="0"/>
                    <w:spacing w:beforeLines="0" w:afterLines="0"/>
                    <w:jc w:val="center"/>
                    <w:rPr>
                      <w:rFonts w:hint="default"/>
                      <w:b/>
                      <w:color w:val="auto"/>
                      <w:sz w:val="21"/>
                      <w:szCs w:val="21"/>
                    </w:rPr>
                  </w:pPr>
                  <w:r>
                    <w:rPr>
                      <w:rFonts w:hint="eastAsia" w:ascii="宋体" w:eastAsia="宋体"/>
                      <w:b/>
                      <w:color w:val="auto"/>
                      <w:sz w:val="21"/>
                      <w:szCs w:val="21"/>
                      <w:lang w:val="en-US" w:eastAsia="zh-CN"/>
                    </w:rPr>
                    <w:t>环评</w:t>
                  </w:r>
                  <w:r>
                    <w:rPr>
                      <w:rFonts w:hint="eastAsia" w:ascii="宋体" w:eastAsia="宋体"/>
                      <w:b/>
                      <w:color w:val="auto"/>
                      <w:sz w:val="21"/>
                      <w:szCs w:val="21"/>
                    </w:rPr>
                    <w:t>年</w:t>
                  </w:r>
                  <w:r>
                    <w:rPr>
                      <w:rFonts w:hint="eastAsia" w:ascii="宋体" w:eastAsia="宋体"/>
                      <w:b/>
                      <w:color w:val="auto"/>
                      <w:sz w:val="21"/>
                      <w:szCs w:val="21"/>
                      <w:lang w:val="en-US" w:eastAsia="zh-CN"/>
                    </w:rPr>
                    <w:t>消耗</w:t>
                  </w:r>
                  <w:r>
                    <w:rPr>
                      <w:rFonts w:hint="eastAsia" w:ascii="宋体" w:eastAsia="宋体"/>
                      <w:b/>
                      <w:color w:val="auto"/>
                      <w:sz w:val="21"/>
                      <w:szCs w:val="21"/>
                    </w:rPr>
                    <w:t>量</w:t>
                  </w:r>
                </w:p>
              </w:tc>
              <w:tc>
                <w:tcPr>
                  <w:tcW w:w="1658" w:type="pct"/>
                  <w:tcBorders>
                    <w:tl2br w:val="nil"/>
                    <w:tr2bl w:val="nil"/>
                  </w:tcBorders>
                  <w:noWrap w:val="0"/>
                  <w:vAlign w:val="center"/>
                </w:tcPr>
                <w:p w14:paraId="75FE6D7D">
                  <w:pPr>
                    <w:adjustRightInd w:val="0"/>
                    <w:snapToGrid w:val="0"/>
                    <w:spacing w:beforeLines="0" w:afterLines="0"/>
                    <w:jc w:val="center"/>
                    <w:rPr>
                      <w:rFonts w:hint="default" w:eastAsia="宋体"/>
                      <w:b/>
                      <w:color w:val="auto"/>
                      <w:sz w:val="21"/>
                      <w:szCs w:val="21"/>
                      <w:lang w:val="en-US" w:eastAsia="zh-CN"/>
                    </w:rPr>
                  </w:pPr>
                  <w:r>
                    <w:rPr>
                      <w:rFonts w:hint="eastAsia" w:ascii="宋体" w:eastAsia="宋体"/>
                      <w:b/>
                      <w:color w:val="auto"/>
                      <w:sz w:val="21"/>
                      <w:szCs w:val="21"/>
                      <w:lang w:val="en-US" w:eastAsia="zh-CN"/>
                    </w:rPr>
                    <w:t>项目建成后验收消耗量</w:t>
                  </w:r>
                </w:p>
              </w:tc>
            </w:tr>
            <w:tr w14:paraId="5B461A6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417" w:hRule="atLeast"/>
                <w:jc w:val="center"/>
              </w:trPr>
              <w:tc>
                <w:tcPr>
                  <w:tcW w:w="514" w:type="pct"/>
                  <w:tcBorders>
                    <w:tl2br w:val="nil"/>
                    <w:tr2bl w:val="nil"/>
                  </w:tcBorders>
                  <w:noWrap w:val="0"/>
                  <w:vAlign w:val="center"/>
                </w:tcPr>
                <w:p w14:paraId="3C9FC5D3">
                  <w:pPr>
                    <w:spacing w:beforeLines="0" w:afterLines="0"/>
                    <w:jc w:val="center"/>
                    <w:rPr>
                      <w:rFonts w:hint="default"/>
                      <w:color w:val="auto"/>
                      <w:kern w:val="0"/>
                      <w:sz w:val="21"/>
                      <w:szCs w:val="21"/>
                    </w:rPr>
                  </w:pPr>
                  <w:r>
                    <w:rPr>
                      <w:rFonts w:hint="eastAsia" w:ascii="宋体" w:eastAsia="宋体"/>
                      <w:color w:val="auto"/>
                      <w:kern w:val="0"/>
                      <w:sz w:val="21"/>
                      <w:szCs w:val="21"/>
                    </w:rPr>
                    <w:t>1</w:t>
                  </w:r>
                </w:p>
              </w:tc>
              <w:tc>
                <w:tcPr>
                  <w:tcW w:w="1291" w:type="pct"/>
                  <w:tcBorders>
                    <w:tl2br w:val="nil"/>
                    <w:tr2bl w:val="nil"/>
                  </w:tcBorders>
                  <w:noWrap w:val="0"/>
                  <w:vAlign w:val="center"/>
                </w:tcPr>
                <w:p w14:paraId="4E08F5C1">
                  <w:pPr>
                    <w:spacing w:beforeLines="0" w:afterLines="0"/>
                    <w:jc w:val="center"/>
                    <w:rPr>
                      <w:rFonts w:hint="default" w:ascii="宋体" w:eastAsia="宋体"/>
                      <w:color w:val="auto"/>
                      <w:kern w:val="0"/>
                      <w:sz w:val="21"/>
                      <w:szCs w:val="21"/>
                      <w:lang w:val="en-US" w:eastAsia="zh-CN"/>
                    </w:rPr>
                  </w:pPr>
                  <w:r>
                    <w:rPr>
                      <w:rFonts w:hint="eastAsia" w:ascii="宋体" w:eastAsia="宋体"/>
                      <w:color w:val="auto"/>
                      <w:kern w:val="0"/>
                      <w:sz w:val="21"/>
                      <w:szCs w:val="21"/>
                      <w:lang w:val="en-US" w:eastAsia="zh-CN"/>
                    </w:rPr>
                    <w:t>废PP塑料</w:t>
                  </w:r>
                </w:p>
              </w:tc>
              <w:tc>
                <w:tcPr>
                  <w:tcW w:w="1535" w:type="pct"/>
                  <w:tcBorders>
                    <w:tl2br w:val="nil"/>
                    <w:tr2bl w:val="nil"/>
                  </w:tcBorders>
                  <w:noWrap w:val="0"/>
                  <w:vAlign w:val="center"/>
                </w:tcPr>
                <w:p w14:paraId="1D0E3DD5">
                  <w:pPr>
                    <w:spacing w:beforeLines="0" w:afterLines="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6500t</w:t>
                  </w:r>
                </w:p>
              </w:tc>
              <w:tc>
                <w:tcPr>
                  <w:tcW w:w="1658" w:type="pct"/>
                  <w:tcBorders>
                    <w:tl2br w:val="nil"/>
                    <w:tr2bl w:val="nil"/>
                  </w:tcBorders>
                  <w:shd w:val="clear" w:color="auto" w:fill="auto"/>
                  <w:noWrap w:val="0"/>
                  <w:vAlign w:val="center"/>
                </w:tcPr>
                <w:p w14:paraId="3D501078">
                  <w:pPr>
                    <w:spacing w:beforeLines="0" w:afterLines="0"/>
                    <w:jc w:val="center"/>
                    <w:rPr>
                      <w:rFonts w:hint="default" w:ascii="Times New Roman" w:hAnsi="Times New Roman" w:eastAsia="宋体" w:cs="Times New Roman"/>
                      <w:color w:val="auto"/>
                      <w:kern w:val="0"/>
                      <w:sz w:val="21"/>
                      <w:szCs w:val="21"/>
                      <w:lang w:val="en-US" w:eastAsia="zh-CN" w:bidi="ar-SA"/>
                    </w:rPr>
                  </w:pPr>
                  <w:r>
                    <w:rPr>
                      <w:rFonts w:hint="eastAsia" w:eastAsia="宋体"/>
                      <w:color w:val="auto"/>
                      <w:kern w:val="0"/>
                      <w:sz w:val="21"/>
                      <w:szCs w:val="21"/>
                      <w:lang w:val="en-US" w:eastAsia="zh-CN"/>
                    </w:rPr>
                    <w:t>5600t</w:t>
                  </w:r>
                </w:p>
              </w:tc>
            </w:tr>
            <w:tr w14:paraId="23AF020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417" w:hRule="atLeast"/>
                <w:jc w:val="center"/>
              </w:trPr>
              <w:tc>
                <w:tcPr>
                  <w:tcW w:w="514" w:type="pct"/>
                  <w:tcBorders>
                    <w:tl2br w:val="nil"/>
                    <w:tr2bl w:val="nil"/>
                  </w:tcBorders>
                  <w:noWrap w:val="0"/>
                  <w:vAlign w:val="center"/>
                </w:tcPr>
                <w:p w14:paraId="43B96EBA">
                  <w:pPr>
                    <w:spacing w:beforeLines="0" w:afterLines="0"/>
                    <w:jc w:val="center"/>
                    <w:rPr>
                      <w:rFonts w:hint="default"/>
                      <w:color w:val="auto"/>
                      <w:kern w:val="0"/>
                      <w:sz w:val="21"/>
                      <w:szCs w:val="21"/>
                    </w:rPr>
                  </w:pPr>
                  <w:r>
                    <w:rPr>
                      <w:rFonts w:hint="eastAsia" w:ascii="宋体" w:eastAsia="宋体"/>
                      <w:color w:val="auto"/>
                      <w:kern w:val="0"/>
                      <w:sz w:val="21"/>
                      <w:szCs w:val="21"/>
                    </w:rPr>
                    <w:t>2</w:t>
                  </w:r>
                </w:p>
              </w:tc>
              <w:tc>
                <w:tcPr>
                  <w:tcW w:w="1291" w:type="pct"/>
                  <w:tcBorders>
                    <w:tl2br w:val="nil"/>
                    <w:tr2bl w:val="nil"/>
                  </w:tcBorders>
                  <w:noWrap w:val="0"/>
                  <w:vAlign w:val="center"/>
                </w:tcPr>
                <w:p w14:paraId="1823712D">
                  <w:pPr>
                    <w:spacing w:beforeLines="0" w:afterLines="0"/>
                    <w:jc w:val="center"/>
                    <w:rPr>
                      <w:rFonts w:hint="default" w:ascii="宋体" w:eastAsia="宋体"/>
                      <w:color w:val="auto"/>
                      <w:kern w:val="0"/>
                      <w:sz w:val="21"/>
                      <w:szCs w:val="21"/>
                      <w:lang w:val="en-US" w:eastAsia="zh-CN"/>
                    </w:rPr>
                  </w:pPr>
                  <w:r>
                    <w:rPr>
                      <w:rFonts w:hint="eastAsia" w:ascii="宋体" w:eastAsia="宋体"/>
                      <w:color w:val="auto"/>
                      <w:kern w:val="0"/>
                      <w:sz w:val="21"/>
                      <w:szCs w:val="21"/>
                      <w:lang w:val="en-US" w:eastAsia="zh-CN"/>
                    </w:rPr>
                    <w:t>废PE塑料</w:t>
                  </w:r>
                </w:p>
              </w:tc>
              <w:tc>
                <w:tcPr>
                  <w:tcW w:w="1535" w:type="pct"/>
                  <w:tcBorders>
                    <w:tl2br w:val="nil"/>
                    <w:tr2bl w:val="nil"/>
                  </w:tcBorders>
                  <w:noWrap w:val="0"/>
                  <w:vAlign w:val="center"/>
                </w:tcPr>
                <w:p w14:paraId="253A9374">
                  <w:pPr>
                    <w:spacing w:beforeLines="0" w:afterLines="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6500t</w:t>
                  </w:r>
                </w:p>
              </w:tc>
              <w:tc>
                <w:tcPr>
                  <w:tcW w:w="1658" w:type="pct"/>
                  <w:tcBorders>
                    <w:tl2br w:val="nil"/>
                    <w:tr2bl w:val="nil"/>
                  </w:tcBorders>
                  <w:shd w:val="clear" w:color="auto" w:fill="auto"/>
                  <w:noWrap w:val="0"/>
                  <w:vAlign w:val="center"/>
                </w:tcPr>
                <w:p w14:paraId="65DEF3DC">
                  <w:pPr>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eastAsia="宋体"/>
                      <w:color w:val="auto"/>
                      <w:kern w:val="0"/>
                      <w:sz w:val="21"/>
                      <w:szCs w:val="21"/>
                      <w:lang w:val="en-US" w:eastAsia="zh-CN"/>
                    </w:rPr>
                    <w:t>5600t</w:t>
                  </w:r>
                </w:p>
              </w:tc>
            </w:tr>
            <w:tr w14:paraId="5E5B601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417" w:hRule="atLeast"/>
                <w:jc w:val="center"/>
              </w:trPr>
              <w:tc>
                <w:tcPr>
                  <w:tcW w:w="514" w:type="pct"/>
                  <w:tcBorders>
                    <w:tl2br w:val="nil"/>
                    <w:tr2bl w:val="nil"/>
                  </w:tcBorders>
                  <w:noWrap w:val="0"/>
                  <w:vAlign w:val="center"/>
                </w:tcPr>
                <w:p w14:paraId="21CD0791">
                  <w:pPr>
                    <w:spacing w:beforeLines="0" w:afterLines="0"/>
                    <w:jc w:val="center"/>
                    <w:rPr>
                      <w:rFonts w:hint="eastAsia" w:ascii="宋体" w:eastAsia="宋体"/>
                      <w:color w:val="auto"/>
                      <w:kern w:val="0"/>
                      <w:sz w:val="21"/>
                      <w:szCs w:val="21"/>
                      <w:lang w:val="en-US" w:eastAsia="zh-CN"/>
                    </w:rPr>
                  </w:pPr>
                  <w:r>
                    <w:rPr>
                      <w:rFonts w:hint="eastAsia" w:ascii="宋体" w:eastAsia="宋体"/>
                      <w:color w:val="auto"/>
                      <w:kern w:val="0"/>
                      <w:sz w:val="21"/>
                      <w:szCs w:val="21"/>
                      <w:lang w:val="en-US" w:eastAsia="zh-CN"/>
                    </w:rPr>
                    <w:t>3</w:t>
                  </w:r>
                </w:p>
              </w:tc>
              <w:tc>
                <w:tcPr>
                  <w:tcW w:w="1291" w:type="pct"/>
                  <w:tcBorders>
                    <w:tl2br w:val="nil"/>
                    <w:tr2bl w:val="nil"/>
                  </w:tcBorders>
                  <w:noWrap w:val="0"/>
                  <w:vAlign w:val="center"/>
                </w:tcPr>
                <w:p w14:paraId="05DF5E62">
                  <w:pPr>
                    <w:spacing w:beforeLines="0" w:afterLines="0"/>
                    <w:jc w:val="center"/>
                    <w:rPr>
                      <w:rFonts w:hint="default" w:ascii="宋体" w:eastAsia="宋体"/>
                      <w:color w:val="auto"/>
                      <w:kern w:val="0"/>
                      <w:sz w:val="21"/>
                      <w:szCs w:val="21"/>
                      <w:lang w:val="en-US" w:eastAsia="zh-CN"/>
                    </w:rPr>
                  </w:pPr>
                  <w:r>
                    <w:rPr>
                      <w:rFonts w:hint="eastAsia" w:ascii="宋体" w:eastAsia="宋体"/>
                      <w:color w:val="auto"/>
                      <w:kern w:val="0"/>
                      <w:sz w:val="21"/>
                      <w:szCs w:val="21"/>
                      <w:lang w:val="en-US" w:eastAsia="zh-CN"/>
                    </w:rPr>
                    <w:t>硅酸钙粉（添加剂）</w:t>
                  </w:r>
                </w:p>
              </w:tc>
              <w:tc>
                <w:tcPr>
                  <w:tcW w:w="1535" w:type="pct"/>
                  <w:tcBorders>
                    <w:tl2br w:val="nil"/>
                    <w:tr2bl w:val="nil"/>
                  </w:tcBorders>
                  <w:noWrap w:val="0"/>
                  <w:vAlign w:val="center"/>
                </w:tcPr>
                <w:p w14:paraId="4E4A3201">
                  <w:pPr>
                    <w:spacing w:beforeLines="0" w:afterLines="0"/>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50t</w:t>
                  </w:r>
                </w:p>
              </w:tc>
              <w:tc>
                <w:tcPr>
                  <w:tcW w:w="1658" w:type="pct"/>
                  <w:tcBorders>
                    <w:tl2br w:val="nil"/>
                    <w:tr2bl w:val="nil"/>
                  </w:tcBorders>
                  <w:shd w:val="clear" w:color="auto" w:fill="auto"/>
                  <w:noWrap w:val="0"/>
                  <w:vAlign w:val="center"/>
                </w:tcPr>
                <w:p w14:paraId="1C1E0A95">
                  <w:pPr>
                    <w:spacing w:beforeLines="0" w:afterLines="0"/>
                    <w:jc w:val="center"/>
                    <w:rPr>
                      <w:rFonts w:hint="eastAsia" w:ascii="Times New Roman" w:hAnsi="Times New Roman" w:eastAsia="宋体" w:cs="Times New Roman"/>
                      <w:color w:val="auto"/>
                      <w:kern w:val="0"/>
                      <w:sz w:val="21"/>
                      <w:szCs w:val="21"/>
                      <w:lang w:val="en-US" w:eastAsia="zh-CN" w:bidi="ar-SA"/>
                    </w:rPr>
                  </w:pPr>
                  <w:r>
                    <w:rPr>
                      <w:rFonts w:hint="eastAsia" w:eastAsia="宋体"/>
                      <w:color w:val="auto"/>
                      <w:kern w:val="0"/>
                      <w:sz w:val="21"/>
                      <w:szCs w:val="21"/>
                      <w:lang w:val="en-US" w:eastAsia="zh-CN"/>
                    </w:rPr>
                    <w:t>45t</w:t>
                  </w:r>
                </w:p>
              </w:tc>
            </w:tr>
          </w:tbl>
          <w:p w14:paraId="259F091F">
            <w:pPr>
              <w:spacing w:beforeLines="0" w:afterLines="0" w:line="360" w:lineRule="auto"/>
              <w:ind w:firstLine="480" w:firstLineChars="200"/>
              <w:rPr>
                <w:rFonts w:hint="default"/>
                <w:color w:val="auto"/>
                <w:sz w:val="24"/>
                <w:szCs w:val="24"/>
              </w:rPr>
            </w:pPr>
            <w:r>
              <w:rPr>
                <w:rFonts w:hint="eastAsia" w:ascii="宋体" w:eastAsia="宋体"/>
                <w:color w:val="auto"/>
                <w:sz w:val="24"/>
                <w:szCs w:val="24"/>
              </w:rPr>
              <w:t>（3）</w:t>
            </w:r>
            <w:r>
              <w:rPr>
                <w:rFonts w:hint="eastAsia" w:ascii="宋体" w:eastAsia="宋体"/>
                <w:color w:val="auto"/>
                <w:kern w:val="21"/>
                <w:sz w:val="24"/>
                <w:szCs w:val="24"/>
                <w:lang w:val="en-US" w:eastAsia="zh-CN"/>
              </w:rPr>
              <w:t>技改前</w:t>
            </w:r>
            <w:r>
              <w:rPr>
                <w:rFonts w:hint="eastAsia" w:ascii="宋体" w:eastAsia="宋体"/>
                <w:color w:val="auto"/>
                <w:kern w:val="21"/>
                <w:sz w:val="24"/>
                <w:szCs w:val="24"/>
              </w:rPr>
              <w:t>项目</w:t>
            </w:r>
            <w:r>
              <w:rPr>
                <w:rFonts w:hint="eastAsia" w:ascii="宋体" w:eastAsia="宋体"/>
                <w:color w:val="auto"/>
                <w:sz w:val="24"/>
                <w:szCs w:val="24"/>
              </w:rPr>
              <w:t>主要生产设备详见下表：</w:t>
            </w:r>
          </w:p>
          <w:p w14:paraId="6D264001">
            <w:pPr>
              <w:pStyle w:val="19"/>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p>
          <w:p w14:paraId="1A017C35">
            <w:pPr>
              <w:pStyle w:val="19"/>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p>
          <w:p w14:paraId="46588F4A">
            <w:pPr>
              <w:pStyle w:val="19"/>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rPr>
            </w:pPr>
            <w:r>
              <w:rPr>
                <w:rFonts w:hint="eastAsia"/>
                <w:b/>
                <w:bCs/>
                <w:color w:val="auto"/>
                <w:sz w:val="21"/>
                <w:szCs w:val="21"/>
              </w:rPr>
              <w:t>表2-</w:t>
            </w:r>
            <w:r>
              <w:rPr>
                <w:rFonts w:hint="eastAsia"/>
                <w:b/>
                <w:bCs/>
                <w:color w:val="auto"/>
                <w:sz w:val="21"/>
                <w:szCs w:val="21"/>
                <w:lang w:val="en-US" w:eastAsia="zh-CN"/>
              </w:rPr>
              <w:t>10</w:t>
            </w:r>
            <w:r>
              <w:rPr>
                <w:rFonts w:hint="eastAsia"/>
                <w:b/>
                <w:bCs/>
                <w:color w:val="auto"/>
                <w:sz w:val="21"/>
                <w:szCs w:val="21"/>
              </w:rPr>
              <w:t xml:space="preserve"> </w:t>
            </w:r>
            <w:r>
              <w:rPr>
                <w:rFonts w:hint="eastAsia" w:eastAsia="宋体"/>
                <w:b/>
                <w:bCs/>
                <w:color w:val="auto"/>
                <w:sz w:val="21"/>
                <w:szCs w:val="21"/>
                <w:lang w:val="en-US" w:eastAsia="zh-CN"/>
              </w:rPr>
              <w:t>技改前</w:t>
            </w:r>
            <w:r>
              <w:rPr>
                <w:rFonts w:hint="eastAsia"/>
                <w:b/>
                <w:bCs/>
                <w:color w:val="auto"/>
                <w:sz w:val="21"/>
                <w:szCs w:val="21"/>
              </w:rPr>
              <w:t>主要设备一览表</w:t>
            </w:r>
          </w:p>
          <w:tbl>
            <w:tblPr>
              <w:tblStyle w:val="21"/>
              <w:tblW w:w="752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755"/>
              <w:gridCol w:w="2340"/>
              <w:gridCol w:w="2547"/>
            </w:tblGrid>
            <w:tr w14:paraId="4D79A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3" w:type="dxa"/>
                  <w:tcBorders>
                    <w:tl2br w:val="nil"/>
                    <w:tr2bl w:val="nil"/>
                  </w:tcBorders>
                  <w:noWrap w:val="0"/>
                  <w:vAlign w:val="center"/>
                </w:tcPr>
                <w:p w14:paraId="0F5C8970">
                  <w:pPr>
                    <w:pStyle w:val="19"/>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olor w:val="auto"/>
                      <w:sz w:val="21"/>
                      <w:szCs w:val="21"/>
                    </w:rPr>
                  </w:pPr>
                  <w:r>
                    <w:rPr>
                      <w:rFonts w:hint="eastAsia"/>
                      <w:color w:val="auto"/>
                      <w:sz w:val="21"/>
                      <w:szCs w:val="21"/>
                    </w:rPr>
                    <w:t>序号</w:t>
                  </w:r>
                </w:p>
              </w:tc>
              <w:tc>
                <w:tcPr>
                  <w:tcW w:w="1755" w:type="dxa"/>
                  <w:tcBorders>
                    <w:tl2br w:val="nil"/>
                    <w:tr2bl w:val="nil"/>
                  </w:tcBorders>
                  <w:noWrap w:val="0"/>
                  <w:vAlign w:val="center"/>
                </w:tcPr>
                <w:p w14:paraId="62B413B0">
                  <w:pPr>
                    <w:pStyle w:val="19"/>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olor w:val="auto"/>
                      <w:sz w:val="21"/>
                      <w:szCs w:val="21"/>
                    </w:rPr>
                  </w:pPr>
                  <w:r>
                    <w:rPr>
                      <w:rFonts w:hint="eastAsia"/>
                      <w:color w:val="auto"/>
                      <w:sz w:val="21"/>
                      <w:szCs w:val="21"/>
                    </w:rPr>
                    <w:t>设备名称</w:t>
                  </w:r>
                </w:p>
              </w:tc>
              <w:tc>
                <w:tcPr>
                  <w:tcW w:w="2340" w:type="dxa"/>
                  <w:tcBorders>
                    <w:tl2br w:val="nil"/>
                    <w:tr2bl w:val="nil"/>
                  </w:tcBorders>
                  <w:noWrap w:val="0"/>
                  <w:vAlign w:val="center"/>
                </w:tcPr>
                <w:p w14:paraId="1E422CC9">
                  <w:pPr>
                    <w:pStyle w:val="19"/>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环评中的</w:t>
                  </w:r>
                  <w:r>
                    <w:rPr>
                      <w:rFonts w:hint="eastAsia"/>
                      <w:color w:val="auto"/>
                      <w:sz w:val="21"/>
                      <w:szCs w:val="21"/>
                    </w:rPr>
                    <w:t>数量</w:t>
                  </w:r>
                  <w:r>
                    <w:rPr>
                      <w:rFonts w:hint="eastAsia" w:eastAsia="宋体"/>
                      <w:color w:val="auto"/>
                      <w:sz w:val="21"/>
                      <w:szCs w:val="21"/>
                      <w:lang w:eastAsia="zh-CN"/>
                    </w:rPr>
                    <w:t>（</w:t>
                  </w:r>
                  <w:r>
                    <w:rPr>
                      <w:rFonts w:hint="eastAsia" w:eastAsia="宋体"/>
                      <w:color w:val="auto"/>
                      <w:sz w:val="21"/>
                      <w:szCs w:val="21"/>
                      <w:lang w:val="en-US" w:eastAsia="zh-CN"/>
                    </w:rPr>
                    <w:t>台）</w:t>
                  </w:r>
                </w:p>
              </w:tc>
              <w:tc>
                <w:tcPr>
                  <w:tcW w:w="2547" w:type="dxa"/>
                  <w:tcBorders>
                    <w:tl2br w:val="nil"/>
                    <w:tr2bl w:val="nil"/>
                  </w:tcBorders>
                  <w:noWrap w:val="0"/>
                  <w:vAlign w:val="center"/>
                </w:tcPr>
                <w:p w14:paraId="5EE5F72E">
                  <w:pPr>
                    <w:pStyle w:val="19"/>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实际验收数量（一期）（台）</w:t>
                  </w:r>
                </w:p>
              </w:tc>
            </w:tr>
            <w:tr w14:paraId="7F841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83" w:type="dxa"/>
                  <w:tcBorders>
                    <w:tl2br w:val="nil"/>
                    <w:tr2bl w:val="nil"/>
                  </w:tcBorders>
                  <w:shd w:val="clear" w:color="auto" w:fill="auto"/>
                  <w:noWrap w:val="0"/>
                  <w:vAlign w:val="center"/>
                </w:tcPr>
                <w:p w14:paraId="39CC627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1</w:t>
                  </w:r>
                </w:p>
              </w:tc>
              <w:tc>
                <w:tcPr>
                  <w:tcW w:w="1755" w:type="dxa"/>
                  <w:tcBorders>
                    <w:tl2br w:val="nil"/>
                    <w:tr2bl w:val="nil"/>
                  </w:tcBorders>
                  <w:shd w:val="clear" w:color="auto" w:fill="auto"/>
                  <w:noWrap w:val="0"/>
                  <w:vAlign w:val="center"/>
                </w:tcPr>
                <w:p w14:paraId="25B655F4">
                  <w:pPr>
                    <w:pStyle w:val="52"/>
                    <w:rPr>
                      <w:rFonts w:hint="eastAsia" w:ascii="Times New Roman" w:hAnsi="Times New Roman" w:eastAsia="Times New Roman" w:cs="Times New Roman"/>
                      <w:color w:val="auto"/>
                      <w:kern w:val="2"/>
                      <w:sz w:val="21"/>
                      <w:szCs w:val="24"/>
                      <w:lang w:val="en-US" w:eastAsia="zh-CN" w:bidi="ar-SA"/>
                    </w:rPr>
                  </w:pPr>
                  <w:r>
                    <w:rPr>
                      <w:color w:val="auto"/>
                    </w:rPr>
                    <w:t>清水机</w:t>
                  </w:r>
                </w:p>
              </w:tc>
              <w:tc>
                <w:tcPr>
                  <w:tcW w:w="2340" w:type="dxa"/>
                  <w:tcBorders>
                    <w:tl2br w:val="nil"/>
                    <w:tr2bl w:val="nil"/>
                  </w:tcBorders>
                  <w:shd w:val="clear" w:color="auto" w:fill="auto"/>
                  <w:noWrap w:val="0"/>
                  <w:vAlign w:val="center"/>
                </w:tcPr>
                <w:p w14:paraId="3FAD7FC3">
                  <w:pPr>
                    <w:pStyle w:val="52"/>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5台</w:t>
                  </w:r>
                </w:p>
              </w:tc>
              <w:tc>
                <w:tcPr>
                  <w:tcW w:w="2547" w:type="dxa"/>
                  <w:tcBorders>
                    <w:tl2br w:val="nil"/>
                    <w:tr2bl w:val="nil"/>
                  </w:tcBorders>
                  <w:shd w:val="clear" w:color="auto" w:fill="auto"/>
                  <w:noWrap w:val="0"/>
                  <w:vAlign w:val="center"/>
                </w:tcPr>
                <w:p w14:paraId="4E116C97">
                  <w:pPr>
                    <w:pStyle w:val="52"/>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4台</w:t>
                  </w:r>
                </w:p>
              </w:tc>
            </w:tr>
            <w:tr w14:paraId="10152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83" w:type="dxa"/>
                  <w:tcBorders>
                    <w:tl2br w:val="nil"/>
                    <w:tr2bl w:val="nil"/>
                  </w:tcBorders>
                  <w:shd w:val="clear" w:color="auto" w:fill="auto"/>
                  <w:noWrap w:val="0"/>
                  <w:vAlign w:val="center"/>
                </w:tcPr>
                <w:p w14:paraId="0858B29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2</w:t>
                  </w:r>
                </w:p>
              </w:tc>
              <w:tc>
                <w:tcPr>
                  <w:tcW w:w="1755" w:type="dxa"/>
                  <w:tcBorders>
                    <w:tl2br w:val="nil"/>
                    <w:tr2bl w:val="nil"/>
                  </w:tcBorders>
                  <w:shd w:val="clear" w:color="auto" w:fill="auto"/>
                  <w:noWrap w:val="0"/>
                  <w:vAlign w:val="center"/>
                </w:tcPr>
                <w:p w14:paraId="6E76C4AE">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撕碎机</w:t>
                  </w:r>
                </w:p>
              </w:tc>
              <w:tc>
                <w:tcPr>
                  <w:tcW w:w="2340" w:type="dxa"/>
                  <w:tcBorders>
                    <w:tl2br w:val="nil"/>
                    <w:tr2bl w:val="nil"/>
                  </w:tcBorders>
                  <w:shd w:val="clear" w:color="auto" w:fill="auto"/>
                  <w:noWrap w:val="0"/>
                  <w:vAlign w:val="center"/>
                </w:tcPr>
                <w:p w14:paraId="314EA184">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3A7AFB59">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r w14:paraId="5B376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83" w:type="dxa"/>
                  <w:tcBorders>
                    <w:tl2br w:val="nil"/>
                    <w:tr2bl w:val="nil"/>
                  </w:tcBorders>
                  <w:shd w:val="clear" w:color="auto" w:fill="auto"/>
                  <w:noWrap w:val="0"/>
                  <w:vAlign w:val="center"/>
                </w:tcPr>
                <w:p w14:paraId="2FEE709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755" w:type="dxa"/>
                  <w:tcBorders>
                    <w:tl2br w:val="nil"/>
                    <w:tr2bl w:val="nil"/>
                  </w:tcBorders>
                  <w:shd w:val="clear" w:color="auto" w:fill="auto"/>
                  <w:noWrap w:val="0"/>
                  <w:vAlign w:val="center"/>
                </w:tcPr>
                <w:p w14:paraId="0E425C01">
                  <w:pPr>
                    <w:pStyle w:val="52"/>
                    <w:rPr>
                      <w:rFonts w:hint="eastAsia" w:ascii="Times New Roman" w:hAnsi="Times New Roman" w:eastAsia="Times New Roman" w:cs="Times New Roman"/>
                      <w:color w:val="auto"/>
                      <w:kern w:val="2"/>
                      <w:sz w:val="21"/>
                      <w:szCs w:val="24"/>
                      <w:lang w:val="en-US" w:eastAsia="zh-CN" w:bidi="ar-SA"/>
                    </w:rPr>
                  </w:pPr>
                  <w:r>
                    <w:rPr>
                      <w:color w:val="auto"/>
                    </w:rPr>
                    <w:t>自动上料机</w:t>
                  </w:r>
                </w:p>
              </w:tc>
              <w:tc>
                <w:tcPr>
                  <w:tcW w:w="2340" w:type="dxa"/>
                  <w:tcBorders>
                    <w:tl2br w:val="nil"/>
                    <w:tr2bl w:val="nil"/>
                  </w:tcBorders>
                  <w:shd w:val="clear" w:color="auto" w:fill="auto"/>
                  <w:noWrap w:val="0"/>
                  <w:vAlign w:val="center"/>
                </w:tcPr>
                <w:p w14:paraId="5B19AF1B">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4</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294B7208">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4</w:t>
                  </w:r>
                  <w:r>
                    <w:rPr>
                      <w:rFonts w:hint="eastAsia" w:eastAsia="宋体"/>
                      <w:color w:val="auto"/>
                      <w:lang w:val="en-US" w:eastAsia="zh-CN"/>
                    </w:rPr>
                    <w:t>台</w:t>
                  </w:r>
                </w:p>
              </w:tc>
            </w:tr>
            <w:tr w14:paraId="58B6F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883" w:type="dxa"/>
                  <w:tcBorders>
                    <w:tl2br w:val="nil"/>
                    <w:tr2bl w:val="nil"/>
                  </w:tcBorders>
                  <w:shd w:val="clear" w:color="auto" w:fill="auto"/>
                  <w:noWrap w:val="0"/>
                  <w:vAlign w:val="center"/>
                </w:tcPr>
                <w:p w14:paraId="7A75EC2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1755" w:type="dxa"/>
                  <w:tcBorders>
                    <w:tl2br w:val="nil"/>
                    <w:tr2bl w:val="nil"/>
                  </w:tcBorders>
                  <w:shd w:val="clear" w:color="auto" w:fill="auto"/>
                  <w:noWrap w:val="0"/>
                  <w:vAlign w:val="center"/>
                </w:tcPr>
                <w:p w14:paraId="641A7EE2">
                  <w:pPr>
                    <w:pStyle w:val="52"/>
                    <w:rPr>
                      <w:rFonts w:hint="eastAsia" w:ascii="Times New Roman" w:hAnsi="Times New Roman" w:eastAsia="Times New Roman" w:cs="Times New Roman"/>
                      <w:color w:val="auto"/>
                      <w:kern w:val="2"/>
                      <w:sz w:val="21"/>
                      <w:szCs w:val="24"/>
                      <w:lang w:val="en-US" w:eastAsia="zh-CN" w:bidi="ar-SA"/>
                    </w:rPr>
                  </w:pPr>
                  <w:r>
                    <w:rPr>
                      <w:color w:val="auto"/>
                    </w:rPr>
                    <w:t>造粒机</w:t>
                  </w:r>
                </w:p>
              </w:tc>
              <w:tc>
                <w:tcPr>
                  <w:tcW w:w="2340" w:type="dxa"/>
                  <w:tcBorders>
                    <w:tl2br w:val="nil"/>
                    <w:tr2bl w:val="nil"/>
                  </w:tcBorders>
                  <w:shd w:val="clear" w:color="auto" w:fill="auto"/>
                  <w:noWrap w:val="0"/>
                  <w:vAlign w:val="center"/>
                </w:tcPr>
                <w:p w14:paraId="38872EB9">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4台</w:t>
                  </w:r>
                </w:p>
              </w:tc>
              <w:tc>
                <w:tcPr>
                  <w:tcW w:w="2547" w:type="dxa"/>
                  <w:tcBorders>
                    <w:tl2br w:val="nil"/>
                    <w:tr2bl w:val="nil"/>
                  </w:tcBorders>
                  <w:shd w:val="clear" w:color="auto" w:fill="auto"/>
                  <w:noWrap w:val="0"/>
                  <w:vAlign w:val="center"/>
                </w:tcPr>
                <w:p w14:paraId="48AD067A">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8台</w:t>
                  </w:r>
                </w:p>
              </w:tc>
            </w:tr>
            <w:tr w14:paraId="5DC70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52E5F7D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1755" w:type="dxa"/>
                  <w:tcBorders>
                    <w:tl2br w:val="nil"/>
                    <w:tr2bl w:val="nil"/>
                  </w:tcBorders>
                  <w:shd w:val="clear" w:color="auto" w:fill="auto"/>
                  <w:noWrap w:val="0"/>
                  <w:vAlign w:val="center"/>
                </w:tcPr>
                <w:p w14:paraId="1A64E0AD">
                  <w:pPr>
                    <w:pStyle w:val="52"/>
                    <w:rPr>
                      <w:rFonts w:hint="eastAsia" w:ascii="Times New Roman" w:hAnsi="Times New Roman" w:eastAsia="Times New Roman" w:cs="Times New Roman"/>
                      <w:color w:val="auto"/>
                      <w:kern w:val="2"/>
                      <w:sz w:val="21"/>
                      <w:szCs w:val="24"/>
                      <w:lang w:val="en-US" w:eastAsia="zh-CN" w:bidi="ar-SA"/>
                    </w:rPr>
                  </w:pPr>
                  <w:r>
                    <w:rPr>
                      <w:color w:val="auto"/>
                    </w:rPr>
                    <w:t>电磁加温器</w:t>
                  </w:r>
                </w:p>
              </w:tc>
              <w:tc>
                <w:tcPr>
                  <w:tcW w:w="2340" w:type="dxa"/>
                  <w:tcBorders>
                    <w:tl2br w:val="nil"/>
                    <w:tr2bl w:val="nil"/>
                  </w:tcBorders>
                  <w:shd w:val="clear" w:color="auto" w:fill="auto"/>
                  <w:noWrap w:val="0"/>
                  <w:vAlign w:val="center"/>
                </w:tcPr>
                <w:p w14:paraId="1DE2196D">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4台</w:t>
                  </w:r>
                </w:p>
              </w:tc>
              <w:tc>
                <w:tcPr>
                  <w:tcW w:w="2547" w:type="dxa"/>
                  <w:tcBorders>
                    <w:tl2br w:val="nil"/>
                    <w:tr2bl w:val="nil"/>
                  </w:tcBorders>
                  <w:shd w:val="clear" w:color="auto" w:fill="auto"/>
                  <w:noWrap w:val="0"/>
                  <w:vAlign w:val="center"/>
                </w:tcPr>
                <w:p w14:paraId="1A267F62">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3台</w:t>
                  </w:r>
                </w:p>
              </w:tc>
            </w:tr>
            <w:tr w14:paraId="025AF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5CF53EB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755" w:type="dxa"/>
                  <w:tcBorders>
                    <w:tl2br w:val="nil"/>
                    <w:tr2bl w:val="nil"/>
                  </w:tcBorders>
                  <w:shd w:val="clear" w:color="auto" w:fill="auto"/>
                  <w:noWrap w:val="0"/>
                  <w:vAlign w:val="center"/>
                </w:tcPr>
                <w:p w14:paraId="11BB4F50">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挤出机</w:t>
                  </w:r>
                </w:p>
              </w:tc>
              <w:tc>
                <w:tcPr>
                  <w:tcW w:w="2340" w:type="dxa"/>
                  <w:tcBorders>
                    <w:tl2br w:val="nil"/>
                    <w:tr2bl w:val="nil"/>
                  </w:tcBorders>
                  <w:shd w:val="clear" w:color="auto" w:fill="auto"/>
                  <w:noWrap w:val="0"/>
                  <w:vAlign w:val="center"/>
                </w:tcPr>
                <w:p w14:paraId="4C25DAD3">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4</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6A288053">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4</w:t>
                  </w:r>
                  <w:r>
                    <w:rPr>
                      <w:rFonts w:hint="eastAsia" w:eastAsia="宋体"/>
                      <w:color w:val="auto"/>
                      <w:lang w:val="en-US" w:eastAsia="zh-CN"/>
                    </w:rPr>
                    <w:t>台</w:t>
                  </w:r>
                </w:p>
              </w:tc>
            </w:tr>
            <w:tr w14:paraId="5A1A3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08C9E15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1755" w:type="dxa"/>
                  <w:tcBorders>
                    <w:tl2br w:val="nil"/>
                    <w:tr2bl w:val="nil"/>
                  </w:tcBorders>
                  <w:shd w:val="clear" w:color="auto" w:fill="auto"/>
                  <w:noWrap w:val="0"/>
                  <w:vAlign w:val="center"/>
                </w:tcPr>
                <w:p w14:paraId="1D96201F">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脱浆机</w:t>
                  </w:r>
                </w:p>
              </w:tc>
              <w:tc>
                <w:tcPr>
                  <w:tcW w:w="2340" w:type="dxa"/>
                  <w:tcBorders>
                    <w:tl2br w:val="nil"/>
                    <w:tr2bl w:val="nil"/>
                  </w:tcBorders>
                  <w:shd w:val="clear" w:color="auto" w:fill="auto"/>
                  <w:noWrap w:val="0"/>
                  <w:vAlign w:val="center"/>
                </w:tcPr>
                <w:p w14:paraId="06D0B02D">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3A692DA2">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r w14:paraId="2BFFF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0413FB8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1755" w:type="dxa"/>
                  <w:tcBorders>
                    <w:tl2br w:val="nil"/>
                    <w:tr2bl w:val="nil"/>
                  </w:tcBorders>
                  <w:shd w:val="clear" w:color="auto" w:fill="auto"/>
                  <w:noWrap w:val="0"/>
                  <w:vAlign w:val="center"/>
                </w:tcPr>
                <w:p w14:paraId="13301979">
                  <w:pPr>
                    <w:pStyle w:val="52"/>
                    <w:rPr>
                      <w:rFonts w:hint="eastAsia" w:ascii="Times New Roman" w:hAnsi="Times New Roman" w:eastAsia="Times New Roman" w:cs="Times New Roman"/>
                      <w:color w:val="auto"/>
                      <w:kern w:val="2"/>
                      <w:sz w:val="21"/>
                      <w:szCs w:val="24"/>
                      <w:lang w:val="en-US" w:eastAsia="zh-CN" w:bidi="ar-SA"/>
                    </w:rPr>
                  </w:pPr>
                  <w:r>
                    <w:rPr>
                      <w:color w:val="auto"/>
                    </w:rPr>
                    <w:t>切粒机</w:t>
                  </w:r>
                </w:p>
              </w:tc>
              <w:tc>
                <w:tcPr>
                  <w:tcW w:w="2340" w:type="dxa"/>
                  <w:tcBorders>
                    <w:tl2br w:val="nil"/>
                    <w:tr2bl w:val="nil"/>
                  </w:tcBorders>
                  <w:shd w:val="clear" w:color="auto" w:fill="auto"/>
                  <w:noWrap w:val="0"/>
                  <w:vAlign w:val="center"/>
                </w:tcPr>
                <w:p w14:paraId="01924BEA">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4台</w:t>
                  </w:r>
                </w:p>
              </w:tc>
              <w:tc>
                <w:tcPr>
                  <w:tcW w:w="2547" w:type="dxa"/>
                  <w:tcBorders>
                    <w:tl2br w:val="nil"/>
                    <w:tr2bl w:val="nil"/>
                  </w:tcBorders>
                  <w:shd w:val="clear" w:color="auto" w:fill="auto"/>
                  <w:noWrap w:val="0"/>
                  <w:vAlign w:val="center"/>
                </w:tcPr>
                <w:p w14:paraId="67C4E4C2">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3台</w:t>
                  </w:r>
                </w:p>
              </w:tc>
            </w:tr>
            <w:tr w14:paraId="3E8F6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13503F6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1755" w:type="dxa"/>
                  <w:tcBorders>
                    <w:tl2br w:val="nil"/>
                    <w:tr2bl w:val="nil"/>
                  </w:tcBorders>
                  <w:shd w:val="clear" w:color="auto" w:fill="auto"/>
                  <w:noWrap w:val="0"/>
                  <w:vAlign w:val="center"/>
                </w:tcPr>
                <w:p w14:paraId="1C8AAE6A">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链板式输送带</w:t>
                  </w:r>
                </w:p>
              </w:tc>
              <w:tc>
                <w:tcPr>
                  <w:tcW w:w="2340" w:type="dxa"/>
                  <w:tcBorders>
                    <w:tl2br w:val="nil"/>
                    <w:tr2bl w:val="nil"/>
                  </w:tcBorders>
                  <w:shd w:val="clear" w:color="auto" w:fill="auto"/>
                  <w:noWrap w:val="0"/>
                  <w:vAlign w:val="center"/>
                </w:tcPr>
                <w:p w14:paraId="75EFE376">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3258E529">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r>
            <w:tr w14:paraId="1C875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768F5F6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1755" w:type="dxa"/>
                  <w:tcBorders>
                    <w:tl2br w:val="nil"/>
                    <w:tr2bl w:val="nil"/>
                  </w:tcBorders>
                  <w:shd w:val="clear" w:color="auto" w:fill="auto"/>
                  <w:noWrap w:val="0"/>
                  <w:vAlign w:val="center"/>
                </w:tcPr>
                <w:p w14:paraId="34355DDF">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金属分选机</w:t>
                  </w:r>
                </w:p>
              </w:tc>
              <w:tc>
                <w:tcPr>
                  <w:tcW w:w="2340" w:type="dxa"/>
                  <w:tcBorders>
                    <w:tl2br w:val="nil"/>
                    <w:tr2bl w:val="nil"/>
                  </w:tcBorders>
                  <w:shd w:val="clear" w:color="auto" w:fill="auto"/>
                  <w:noWrap w:val="0"/>
                  <w:vAlign w:val="center"/>
                </w:tcPr>
                <w:p w14:paraId="69317C27">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2B9E38AA">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r w14:paraId="77B6E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256627C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1755" w:type="dxa"/>
                  <w:tcBorders>
                    <w:tl2br w:val="nil"/>
                    <w:tr2bl w:val="nil"/>
                  </w:tcBorders>
                  <w:shd w:val="clear" w:color="auto" w:fill="auto"/>
                  <w:noWrap w:val="0"/>
                  <w:vAlign w:val="center"/>
                </w:tcPr>
                <w:p w14:paraId="23C1AE09">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圆池初处理</w:t>
                  </w:r>
                </w:p>
              </w:tc>
              <w:tc>
                <w:tcPr>
                  <w:tcW w:w="2340" w:type="dxa"/>
                  <w:tcBorders>
                    <w:tl2br w:val="nil"/>
                    <w:tr2bl w:val="nil"/>
                  </w:tcBorders>
                  <w:shd w:val="clear" w:color="auto" w:fill="auto"/>
                  <w:noWrap w:val="0"/>
                  <w:vAlign w:val="center"/>
                </w:tcPr>
                <w:p w14:paraId="6E840817">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6CD55F29">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r>
            <w:tr w14:paraId="40F72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723777A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w:t>
                  </w:r>
                </w:p>
              </w:tc>
              <w:tc>
                <w:tcPr>
                  <w:tcW w:w="1755" w:type="dxa"/>
                  <w:tcBorders>
                    <w:tl2br w:val="nil"/>
                    <w:tr2bl w:val="nil"/>
                  </w:tcBorders>
                  <w:shd w:val="clear" w:color="auto" w:fill="auto"/>
                  <w:noWrap w:val="0"/>
                  <w:vAlign w:val="center"/>
                </w:tcPr>
                <w:p w14:paraId="54D6237A">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纸塑分离机</w:t>
                  </w:r>
                </w:p>
              </w:tc>
              <w:tc>
                <w:tcPr>
                  <w:tcW w:w="2340" w:type="dxa"/>
                  <w:tcBorders>
                    <w:tl2br w:val="nil"/>
                    <w:tr2bl w:val="nil"/>
                  </w:tcBorders>
                  <w:shd w:val="clear" w:color="auto" w:fill="auto"/>
                  <w:noWrap w:val="0"/>
                  <w:vAlign w:val="center"/>
                </w:tcPr>
                <w:p w14:paraId="1FC6D16B">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293B3CEB">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r w14:paraId="3C85B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050AB59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w:t>
                  </w:r>
                </w:p>
              </w:tc>
              <w:tc>
                <w:tcPr>
                  <w:tcW w:w="1755" w:type="dxa"/>
                  <w:tcBorders>
                    <w:tl2br w:val="nil"/>
                    <w:tr2bl w:val="nil"/>
                  </w:tcBorders>
                  <w:shd w:val="clear" w:color="auto" w:fill="auto"/>
                  <w:noWrap w:val="0"/>
                  <w:vAlign w:val="center"/>
                </w:tcPr>
                <w:p w14:paraId="0ABD7A01">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槽型漂洗池</w:t>
                  </w:r>
                </w:p>
              </w:tc>
              <w:tc>
                <w:tcPr>
                  <w:tcW w:w="2340" w:type="dxa"/>
                  <w:tcBorders>
                    <w:tl2br w:val="nil"/>
                    <w:tr2bl w:val="nil"/>
                  </w:tcBorders>
                  <w:shd w:val="clear" w:color="auto" w:fill="auto"/>
                  <w:noWrap w:val="0"/>
                  <w:vAlign w:val="center"/>
                </w:tcPr>
                <w:p w14:paraId="54A57F73">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1台</w:t>
                  </w:r>
                </w:p>
              </w:tc>
              <w:tc>
                <w:tcPr>
                  <w:tcW w:w="2547" w:type="dxa"/>
                  <w:tcBorders>
                    <w:tl2br w:val="nil"/>
                    <w:tr2bl w:val="nil"/>
                  </w:tcBorders>
                  <w:shd w:val="clear" w:color="auto" w:fill="auto"/>
                  <w:noWrap w:val="0"/>
                  <w:vAlign w:val="center"/>
                </w:tcPr>
                <w:p w14:paraId="28EB3A2F">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1台</w:t>
                  </w:r>
                </w:p>
              </w:tc>
            </w:tr>
            <w:tr w14:paraId="05A3D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728FE3A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1755" w:type="dxa"/>
                  <w:tcBorders>
                    <w:tl2br w:val="nil"/>
                    <w:tr2bl w:val="nil"/>
                  </w:tcBorders>
                  <w:shd w:val="clear" w:color="auto" w:fill="auto"/>
                  <w:noWrap w:val="0"/>
                  <w:vAlign w:val="center"/>
                </w:tcPr>
                <w:p w14:paraId="0A7D0182">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纸塑分离机</w:t>
                  </w:r>
                </w:p>
              </w:tc>
              <w:tc>
                <w:tcPr>
                  <w:tcW w:w="2340" w:type="dxa"/>
                  <w:tcBorders>
                    <w:tl2br w:val="nil"/>
                    <w:tr2bl w:val="nil"/>
                  </w:tcBorders>
                  <w:shd w:val="clear" w:color="auto" w:fill="auto"/>
                  <w:noWrap w:val="0"/>
                  <w:vAlign w:val="center"/>
                </w:tcPr>
                <w:p w14:paraId="2786D2CC">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4CE0A4B1">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r w14:paraId="63AA3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3640490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1755" w:type="dxa"/>
                  <w:tcBorders>
                    <w:tl2br w:val="nil"/>
                    <w:tr2bl w:val="nil"/>
                  </w:tcBorders>
                  <w:shd w:val="clear" w:color="auto" w:fill="auto"/>
                  <w:noWrap w:val="0"/>
                  <w:vAlign w:val="center"/>
                </w:tcPr>
                <w:p w14:paraId="091C3B9C">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橡带式输送带</w:t>
                  </w:r>
                </w:p>
              </w:tc>
              <w:tc>
                <w:tcPr>
                  <w:tcW w:w="2340" w:type="dxa"/>
                  <w:tcBorders>
                    <w:tl2br w:val="nil"/>
                    <w:tr2bl w:val="nil"/>
                  </w:tcBorders>
                  <w:shd w:val="clear" w:color="auto" w:fill="auto"/>
                  <w:noWrap w:val="0"/>
                  <w:vAlign w:val="center"/>
                </w:tcPr>
                <w:p w14:paraId="7CB0BD5E">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02873F81">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r w14:paraId="217C4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049FB66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w:t>
                  </w:r>
                </w:p>
              </w:tc>
              <w:tc>
                <w:tcPr>
                  <w:tcW w:w="1755" w:type="dxa"/>
                  <w:tcBorders>
                    <w:tl2br w:val="nil"/>
                    <w:tr2bl w:val="nil"/>
                  </w:tcBorders>
                  <w:shd w:val="clear" w:color="auto" w:fill="auto"/>
                  <w:noWrap w:val="0"/>
                  <w:vAlign w:val="center"/>
                </w:tcPr>
                <w:p w14:paraId="781C9A07">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液压打包机</w:t>
                  </w:r>
                </w:p>
              </w:tc>
              <w:tc>
                <w:tcPr>
                  <w:tcW w:w="2340" w:type="dxa"/>
                  <w:tcBorders>
                    <w:tl2br w:val="nil"/>
                    <w:tr2bl w:val="nil"/>
                  </w:tcBorders>
                  <w:shd w:val="clear" w:color="auto" w:fill="auto"/>
                  <w:noWrap w:val="0"/>
                  <w:vAlign w:val="center"/>
                </w:tcPr>
                <w:p w14:paraId="117ABEFB">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14526778">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r>
            <w:tr w14:paraId="5E1C8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4717099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1755" w:type="dxa"/>
                  <w:tcBorders>
                    <w:tl2br w:val="nil"/>
                    <w:tr2bl w:val="nil"/>
                  </w:tcBorders>
                  <w:shd w:val="clear" w:color="auto" w:fill="auto"/>
                  <w:noWrap w:val="0"/>
                  <w:vAlign w:val="center"/>
                </w:tcPr>
                <w:p w14:paraId="7A6C52A5">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装载机</w:t>
                  </w:r>
                </w:p>
              </w:tc>
              <w:tc>
                <w:tcPr>
                  <w:tcW w:w="2340" w:type="dxa"/>
                  <w:tcBorders>
                    <w:tl2br w:val="nil"/>
                    <w:tr2bl w:val="nil"/>
                  </w:tcBorders>
                  <w:shd w:val="clear" w:color="auto" w:fill="auto"/>
                  <w:noWrap w:val="0"/>
                  <w:vAlign w:val="center"/>
                </w:tcPr>
                <w:p w14:paraId="193F9A30">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3E3A2D3F">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r w14:paraId="5D9B4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43E0CA7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1755" w:type="dxa"/>
                  <w:tcBorders>
                    <w:tl2br w:val="nil"/>
                    <w:tr2bl w:val="nil"/>
                  </w:tcBorders>
                  <w:shd w:val="clear" w:color="auto" w:fill="auto"/>
                  <w:noWrap w:val="0"/>
                  <w:vAlign w:val="center"/>
                </w:tcPr>
                <w:p w14:paraId="0BB65880">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冷却塔</w:t>
                  </w:r>
                </w:p>
              </w:tc>
              <w:tc>
                <w:tcPr>
                  <w:tcW w:w="2340" w:type="dxa"/>
                  <w:tcBorders>
                    <w:tl2br w:val="nil"/>
                    <w:tr2bl w:val="nil"/>
                  </w:tcBorders>
                  <w:shd w:val="clear" w:color="auto" w:fill="auto"/>
                  <w:noWrap w:val="0"/>
                  <w:vAlign w:val="center"/>
                </w:tcPr>
                <w:p w14:paraId="525AC0DF">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4台</w:t>
                  </w:r>
                </w:p>
              </w:tc>
              <w:tc>
                <w:tcPr>
                  <w:tcW w:w="2547" w:type="dxa"/>
                  <w:tcBorders>
                    <w:tl2br w:val="nil"/>
                    <w:tr2bl w:val="nil"/>
                  </w:tcBorders>
                  <w:shd w:val="clear" w:color="auto" w:fill="auto"/>
                  <w:noWrap w:val="0"/>
                  <w:vAlign w:val="center"/>
                </w:tcPr>
                <w:p w14:paraId="67943209">
                  <w:pPr>
                    <w:pStyle w:val="52"/>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lang w:val="en-US" w:eastAsia="zh-CN"/>
                    </w:rPr>
                    <w:t>3台</w:t>
                  </w:r>
                </w:p>
              </w:tc>
            </w:tr>
            <w:tr w14:paraId="56267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1DA7880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w:t>
                  </w:r>
                </w:p>
              </w:tc>
              <w:tc>
                <w:tcPr>
                  <w:tcW w:w="1755" w:type="dxa"/>
                  <w:tcBorders>
                    <w:tl2br w:val="nil"/>
                    <w:tr2bl w:val="nil"/>
                  </w:tcBorders>
                  <w:shd w:val="clear" w:color="auto" w:fill="auto"/>
                  <w:noWrap w:val="0"/>
                  <w:vAlign w:val="center"/>
                </w:tcPr>
                <w:p w14:paraId="01C265C6">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叉车</w:t>
                  </w:r>
                </w:p>
              </w:tc>
              <w:tc>
                <w:tcPr>
                  <w:tcW w:w="2340" w:type="dxa"/>
                  <w:tcBorders>
                    <w:tl2br w:val="nil"/>
                    <w:tr2bl w:val="nil"/>
                  </w:tcBorders>
                  <w:shd w:val="clear" w:color="auto" w:fill="auto"/>
                  <w:noWrap w:val="0"/>
                  <w:vAlign w:val="center"/>
                </w:tcPr>
                <w:p w14:paraId="6844174E">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6526548F">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2</w:t>
                  </w:r>
                  <w:r>
                    <w:rPr>
                      <w:rFonts w:hint="eastAsia" w:eastAsia="宋体"/>
                      <w:color w:val="auto"/>
                      <w:lang w:val="en-US" w:eastAsia="zh-CN"/>
                    </w:rPr>
                    <w:t>台</w:t>
                  </w:r>
                </w:p>
              </w:tc>
            </w:tr>
            <w:tr w14:paraId="2DDD6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83" w:type="dxa"/>
                  <w:tcBorders>
                    <w:tl2br w:val="nil"/>
                    <w:tr2bl w:val="nil"/>
                  </w:tcBorders>
                  <w:shd w:val="clear" w:color="auto" w:fill="auto"/>
                  <w:noWrap w:val="0"/>
                  <w:vAlign w:val="center"/>
                </w:tcPr>
                <w:p w14:paraId="57E0B6B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755" w:type="dxa"/>
                  <w:tcBorders>
                    <w:tl2br w:val="nil"/>
                    <w:tr2bl w:val="nil"/>
                  </w:tcBorders>
                  <w:shd w:val="clear" w:color="auto" w:fill="auto"/>
                  <w:noWrap w:val="0"/>
                  <w:vAlign w:val="center"/>
                </w:tcPr>
                <w:p w14:paraId="7DEA338B">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抱车</w:t>
                  </w:r>
                </w:p>
              </w:tc>
              <w:tc>
                <w:tcPr>
                  <w:tcW w:w="2340" w:type="dxa"/>
                  <w:tcBorders>
                    <w:tl2br w:val="nil"/>
                    <w:tr2bl w:val="nil"/>
                  </w:tcBorders>
                  <w:shd w:val="clear" w:color="auto" w:fill="auto"/>
                  <w:noWrap w:val="0"/>
                  <w:vAlign w:val="center"/>
                </w:tcPr>
                <w:p w14:paraId="295D2DE1">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c>
                <w:tcPr>
                  <w:tcW w:w="2547" w:type="dxa"/>
                  <w:tcBorders>
                    <w:tl2br w:val="nil"/>
                    <w:tr2bl w:val="nil"/>
                  </w:tcBorders>
                  <w:shd w:val="clear" w:color="auto" w:fill="auto"/>
                  <w:noWrap w:val="0"/>
                  <w:vAlign w:val="center"/>
                </w:tcPr>
                <w:p w14:paraId="06930B1D">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1</w:t>
                  </w:r>
                  <w:r>
                    <w:rPr>
                      <w:rFonts w:hint="eastAsia" w:eastAsia="宋体"/>
                      <w:color w:val="auto"/>
                      <w:lang w:val="en-US" w:eastAsia="zh-CN"/>
                    </w:rPr>
                    <w:t>台</w:t>
                  </w:r>
                </w:p>
              </w:tc>
            </w:tr>
          </w:tbl>
          <w:p w14:paraId="6B97D3B1">
            <w:pPr>
              <w:numPr>
                <w:ilvl w:val="0"/>
                <w:numId w:val="0"/>
              </w:numPr>
              <w:spacing w:beforeLines="0" w:afterLines="0" w:line="360" w:lineRule="auto"/>
              <w:ind w:leftChars="200"/>
              <w:rPr>
                <w:rFonts w:hint="eastAsia" w:ascii="宋体" w:eastAsia="宋体"/>
                <w:color w:val="auto"/>
                <w:sz w:val="24"/>
                <w:szCs w:val="24"/>
              </w:rPr>
            </w:pPr>
            <w:r>
              <w:rPr>
                <w:rFonts w:hint="eastAsia" w:ascii="宋体" w:eastAsia="宋体"/>
                <w:color w:val="auto"/>
                <w:kern w:val="21"/>
                <w:sz w:val="24"/>
                <w:szCs w:val="24"/>
              </w:rPr>
              <w:t>（4）</w:t>
            </w:r>
            <w:r>
              <w:rPr>
                <w:rFonts w:hint="eastAsia" w:ascii="宋体" w:eastAsia="宋体"/>
                <w:color w:val="auto"/>
                <w:kern w:val="21"/>
                <w:sz w:val="24"/>
                <w:szCs w:val="24"/>
                <w:lang w:val="en-US" w:eastAsia="zh-CN"/>
              </w:rPr>
              <w:t>技改前</w:t>
            </w:r>
            <w:r>
              <w:rPr>
                <w:rFonts w:hint="eastAsia" w:ascii="宋体" w:eastAsia="宋体"/>
                <w:color w:val="auto"/>
                <w:kern w:val="21"/>
                <w:sz w:val="24"/>
                <w:szCs w:val="24"/>
              </w:rPr>
              <w:t>项目</w:t>
            </w:r>
            <w:r>
              <w:rPr>
                <w:rFonts w:hint="eastAsia" w:ascii="宋体" w:eastAsia="宋体"/>
                <w:color w:val="auto"/>
                <w:sz w:val="24"/>
                <w:szCs w:val="24"/>
              </w:rPr>
              <w:t>劳动定员及劳动制度：</w:t>
            </w:r>
          </w:p>
          <w:p w14:paraId="38474C99">
            <w:pPr>
              <w:pStyle w:val="55"/>
              <w:spacing w:before="0" w:beforeLines="0" w:after="0" w:afterLines="0" w:line="360" w:lineRule="auto"/>
              <w:ind w:right="0" w:firstLine="480" w:firstLineChars="200"/>
              <w:jc w:val="both"/>
              <w:rPr>
                <w:rFonts w:hint="default" w:ascii="Times New Roman" w:eastAsia="Times New Roman"/>
                <w:b w:val="0"/>
                <w:color w:val="auto"/>
                <w:kern w:val="21"/>
                <w:sz w:val="24"/>
                <w:szCs w:val="24"/>
              </w:rPr>
            </w:pPr>
            <w:r>
              <w:rPr>
                <w:rFonts w:hint="eastAsia"/>
                <w:b w:val="0"/>
                <w:color w:val="auto"/>
                <w:kern w:val="21"/>
                <w:sz w:val="24"/>
                <w:szCs w:val="28"/>
              </w:rPr>
              <w:t>劳动定员10人，均不在厂区食宿，每日</w:t>
            </w:r>
            <w:r>
              <w:rPr>
                <w:rFonts w:hint="eastAsia"/>
                <w:b w:val="0"/>
                <w:color w:val="auto"/>
                <w:kern w:val="21"/>
                <w:sz w:val="24"/>
                <w:szCs w:val="28"/>
                <w:lang w:val="en-US" w:eastAsia="zh-CN"/>
              </w:rPr>
              <w:t>2</w:t>
            </w:r>
            <w:r>
              <w:rPr>
                <w:rFonts w:hint="eastAsia"/>
                <w:b w:val="0"/>
                <w:color w:val="auto"/>
                <w:kern w:val="21"/>
                <w:sz w:val="24"/>
                <w:szCs w:val="28"/>
              </w:rPr>
              <w:t>班制，每班工作8小时，年工作300天</w:t>
            </w:r>
            <w:r>
              <w:rPr>
                <w:rFonts w:hint="eastAsia"/>
                <w:b w:val="0"/>
                <w:color w:val="auto"/>
                <w:kern w:val="21"/>
                <w:sz w:val="24"/>
                <w:szCs w:val="24"/>
              </w:rPr>
              <w:t>。</w:t>
            </w:r>
          </w:p>
          <w:p w14:paraId="4D34B93D">
            <w:pPr>
              <w:pStyle w:val="46"/>
              <w:numPr>
                <w:ilvl w:val="0"/>
                <w:numId w:val="0"/>
              </w:numPr>
              <w:spacing w:beforeLines="0" w:afterLines="0"/>
              <w:ind w:left="480" w:firstLine="0"/>
              <w:jc w:val="both"/>
              <w:rPr>
                <w:rFonts w:hint="eastAsia"/>
                <w:color w:val="auto"/>
                <w:sz w:val="24"/>
                <w:szCs w:val="24"/>
              </w:rPr>
            </w:pPr>
            <w:r>
              <w:rPr>
                <w:rFonts w:hint="eastAsia"/>
                <w:color w:val="auto"/>
                <w:kern w:val="21"/>
                <w:sz w:val="24"/>
                <w:szCs w:val="24"/>
              </w:rPr>
              <w:t>（5）</w:t>
            </w:r>
            <w:r>
              <w:rPr>
                <w:rFonts w:hint="eastAsia" w:eastAsia="宋体"/>
                <w:color w:val="auto"/>
                <w:kern w:val="21"/>
                <w:sz w:val="24"/>
                <w:szCs w:val="24"/>
                <w:lang w:val="en-US" w:eastAsia="zh-CN"/>
              </w:rPr>
              <w:t>技改前</w:t>
            </w:r>
            <w:r>
              <w:rPr>
                <w:rFonts w:hint="eastAsia"/>
                <w:color w:val="auto"/>
                <w:kern w:val="21"/>
                <w:sz w:val="24"/>
                <w:szCs w:val="24"/>
              </w:rPr>
              <w:t>现有项目生产工艺</w:t>
            </w:r>
            <w:r>
              <w:rPr>
                <w:rFonts w:hint="eastAsia"/>
                <w:color w:val="auto"/>
                <w:sz w:val="24"/>
                <w:szCs w:val="24"/>
              </w:rPr>
              <w:t>：</w:t>
            </w:r>
          </w:p>
          <w:p w14:paraId="45BAB33F">
            <w:pPr>
              <w:pStyle w:val="46"/>
              <w:numPr>
                <w:ilvl w:val="0"/>
                <w:numId w:val="0"/>
              </w:numPr>
              <w:spacing w:beforeLines="0" w:afterLines="0"/>
              <w:ind w:firstLine="0"/>
              <w:jc w:val="center"/>
              <w:rPr>
                <w:rFonts w:hint="eastAsia"/>
                <w:b/>
                <w:color w:val="auto"/>
                <w:sz w:val="21"/>
                <w:szCs w:val="21"/>
              </w:rPr>
            </w:pPr>
            <w:r>
              <w:rPr>
                <w:color w:val="auto"/>
              </w:rPr>
              <w:drawing>
                <wp:inline distT="0" distB="0" distL="114300" distR="114300">
                  <wp:extent cx="4381500" cy="5506085"/>
                  <wp:effectExtent l="0" t="0" r="0" b="1841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2"/>
                          <a:stretch>
                            <a:fillRect/>
                          </a:stretch>
                        </pic:blipFill>
                        <pic:spPr>
                          <a:xfrm>
                            <a:off x="0" y="0"/>
                            <a:ext cx="4381500" cy="5506085"/>
                          </a:xfrm>
                          <a:prstGeom prst="rect">
                            <a:avLst/>
                          </a:prstGeom>
                          <a:noFill/>
                          <a:ln>
                            <a:noFill/>
                          </a:ln>
                        </pic:spPr>
                      </pic:pic>
                    </a:graphicData>
                  </a:graphic>
                </wp:inline>
              </w:drawing>
            </w:r>
          </w:p>
          <w:p w14:paraId="38CC51BB">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firstLine="0"/>
              <w:jc w:val="center"/>
              <w:textAlignment w:val="auto"/>
              <w:rPr>
                <w:rFonts w:hint="eastAsia"/>
                <w:b/>
                <w:color w:val="auto"/>
                <w:sz w:val="21"/>
                <w:szCs w:val="21"/>
              </w:rPr>
            </w:pPr>
            <w:r>
              <w:rPr>
                <w:rFonts w:hint="eastAsia"/>
                <w:b/>
                <w:color w:val="auto"/>
                <w:sz w:val="21"/>
                <w:szCs w:val="21"/>
              </w:rPr>
              <w:t>图2-</w:t>
            </w:r>
            <w:r>
              <w:rPr>
                <w:rFonts w:hint="eastAsia"/>
                <w:b/>
                <w:color w:val="auto"/>
                <w:sz w:val="21"/>
                <w:szCs w:val="21"/>
                <w:lang w:val="en-US" w:eastAsia="zh-CN"/>
              </w:rPr>
              <w:t>4</w:t>
            </w:r>
            <w:r>
              <w:rPr>
                <w:rFonts w:hint="eastAsia"/>
                <w:b/>
                <w:color w:val="auto"/>
                <w:sz w:val="21"/>
                <w:szCs w:val="21"/>
              </w:rPr>
              <w:t xml:space="preserve">   </w:t>
            </w:r>
            <w:r>
              <w:rPr>
                <w:rFonts w:hint="eastAsia" w:eastAsia="宋体"/>
                <w:b/>
                <w:color w:val="auto"/>
                <w:sz w:val="21"/>
                <w:szCs w:val="21"/>
                <w:lang w:val="en-US" w:eastAsia="zh-CN"/>
              </w:rPr>
              <w:t>技改前</w:t>
            </w:r>
            <w:r>
              <w:rPr>
                <w:rFonts w:hint="eastAsia"/>
                <w:b/>
                <w:color w:val="auto"/>
                <w:sz w:val="21"/>
                <w:szCs w:val="21"/>
              </w:rPr>
              <w:t>项目工艺流程及产污环节图</w:t>
            </w:r>
          </w:p>
          <w:p w14:paraId="17E182A4">
            <w:pPr>
              <w:pStyle w:val="46"/>
              <w:spacing w:beforeLines="0" w:afterLines="0"/>
              <w:jc w:val="both"/>
              <w:rPr>
                <w:rFonts w:hint="eastAsia" w:cs="宋体"/>
                <w:color w:val="auto"/>
                <w:sz w:val="24"/>
                <w:szCs w:val="24"/>
              </w:rPr>
            </w:pPr>
            <w:r>
              <w:rPr>
                <w:rFonts w:hint="eastAsia"/>
                <w:color w:val="auto"/>
                <w:sz w:val="24"/>
                <w:szCs w:val="24"/>
              </w:rPr>
              <w:t>（4）</w:t>
            </w:r>
            <w:r>
              <w:rPr>
                <w:rFonts w:hint="eastAsia" w:cs="宋体"/>
                <w:color w:val="auto"/>
                <w:sz w:val="24"/>
                <w:szCs w:val="24"/>
              </w:rPr>
              <w:t>现有项目主要污染源情况</w:t>
            </w:r>
          </w:p>
          <w:p w14:paraId="41A11978">
            <w:pPr>
              <w:jc w:val="center"/>
              <w:rPr>
                <w:rFonts w:hAnsi="宋体"/>
                <w:b/>
                <w:bCs/>
                <w:color w:val="auto"/>
                <w:szCs w:val="21"/>
              </w:rPr>
            </w:pPr>
            <w:r>
              <w:rPr>
                <w:rFonts w:hint="eastAsia" w:hAnsi="宋体"/>
                <w:b/>
                <w:bCs/>
                <w:color w:val="auto"/>
                <w:szCs w:val="21"/>
              </w:rPr>
              <w:t>表</w:t>
            </w:r>
            <w:r>
              <w:rPr>
                <w:rFonts w:hint="eastAsia" w:hAnsi="宋体" w:eastAsia="宋体"/>
                <w:b/>
                <w:bCs/>
                <w:color w:val="auto"/>
                <w:szCs w:val="21"/>
                <w:lang w:val="en-US" w:eastAsia="zh-CN"/>
              </w:rPr>
              <w:t>2-11</w:t>
            </w:r>
            <w:r>
              <w:rPr>
                <w:rFonts w:hint="eastAsia" w:hAnsi="宋体"/>
                <w:b/>
                <w:bCs/>
                <w:color w:val="auto"/>
                <w:szCs w:val="21"/>
              </w:rPr>
              <w:t xml:space="preserve">  </w:t>
            </w:r>
            <w:r>
              <w:rPr>
                <w:rFonts w:hint="eastAsia" w:hAnsi="宋体" w:eastAsia="宋体"/>
                <w:b/>
                <w:bCs/>
                <w:color w:val="auto"/>
                <w:szCs w:val="21"/>
                <w:lang w:val="en-US" w:eastAsia="zh-CN"/>
              </w:rPr>
              <w:t>技改前</w:t>
            </w:r>
            <w:r>
              <w:rPr>
                <w:rFonts w:hint="eastAsia" w:hAnsi="宋体"/>
                <w:b/>
                <w:bCs/>
                <w:color w:val="auto"/>
                <w:szCs w:val="21"/>
              </w:rPr>
              <w:t>造粒生产产污情况一览表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916"/>
              <w:gridCol w:w="2917"/>
              <w:gridCol w:w="1952"/>
            </w:tblGrid>
            <w:tr w14:paraId="280D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gridSpan w:val="2"/>
                  <w:tcBorders>
                    <w:top w:val="single" w:color="auto" w:sz="12" w:space="0"/>
                    <w:left w:val="nil"/>
                  </w:tcBorders>
                  <w:vAlign w:val="center"/>
                </w:tcPr>
                <w:p w14:paraId="4F165077">
                  <w:pPr>
                    <w:jc w:val="center"/>
                    <w:rPr>
                      <w:rFonts w:hAnsi="宋体"/>
                      <w:color w:val="auto"/>
                      <w:szCs w:val="21"/>
                    </w:rPr>
                  </w:pPr>
                  <w:r>
                    <w:rPr>
                      <w:rFonts w:hint="eastAsia" w:hAnsi="宋体"/>
                      <w:color w:val="auto"/>
                      <w:szCs w:val="21"/>
                    </w:rPr>
                    <w:t>类别</w:t>
                  </w:r>
                </w:p>
              </w:tc>
              <w:tc>
                <w:tcPr>
                  <w:tcW w:w="3330" w:type="dxa"/>
                  <w:tcBorders>
                    <w:top w:val="single" w:color="auto" w:sz="12" w:space="0"/>
                  </w:tcBorders>
                  <w:vAlign w:val="center"/>
                </w:tcPr>
                <w:p w14:paraId="2E39C525">
                  <w:pPr>
                    <w:jc w:val="center"/>
                    <w:rPr>
                      <w:rFonts w:hAnsi="宋体"/>
                      <w:color w:val="auto"/>
                      <w:szCs w:val="21"/>
                    </w:rPr>
                  </w:pPr>
                  <w:r>
                    <w:rPr>
                      <w:rFonts w:hint="eastAsia" w:hAnsi="宋体"/>
                      <w:color w:val="auto"/>
                      <w:szCs w:val="21"/>
                    </w:rPr>
                    <w:t>产污环节</w:t>
                  </w:r>
                </w:p>
              </w:tc>
              <w:tc>
                <w:tcPr>
                  <w:tcW w:w="2216" w:type="dxa"/>
                  <w:tcBorders>
                    <w:top w:val="single" w:color="auto" w:sz="12" w:space="0"/>
                    <w:right w:val="nil"/>
                  </w:tcBorders>
                  <w:vAlign w:val="center"/>
                </w:tcPr>
                <w:p w14:paraId="1F232A71">
                  <w:pPr>
                    <w:jc w:val="center"/>
                    <w:rPr>
                      <w:rFonts w:hAnsi="宋体"/>
                      <w:color w:val="auto"/>
                      <w:szCs w:val="21"/>
                    </w:rPr>
                  </w:pPr>
                  <w:r>
                    <w:rPr>
                      <w:rFonts w:hint="eastAsia" w:hAnsi="宋体"/>
                      <w:color w:val="auto"/>
                      <w:szCs w:val="21"/>
                    </w:rPr>
                    <w:t>主要污染物</w:t>
                  </w:r>
                </w:p>
              </w:tc>
            </w:tr>
            <w:tr w14:paraId="5C0A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left w:val="nil"/>
                  </w:tcBorders>
                  <w:vAlign w:val="center"/>
                </w:tcPr>
                <w:p w14:paraId="32397D65">
                  <w:pPr>
                    <w:jc w:val="center"/>
                    <w:rPr>
                      <w:rFonts w:hAnsi="宋体"/>
                      <w:color w:val="auto"/>
                      <w:szCs w:val="21"/>
                    </w:rPr>
                  </w:pPr>
                  <w:r>
                    <w:rPr>
                      <w:rFonts w:hint="eastAsia" w:hAnsi="宋体"/>
                      <w:color w:val="auto"/>
                      <w:szCs w:val="21"/>
                    </w:rPr>
                    <w:t>废水</w:t>
                  </w:r>
                </w:p>
              </w:tc>
              <w:tc>
                <w:tcPr>
                  <w:tcW w:w="2175" w:type="dxa"/>
                  <w:vAlign w:val="center"/>
                </w:tcPr>
                <w:p w14:paraId="359DABA6">
                  <w:pPr>
                    <w:jc w:val="center"/>
                    <w:rPr>
                      <w:rFonts w:hAnsi="宋体"/>
                      <w:color w:val="auto"/>
                      <w:szCs w:val="21"/>
                    </w:rPr>
                  </w:pPr>
                  <w:r>
                    <w:rPr>
                      <w:rFonts w:hint="eastAsia" w:hAnsi="宋体"/>
                      <w:color w:val="auto"/>
                      <w:szCs w:val="21"/>
                    </w:rPr>
                    <w:t>清洗废水</w:t>
                  </w:r>
                </w:p>
              </w:tc>
              <w:tc>
                <w:tcPr>
                  <w:tcW w:w="3330" w:type="dxa"/>
                  <w:vAlign w:val="center"/>
                </w:tcPr>
                <w:p w14:paraId="19DEADD3">
                  <w:pPr>
                    <w:jc w:val="center"/>
                    <w:rPr>
                      <w:rFonts w:hAnsi="宋体"/>
                      <w:color w:val="auto"/>
                      <w:szCs w:val="21"/>
                    </w:rPr>
                  </w:pPr>
                  <w:r>
                    <w:rPr>
                      <w:rFonts w:hint="eastAsia" w:hAnsi="宋体"/>
                      <w:color w:val="auto"/>
                      <w:szCs w:val="21"/>
                    </w:rPr>
                    <w:t>湿法撕碎、清洗生产线清洗过程</w:t>
                  </w:r>
                </w:p>
              </w:tc>
              <w:tc>
                <w:tcPr>
                  <w:tcW w:w="2216" w:type="dxa"/>
                  <w:tcBorders>
                    <w:right w:val="nil"/>
                  </w:tcBorders>
                  <w:vAlign w:val="center"/>
                </w:tcPr>
                <w:p w14:paraId="5C1EA505">
                  <w:pPr>
                    <w:jc w:val="center"/>
                    <w:rPr>
                      <w:rFonts w:hAnsi="宋体"/>
                      <w:color w:val="auto"/>
                      <w:szCs w:val="21"/>
                    </w:rPr>
                  </w:pPr>
                  <w:r>
                    <w:rPr>
                      <w:rFonts w:hint="eastAsia" w:hAnsi="宋体"/>
                      <w:color w:val="auto"/>
                      <w:szCs w:val="21"/>
                    </w:rPr>
                    <w:t>SS</w:t>
                  </w:r>
                </w:p>
              </w:tc>
            </w:tr>
            <w:tr w14:paraId="4BE2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33717D6C">
                  <w:pPr>
                    <w:jc w:val="center"/>
                    <w:rPr>
                      <w:rFonts w:hAnsi="宋体"/>
                      <w:color w:val="auto"/>
                      <w:szCs w:val="21"/>
                    </w:rPr>
                  </w:pPr>
                </w:p>
              </w:tc>
              <w:tc>
                <w:tcPr>
                  <w:tcW w:w="2175" w:type="dxa"/>
                  <w:vAlign w:val="center"/>
                </w:tcPr>
                <w:p w14:paraId="6AD93557">
                  <w:pPr>
                    <w:jc w:val="center"/>
                    <w:rPr>
                      <w:rFonts w:hAnsi="宋体"/>
                      <w:color w:val="auto"/>
                      <w:szCs w:val="21"/>
                    </w:rPr>
                  </w:pPr>
                  <w:r>
                    <w:rPr>
                      <w:rFonts w:hint="eastAsia" w:hAnsi="宋体"/>
                      <w:color w:val="auto"/>
                      <w:szCs w:val="21"/>
                    </w:rPr>
                    <w:t>生活污水</w:t>
                  </w:r>
                </w:p>
              </w:tc>
              <w:tc>
                <w:tcPr>
                  <w:tcW w:w="3330" w:type="dxa"/>
                  <w:vAlign w:val="center"/>
                </w:tcPr>
                <w:p w14:paraId="50503A5F">
                  <w:pPr>
                    <w:jc w:val="center"/>
                    <w:rPr>
                      <w:rFonts w:hAnsi="宋体"/>
                      <w:color w:val="auto"/>
                      <w:szCs w:val="21"/>
                    </w:rPr>
                  </w:pPr>
                  <w:r>
                    <w:rPr>
                      <w:rFonts w:hint="eastAsia" w:hAnsi="宋体"/>
                      <w:color w:val="auto"/>
                      <w:szCs w:val="21"/>
                    </w:rPr>
                    <w:t>办公生活</w:t>
                  </w:r>
                </w:p>
              </w:tc>
              <w:tc>
                <w:tcPr>
                  <w:tcW w:w="2216" w:type="dxa"/>
                  <w:tcBorders>
                    <w:right w:val="nil"/>
                  </w:tcBorders>
                  <w:vAlign w:val="center"/>
                </w:tcPr>
                <w:p w14:paraId="3A2308EA">
                  <w:pPr>
                    <w:jc w:val="center"/>
                    <w:rPr>
                      <w:rFonts w:hAnsi="宋体"/>
                      <w:color w:val="auto"/>
                      <w:szCs w:val="21"/>
                    </w:rPr>
                  </w:pPr>
                  <w:r>
                    <w:rPr>
                      <w:rFonts w:hint="eastAsia" w:hAnsi="宋体"/>
                      <w:color w:val="auto"/>
                      <w:szCs w:val="21"/>
                    </w:rPr>
                    <w:t>COD、BOD</w:t>
                  </w:r>
                  <w:r>
                    <w:rPr>
                      <w:rFonts w:hint="eastAsia" w:hAnsi="宋体"/>
                      <w:color w:val="auto"/>
                      <w:szCs w:val="21"/>
                      <w:vertAlign w:val="subscript"/>
                    </w:rPr>
                    <w:t>5</w:t>
                  </w:r>
                  <w:r>
                    <w:rPr>
                      <w:rFonts w:hint="eastAsia" w:hAnsi="宋体"/>
                      <w:color w:val="auto"/>
                      <w:szCs w:val="21"/>
                    </w:rPr>
                    <w:t>、NH</w:t>
                  </w:r>
                  <w:r>
                    <w:rPr>
                      <w:rFonts w:hint="eastAsia" w:hAnsi="宋体"/>
                      <w:color w:val="auto"/>
                      <w:szCs w:val="21"/>
                      <w:vertAlign w:val="subscript"/>
                    </w:rPr>
                    <w:t>3</w:t>
                  </w:r>
                  <w:r>
                    <w:rPr>
                      <w:rFonts w:hint="eastAsia" w:hAnsi="宋体"/>
                      <w:color w:val="auto"/>
                      <w:szCs w:val="21"/>
                    </w:rPr>
                    <w:t>-N、SS</w:t>
                  </w:r>
                </w:p>
              </w:tc>
            </w:tr>
            <w:tr w14:paraId="0E64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7E26461B">
                  <w:pPr>
                    <w:jc w:val="center"/>
                    <w:rPr>
                      <w:rFonts w:hAnsi="宋体"/>
                      <w:color w:val="auto"/>
                      <w:szCs w:val="21"/>
                    </w:rPr>
                  </w:pPr>
                </w:p>
              </w:tc>
              <w:tc>
                <w:tcPr>
                  <w:tcW w:w="2175" w:type="dxa"/>
                  <w:vAlign w:val="center"/>
                </w:tcPr>
                <w:p w14:paraId="683D2B30">
                  <w:pPr>
                    <w:jc w:val="center"/>
                    <w:rPr>
                      <w:rFonts w:hAnsi="宋体"/>
                      <w:color w:val="auto"/>
                      <w:szCs w:val="21"/>
                    </w:rPr>
                  </w:pPr>
                  <w:r>
                    <w:rPr>
                      <w:rFonts w:hint="eastAsia" w:hAnsi="宋体"/>
                      <w:color w:val="auto"/>
                      <w:szCs w:val="21"/>
                    </w:rPr>
                    <w:t>冷却废水</w:t>
                  </w:r>
                </w:p>
              </w:tc>
              <w:tc>
                <w:tcPr>
                  <w:tcW w:w="3330" w:type="dxa"/>
                  <w:vAlign w:val="center"/>
                </w:tcPr>
                <w:p w14:paraId="7B0306EF">
                  <w:pPr>
                    <w:jc w:val="center"/>
                    <w:rPr>
                      <w:rFonts w:hAnsi="宋体"/>
                      <w:color w:val="auto"/>
                      <w:szCs w:val="21"/>
                    </w:rPr>
                  </w:pPr>
                  <w:r>
                    <w:rPr>
                      <w:rFonts w:hint="eastAsia" w:hAnsi="宋体"/>
                      <w:color w:val="auto"/>
                      <w:szCs w:val="21"/>
                    </w:rPr>
                    <w:t>冷却工序</w:t>
                  </w:r>
                </w:p>
              </w:tc>
              <w:tc>
                <w:tcPr>
                  <w:tcW w:w="2216" w:type="dxa"/>
                  <w:tcBorders>
                    <w:right w:val="nil"/>
                  </w:tcBorders>
                  <w:vAlign w:val="center"/>
                </w:tcPr>
                <w:p w14:paraId="791EC7B3">
                  <w:pPr>
                    <w:jc w:val="center"/>
                    <w:rPr>
                      <w:rFonts w:hAnsi="宋体"/>
                      <w:color w:val="auto"/>
                      <w:szCs w:val="21"/>
                    </w:rPr>
                  </w:pPr>
                  <w:r>
                    <w:rPr>
                      <w:rFonts w:hint="eastAsia" w:hAnsi="宋体"/>
                      <w:color w:val="auto"/>
                      <w:szCs w:val="21"/>
                    </w:rPr>
                    <w:t>SS</w:t>
                  </w:r>
                </w:p>
              </w:tc>
            </w:tr>
            <w:tr w14:paraId="69B0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27D634FD">
                  <w:pPr>
                    <w:jc w:val="center"/>
                    <w:rPr>
                      <w:rFonts w:hAnsi="宋体"/>
                      <w:color w:val="auto"/>
                      <w:szCs w:val="21"/>
                    </w:rPr>
                  </w:pPr>
                </w:p>
              </w:tc>
              <w:tc>
                <w:tcPr>
                  <w:tcW w:w="2175" w:type="dxa"/>
                  <w:vAlign w:val="center"/>
                </w:tcPr>
                <w:p w14:paraId="2780C2A5">
                  <w:pPr>
                    <w:jc w:val="center"/>
                    <w:rPr>
                      <w:rFonts w:hAnsi="宋体"/>
                      <w:color w:val="auto"/>
                      <w:szCs w:val="21"/>
                    </w:rPr>
                  </w:pPr>
                  <w:r>
                    <w:rPr>
                      <w:rFonts w:hint="eastAsia" w:hAnsi="宋体"/>
                      <w:color w:val="auto"/>
                      <w:szCs w:val="21"/>
                    </w:rPr>
                    <w:t>水浴除尘废水</w:t>
                  </w:r>
                </w:p>
              </w:tc>
              <w:tc>
                <w:tcPr>
                  <w:tcW w:w="3330" w:type="dxa"/>
                  <w:vAlign w:val="center"/>
                </w:tcPr>
                <w:p w14:paraId="2C3397ED">
                  <w:pPr>
                    <w:jc w:val="center"/>
                    <w:rPr>
                      <w:rFonts w:hAnsi="宋体"/>
                      <w:color w:val="auto"/>
                      <w:szCs w:val="21"/>
                    </w:rPr>
                  </w:pPr>
                  <w:r>
                    <w:rPr>
                      <w:rFonts w:hint="eastAsia" w:hAnsi="宋体"/>
                      <w:color w:val="auto"/>
                      <w:szCs w:val="21"/>
                    </w:rPr>
                    <w:t>水浴除尘</w:t>
                  </w:r>
                </w:p>
              </w:tc>
              <w:tc>
                <w:tcPr>
                  <w:tcW w:w="2216" w:type="dxa"/>
                  <w:tcBorders>
                    <w:right w:val="nil"/>
                  </w:tcBorders>
                  <w:vAlign w:val="center"/>
                </w:tcPr>
                <w:p w14:paraId="7B6D2510">
                  <w:pPr>
                    <w:jc w:val="center"/>
                    <w:rPr>
                      <w:rFonts w:hAnsi="宋体"/>
                      <w:color w:val="auto"/>
                      <w:szCs w:val="21"/>
                    </w:rPr>
                  </w:pPr>
                  <w:r>
                    <w:rPr>
                      <w:rFonts w:hint="eastAsia" w:hAnsi="宋体"/>
                      <w:color w:val="auto"/>
                      <w:szCs w:val="21"/>
                    </w:rPr>
                    <w:t>SS</w:t>
                  </w:r>
                </w:p>
              </w:tc>
            </w:tr>
            <w:tr w14:paraId="5E10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left w:val="nil"/>
                  </w:tcBorders>
                  <w:vAlign w:val="center"/>
                </w:tcPr>
                <w:p w14:paraId="21F50CF9">
                  <w:pPr>
                    <w:jc w:val="center"/>
                    <w:rPr>
                      <w:rFonts w:hAnsi="宋体"/>
                      <w:color w:val="auto"/>
                      <w:szCs w:val="21"/>
                    </w:rPr>
                  </w:pPr>
                  <w:r>
                    <w:rPr>
                      <w:rFonts w:hint="eastAsia" w:hAnsi="宋体"/>
                      <w:color w:val="auto"/>
                      <w:szCs w:val="21"/>
                    </w:rPr>
                    <w:t>废气</w:t>
                  </w:r>
                </w:p>
              </w:tc>
              <w:tc>
                <w:tcPr>
                  <w:tcW w:w="2175" w:type="dxa"/>
                  <w:vAlign w:val="center"/>
                </w:tcPr>
                <w:p w14:paraId="4A381C88">
                  <w:pPr>
                    <w:jc w:val="center"/>
                    <w:rPr>
                      <w:rFonts w:hAnsi="宋体"/>
                      <w:color w:val="auto"/>
                      <w:szCs w:val="21"/>
                    </w:rPr>
                  </w:pPr>
                  <w:r>
                    <w:rPr>
                      <w:rFonts w:hint="eastAsia" w:hAnsi="宋体"/>
                      <w:color w:val="auto"/>
                      <w:szCs w:val="21"/>
                    </w:rPr>
                    <w:t>造粒废气</w:t>
                  </w:r>
                </w:p>
              </w:tc>
              <w:tc>
                <w:tcPr>
                  <w:tcW w:w="3330" w:type="dxa"/>
                  <w:vAlign w:val="center"/>
                </w:tcPr>
                <w:p w14:paraId="3A64C5CC">
                  <w:pPr>
                    <w:jc w:val="center"/>
                    <w:rPr>
                      <w:rFonts w:hAnsi="宋体"/>
                      <w:color w:val="auto"/>
                      <w:szCs w:val="21"/>
                    </w:rPr>
                  </w:pPr>
                  <w:r>
                    <w:rPr>
                      <w:rFonts w:hint="eastAsia" w:hAnsi="宋体"/>
                      <w:color w:val="auto"/>
                      <w:szCs w:val="21"/>
                    </w:rPr>
                    <w:t>熔融拉丝造粒过程</w:t>
                  </w:r>
                </w:p>
              </w:tc>
              <w:tc>
                <w:tcPr>
                  <w:tcW w:w="2216" w:type="dxa"/>
                  <w:tcBorders>
                    <w:right w:val="nil"/>
                  </w:tcBorders>
                  <w:vAlign w:val="center"/>
                </w:tcPr>
                <w:p w14:paraId="037215F6">
                  <w:pPr>
                    <w:jc w:val="center"/>
                    <w:rPr>
                      <w:rFonts w:hAnsi="宋体"/>
                      <w:color w:val="auto"/>
                      <w:szCs w:val="21"/>
                    </w:rPr>
                  </w:pPr>
                  <w:r>
                    <w:rPr>
                      <w:rFonts w:hint="eastAsia" w:hAnsi="宋体"/>
                      <w:color w:val="auto"/>
                      <w:szCs w:val="21"/>
                    </w:rPr>
                    <w:t>颗粒物、VOCs、臭气</w:t>
                  </w:r>
                </w:p>
              </w:tc>
            </w:tr>
            <w:tr w14:paraId="5734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4E445001">
                  <w:pPr>
                    <w:jc w:val="center"/>
                    <w:rPr>
                      <w:rFonts w:hAnsi="宋体"/>
                      <w:color w:val="auto"/>
                      <w:szCs w:val="21"/>
                    </w:rPr>
                  </w:pPr>
                </w:p>
              </w:tc>
              <w:tc>
                <w:tcPr>
                  <w:tcW w:w="2175" w:type="dxa"/>
                  <w:vAlign w:val="center"/>
                </w:tcPr>
                <w:p w14:paraId="7EA37F8F">
                  <w:pPr>
                    <w:jc w:val="center"/>
                    <w:rPr>
                      <w:rFonts w:hAnsi="宋体"/>
                      <w:color w:val="auto"/>
                      <w:szCs w:val="21"/>
                    </w:rPr>
                  </w:pPr>
                  <w:r>
                    <w:rPr>
                      <w:rFonts w:hint="eastAsia" w:hAnsi="宋体"/>
                      <w:color w:val="auto"/>
                      <w:szCs w:val="21"/>
                    </w:rPr>
                    <w:t>投料粉尘</w:t>
                  </w:r>
                </w:p>
              </w:tc>
              <w:tc>
                <w:tcPr>
                  <w:tcW w:w="3330" w:type="dxa"/>
                  <w:vAlign w:val="center"/>
                </w:tcPr>
                <w:p w14:paraId="0FC84389">
                  <w:pPr>
                    <w:jc w:val="center"/>
                    <w:rPr>
                      <w:rFonts w:hAnsi="宋体"/>
                      <w:color w:val="auto"/>
                      <w:szCs w:val="21"/>
                    </w:rPr>
                  </w:pPr>
                  <w:r>
                    <w:rPr>
                      <w:rFonts w:hint="eastAsia" w:hAnsi="宋体"/>
                      <w:color w:val="auto"/>
                      <w:szCs w:val="21"/>
                    </w:rPr>
                    <w:t>投料过程</w:t>
                  </w:r>
                </w:p>
              </w:tc>
              <w:tc>
                <w:tcPr>
                  <w:tcW w:w="2216" w:type="dxa"/>
                  <w:tcBorders>
                    <w:right w:val="nil"/>
                  </w:tcBorders>
                  <w:vAlign w:val="center"/>
                </w:tcPr>
                <w:p w14:paraId="4BC98BB9">
                  <w:pPr>
                    <w:jc w:val="center"/>
                    <w:rPr>
                      <w:rFonts w:hAnsi="宋体"/>
                      <w:color w:val="auto"/>
                      <w:szCs w:val="21"/>
                    </w:rPr>
                  </w:pPr>
                  <w:r>
                    <w:rPr>
                      <w:rFonts w:hint="eastAsia" w:hAnsi="宋体"/>
                      <w:color w:val="auto"/>
                      <w:szCs w:val="21"/>
                    </w:rPr>
                    <w:t>颗粒物</w:t>
                  </w:r>
                </w:p>
              </w:tc>
            </w:tr>
            <w:tr w14:paraId="5BD7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restart"/>
                  <w:tcBorders>
                    <w:left w:val="nil"/>
                  </w:tcBorders>
                  <w:vAlign w:val="center"/>
                </w:tcPr>
                <w:p w14:paraId="143FE6E9">
                  <w:pPr>
                    <w:jc w:val="center"/>
                    <w:rPr>
                      <w:rFonts w:hAnsi="宋体"/>
                      <w:color w:val="auto"/>
                      <w:szCs w:val="21"/>
                    </w:rPr>
                  </w:pPr>
                  <w:r>
                    <w:rPr>
                      <w:rFonts w:hint="eastAsia" w:hAnsi="宋体"/>
                      <w:color w:val="auto"/>
                      <w:szCs w:val="21"/>
                    </w:rPr>
                    <w:t>固废</w:t>
                  </w:r>
                </w:p>
              </w:tc>
              <w:tc>
                <w:tcPr>
                  <w:tcW w:w="2175" w:type="dxa"/>
                  <w:vAlign w:val="center"/>
                </w:tcPr>
                <w:p w14:paraId="5B8EDFAB">
                  <w:pPr>
                    <w:jc w:val="center"/>
                    <w:rPr>
                      <w:rFonts w:hAnsi="宋体"/>
                      <w:color w:val="auto"/>
                      <w:szCs w:val="21"/>
                    </w:rPr>
                  </w:pPr>
                  <w:r>
                    <w:rPr>
                      <w:rFonts w:hint="eastAsia" w:hAnsi="宋体"/>
                      <w:color w:val="auto"/>
                      <w:szCs w:val="21"/>
                    </w:rPr>
                    <w:t>不可利用固体废物</w:t>
                  </w:r>
                </w:p>
              </w:tc>
              <w:tc>
                <w:tcPr>
                  <w:tcW w:w="3330" w:type="dxa"/>
                  <w:vAlign w:val="center"/>
                </w:tcPr>
                <w:p w14:paraId="50CFBC26">
                  <w:pPr>
                    <w:jc w:val="center"/>
                    <w:rPr>
                      <w:rFonts w:hAnsi="宋体"/>
                      <w:color w:val="auto"/>
                      <w:szCs w:val="21"/>
                    </w:rPr>
                  </w:pPr>
                  <w:r>
                    <w:rPr>
                      <w:rFonts w:hint="eastAsia" w:hAnsi="宋体"/>
                      <w:color w:val="auto"/>
                      <w:szCs w:val="21"/>
                    </w:rPr>
                    <w:t>湿法撕碎、清洗生产线清洗过程</w:t>
                  </w:r>
                </w:p>
              </w:tc>
              <w:tc>
                <w:tcPr>
                  <w:tcW w:w="2216" w:type="dxa"/>
                  <w:tcBorders>
                    <w:right w:val="nil"/>
                  </w:tcBorders>
                  <w:vAlign w:val="center"/>
                </w:tcPr>
                <w:p w14:paraId="6015FBDA">
                  <w:pPr>
                    <w:jc w:val="center"/>
                    <w:rPr>
                      <w:rFonts w:hAnsi="宋体"/>
                      <w:color w:val="auto"/>
                      <w:szCs w:val="21"/>
                    </w:rPr>
                  </w:pPr>
                  <w:r>
                    <w:rPr>
                      <w:rFonts w:hint="eastAsia" w:hAnsi="宋体"/>
                      <w:color w:val="auto"/>
                      <w:szCs w:val="21"/>
                    </w:rPr>
                    <w:t>—</w:t>
                  </w:r>
                </w:p>
              </w:tc>
            </w:tr>
            <w:tr w14:paraId="036D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1E511E9E">
                  <w:pPr>
                    <w:jc w:val="center"/>
                    <w:rPr>
                      <w:rFonts w:hAnsi="宋体"/>
                      <w:color w:val="auto"/>
                      <w:szCs w:val="21"/>
                    </w:rPr>
                  </w:pPr>
                </w:p>
              </w:tc>
              <w:tc>
                <w:tcPr>
                  <w:tcW w:w="2175" w:type="dxa"/>
                  <w:vAlign w:val="center"/>
                </w:tcPr>
                <w:p w14:paraId="359B8484">
                  <w:pPr>
                    <w:jc w:val="center"/>
                    <w:rPr>
                      <w:rFonts w:hAnsi="宋体"/>
                      <w:color w:val="auto"/>
                      <w:szCs w:val="21"/>
                    </w:rPr>
                  </w:pPr>
                  <w:r>
                    <w:rPr>
                      <w:rFonts w:hint="eastAsia" w:hAnsi="宋体"/>
                      <w:color w:val="auto"/>
                      <w:szCs w:val="21"/>
                    </w:rPr>
                    <w:t>循环水处理系统的泥渣</w:t>
                  </w:r>
                </w:p>
              </w:tc>
              <w:tc>
                <w:tcPr>
                  <w:tcW w:w="3330" w:type="dxa"/>
                  <w:vAlign w:val="center"/>
                </w:tcPr>
                <w:p w14:paraId="34C01D66">
                  <w:pPr>
                    <w:jc w:val="center"/>
                    <w:rPr>
                      <w:rFonts w:hAnsi="宋体"/>
                      <w:color w:val="auto"/>
                      <w:szCs w:val="21"/>
                    </w:rPr>
                  </w:pPr>
                  <w:r>
                    <w:rPr>
                      <w:rFonts w:hint="eastAsia" w:hAnsi="宋体"/>
                      <w:color w:val="auto"/>
                      <w:szCs w:val="21"/>
                    </w:rPr>
                    <w:t>自建循环污水处理系统</w:t>
                  </w:r>
                </w:p>
              </w:tc>
              <w:tc>
                <w:tcPr>
                  <w:tcW w:w="2216" w:type="dxa"/>
                  <w:tcBorders>
                    <w:right w:val="nil"/>
                  </w:tcBorders>
                  <w:vAlign w:val="center"/>
                </w:tcPr>
                <w:p w14:paraId="551EE907">
                  <w:pPr>
                    <w:jc w:val="center"/>
                    <w:rPr>
                      <w:rFonts w:hAnsi="宋体"/>
                      <w:color w:val="auto"/>
                      <w:szCs w:val="21"/>
                    </w:rPr>
                  </w:pPr>
                  <w:r>
                    <w:rPr>
                      <w:rFonts w:hint="eastAsia" w:hAnsi="宋体"/>
                      <w:color w:val="auto"/>
                      <w:szCs w:val="21"/>
                    </w:rPr>
                    <w:t>—</w:t>
                  </w:r>
                </w:p>
              </w:tc>
            </w:tr>
            <w:tr w14:paraId="06CB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36723B45">
                  <w:pPr>
                    <w:jc w:val="center"/>
                    <w:rPr>
                      <w:rFonts w:hAnsi="宋体"/>
                      <w:color w:val="auto"/>
                      <w:szCs w:val="21"/>
                    </w:rPr>
                  </w:pPr>
                </w:p>
              </w:tc>
              <w:tc>
                <w:tcPr>
                  <w:tcW w:w="2175" w:type="dxa"/>
                  <w:vAlign w:val="center"/>
                </w:tcPr>
                <w:p w14:paraId="76F80D94">
                  <w:pPr>
                    <w:jc w:val="center"/>
                    <w:rPr>
                      <w:rFonts w:hAnsi="宋体"/>
                      <w:color w:val="auto"/>
                      <w:szCs w:val="21"/>
                    </w:rPr>
                  </w:pPr>
                  <w:r>
                    <w:rPr>
                      <w:rFonts w:hint="eastAsia" w:hAnsi="宋体"/>
                      <w:color w:val="auto"/>
                      <w:szCs w:val="21"/>
                    </w:rPr>
                    <w:t>废滤网</w:t>
                  </w:r>
                </w:p>
              </w:tc>
              <w:tc>
                <w:tcPr>
                  <w:tcW w:w="3330" w:type="dxa"/>
                  <w:vAlign w:val="center"/>
                </w:tcPr>
                <w:p w14:paraId="475F4F20">
                  <w:pPr>
                    <w:jc w:val="center"/>
                    <w:rPr>
                      <w:rFonts w:hAnsi="宋体"/>
                      <w:color w:val="auto"/>
                      <w:szCs w:val="21"/>
                    </w:rPr>
                  </w:pPr>
                  <w:r>
                    <w:rPr>
                      <w:rFonts w:hint="eastAsia" w:hAnsi="宋体"/>
                      <w:color w:val="auto"/>
                      <w:szCs w:val="21"/>
                    </w:rPr>
                    <w:t>熔融拉丝造粒过程</w:t>
                  </w:r>
                </w:p>
              </w:tc>
              <w:tc>
                <w:tcPr>
                  <w:tcW w:w="2216" w:type="dxa"/>
                  <w:tcBorders>
                    <w:right w:val="nil"/>
                  </w:tcBorders>
                  <w:vAlign w:val="center"/>
                </w:tcPr>
                <w:p w14:paraId="29DA9832">
                  <w:pPr>
                    <w:jc w:val="center"/>
                    <w:rPr>
                      <w:rFonts w:hAnsi="宋体"/>
                      <w:color w:val="auto"/>
                      <w:szCs w:val="21"/>
                    </w:rPr>
                  </w:pPr>
                  <w:r>
                    <w:rPr>
                      <w:rFonts w:hint="eastAsia" w:hAnsi="宋体"/>
                      <w:color w:val="auto"/>
                      <w:szCs w:val="21"/>
                    </w:rPr>
                    <w:t>—</w:t>
                  </w:r>
                </w:p>
              </w:tc>
            </w:tr>
            <w:tr w14:paraId="3F0D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3DFF0384">
                  <w:pPr>
                    <w:jc w:val="center"/>
                    <w:rPr>
                      <w:rFonts w:hAnsi="宋体"/>
                      <w:color w:val="auto"/>
                      <w:szCs w:val="21"/>
                    </w:rPr>
                  </w:pPr>
                </w:p>
              </w:tc>
              <w:tc>
                <w:tcPr>
                  <w:tcW w:w="2175" w:type="dxa"/>
                  <w:vAlign w:val="center"/>
                </w:tcPr>
                <w:p w14:paraId="0EB7969A">
                  <w:pPr>
                    <w:jc w:val="center"/>
                    <w:rPr>
                      <w:rFonts w:hAnsi="宋体"/>
                      <w:color w:val="auto"/>
                      <w:szCs w:val="21"/>
                    </w:rPr>
                  </w:pPr>
                  <w:r>
                    <w:rPr>
                      <w:rFonts w:hint="eastAsia" w:hAnsi="宋体"/>
                      <w:color w:val="auto"/>
                      <w:szCs w:val="21"/>
                    </w:rPr>
                    <w:t>废活性炭</w:t>
                  </w:r>
                </w:p>
              </w:tc>
              <w:tc>
                <w:tcPr>
                  <w:tcW w:w="3330" w:type="dxa"/>
                  <w:vAlign w:val="center"/>
                </w:tcPr>
                <w:p w14:paraId="1BD943AA">
                  <w:pPr>
                    <w:jc w:val="center"/>
                    <w:rPr>
                      <w:rFonts w:hAnsi="宋体"/>
                      <w:color w:val="auto"/>
                      <w:szCs w:val="21"/>
                    </w:rPr>
                  </w:pPr>
                  <w:r>
                    <w:rPr>
                      <w:rFonts w:hint="eastAsia" w:hAnsi="宋体"/>
                      <w:color w:val="auto"/>
                      <w:szCs w:val="21"/>
                    </w:rPr>
                    <w:t>废气处理</w:t>
                  </w:r>
                </w:p>
              </w:tc>
              <w:tc>
                <w:tcPr>
                  <w:tcW w:w="2216" w:type="dxa"/>
                  <w:tcBorders>
                    <w:right w:val="nil"/>
                  </w:tcBorders>
                  <w:vAlign w:val="center"/>
                </w:tcPr>
                <w:p w14:paraId="386234C1">
                  <w:pPr>
                    <w:jc w:val="center"/>
                    <w:rPr>
                      <w:rFonts w:hAnsi="宋体"/>
                      <w:color w:val="auto"/>
                      <w:szCs w:val="21"/>
                    </w:rPr>
                  </w:pPr>
                  <w:r>
                    <w:rPr>
                      <w:rFonts w:hint="eastAsia" w:hAnsi="宋体"/>
                      <w:color w:val="auto"/>
                      <w:szCs w:val="21"/>
                    </w:rPr>
                    <w:t>—</w:t>
                  </w:r>
                </w:p>
              </w:tc>
            </w:tr>
            <w:tr w14:paraId="3CA9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66D40EE2">
                  <w:pPr>
                    <w:jc w:val="center"/>
                    <w:rPr>
                      <w:rFonts w:hAnsi="宋体"/>
                      <w:color w:val="auto"/>
                      <w:szCs w:val="21"/>
                    </w:rPr>
                  </w:pPr>
                </w:p>
              </w:tc>
              <w:tc>
                <w:tcPr>
                  <w:tcW w:w="2175" w:type="dxa"/>
                  <w:vAlign w:val="center"/>
                </w:tcPr>
                <w:p w14:paraId="2CCC833B">
                  <w:pPr>
                    <w:jc w:val="center"/>
                    <w:rPr>
                      <w:rFonts w:hAnsi="宋体"/>
                      <w:color w:val="auto"/>
                      <w:szCs w:val="21"/>
                    </w:rPr>
                  </w:pPr>
                  <w:r>
                    <w:rPr>
                      <w:rFonts w:hint="eastAsia" w:hAnsi="宋体"/>
                      <w:color w:val="auto"/>
                      <w:szCs w:val="21"/>
                    </w:rPr>
                    <w:t>废机油和废抹布</w:t>
                  </w:r>
                </w:p>
              </w:tc>
              <w:tc>
                <w:tcPr>
                  <w:tcW w:w="3330" w:type="dxa"/>
                  <w:vAlign w:val="center"/>
                </w:tcPr>
                <w:p w14:paraId="2C7A2093">
                  <w:pPr>
                    <w:jc w:val="center"/>
                    <w:rPr>
                      <w:rFonts w:hAnsi="宋体"/>
                      <w:color w:val="auto"/>
                      <w:szCs w:val="21"/>
                    </w:rPr>
                  </w:pPr>
                  <w:r>
                    <w:rPr>
                      <w:rFonts w:hint="eastAsia" w:hAnsi="宋体"/>
                      <w:color w:val="auto"/>
                      <w:szCs w:val="21"/>
                    </w:rPr>
                    <w:t>机械护理</w:t>
                  </w:r>
                </w:p>
              </w:tc>
              <w:tc>
                <w:tcPr>
                  <w:tcW w:w="2216" w:type="dxa"/>
                  <w:tcBorders>
                    <w:right w:val="nil"/>
                  </w:tcBorders>
                  <w:vAlign w:val="center"/>
                </w:tcPr>
                <w:p w14:paraId="4BFBAB11">
                  <w:pPr>
                    <w:jc w:val="center"/>
                    <w:rPr>
                      <w:rFonts w:hAnsi="宋体"/>
                      <w:color w:val="auto"/>
                      <w:szCs w:val="21"/>
                    </w:rPr>
                  </w:pPr>
                  <w:r>
                    <w:rPr>
                      <w:rFonts w:hint="eastAsia" w:hAnsi="宋体"/>
                      <w:color w:val="auto"/>
                      <w:szCs w:val="21"/>
                    </w:rPr>
                    <w:t>—</w:t>
                  </w:r>
                </w:p>
              </w:tc>
            </w:tr>
            <w:tr w14:paraId="22B4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6F1927BD">
                  <w:pPr>
                    <w:jc w:val="center"/>
                    <w:rPr>
                      <w:rFonts w:hAnsi="宋体"/>
                      <w:color w:val="auto"/>
                      <w:szCs w:val="21"/>
                    </w:rPr>
                  </w:pPr>
                </w:p>
              </w:tc>
              <w:tc>
                <w:tcPr>
                  <w:tcW w:w="2175" w:type="dxa"/>
                  <w:vAlign w:val="center"/>
                </w:tcPr>
                <w:p w14:paraId="787A0602">
                  <w:pPr>
                    <w:jc w:val="center"/>
                    <w:rPr>
                      <w:rFonts w:hAnsi="宋体"/>
                      <w:color w:val="auto"/>
                      <w:szCs w:val="21"/>
                    </w:rPr>
                  </w:pPr>
                  <w:r>
                    <w:rPr>
                      <w:rFonts w:hint="eastAsia" w:hAnsi="宋体"/>
                      <w:color w:val="auto"/>
                      <w:szCs w:val="21"/>
                    </w:rPr>
                    <w:t>不合格产品及边角料</w:t>
                  </w:r>
                </w:p>
              </w:tc>
              <w:tc>
                <w:tcPr>
                  <w:tcW w:w="3330" w:type="dxa"/>
                  <w:vAlign w:val="center"/>
                </w:tcPr>
                <w:p w14:paraId="5C7ADE4D">
                  <w:pPr>
                    <w:jc w:val="center"/>
                    <w:rPr>
                      <w:rFonts w:hAnsi="宋体"/>
                      <w:color w:val="auto"/>
                      <w:szCs w:val="21"/>
                    </w:rPr>
                  </w:pPr>
                  <w:r>
                    <w:rPr>
                      <w:rFonts w:hint="eastAsia" w:hAnsi="宋体"/>
                      <w:color w:val="auto"/>
                      <w:szCs w:val="21"/>
                    </w:rPr>
                    <w:t>生产</w:t>
                  </w:r>
                </w:p>
              </w:tc>
              <w:tc>
                <w:tcPr>
                  <w:tcW w:w="2216" w:type="dxa"/>
                  <w:tcBorders>
                    <w:right w:val="nil"/>
                  </w:tcBorders>
                  <w:vAlign w:val="center"/>
                </w:tcPr>
                <w:p w14:paraId="2BFCFCED">
                  <w:pPr>
                    <w:jc w:val="center"/>
                    <w:rPr>
                      <w:rFonts w:hAnsi="宋体"/>
                      <w:color w:val="auto"/>
                      <w:szCs w:val="21"/>
                    </w:rPr>
                  </w:pPr>
                  <w:r>
                    <w:rPr>
                      <w:rFonts w:hint="eastAsia" w:hAnsi="宋体"/>
                      <w:color w:val="auto"/>
                      <w:szCs w:val="21"/>
                    </w:rPr>
                    <w:t>—</w:t>
                  </w:r>
                </w:p>
              </w:tc>
            </w:tr>
            <w:tr w14:paraId="719D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vMerge w:val="continue"/>
                  <w:tcBorders>
                    <w:left w:val="nil"/>
                  </w:tcBorders>
                  <w:vAlign w:val="center"/>
                </w:tcPr>
                <w:p w14:paraId="62CE268E">
                  <w:pPr>
                    <w:jc w:val="center"/>
                    <w:rPr>
                      <w:rFonts w:hAnsi="宋体"/>
                      <w:color w:val="auto"/>
                      <w:szCs w:val="21"/>
                    </w:rPr>
                  </w:pPr>
                </w:p>
              </w:tc>
              <w:tc>
                <w:tcPr>
                  <w:tcW w:w="2175" w:type="dxa"/>
                  <w:vAlign w:val="center"/>
                </w:tcPr>
                <w:p w14:paraId="7A4808D5">
                  <w:pPr>
                    <w:jc w:val="center"/>
                    <w:rPr>
                      <w:rFonts w:hAnsi="宋体"/>
                      <w:color w:val="auto"/>
                      <w:szCs w:val="21"/>
                    </w:rPr>
                  </w:pPr>
                  <w:r>
                    <w:rPr>
                      <w:rFonts w:hint="eastAsia" w:hAnsi="宋体"/>
                      <w:color w:val="auto"/>
                      <w:szCs w:val="21"/>
                    </w:rPr>
                    <w:t>废包装材料</w:t>
                  </w:r>
                </w:p>
              </w:tc>
              <w:tc>
                <w:tcPr>
                  <w:tcW w:w="3330" w:type="dxa"/>
                  <w:vAlign w:val="center"/>
                </w:tcPr>
                <w:p w14:paraId="3CA2F7AD">
                  <w:pPr>
                    <w:jc w:val="center"/>
                    <w:rPr>
                      <w:rFonts w:hAnsi="宋体"/>
                      <w:color w:val="auto"/>
                      <w:szCs w:val="21"/>
                    </w:rPr>
                  </w:pPr>
                  <w:r>
                    <w:rPr>
                      <w:rFonts w:hint="eastAsia" w:hAnsi="宋体"/>
                      <w:color w:val="auto"/>
                      <w:szCs w:val="21"/>
                    </w:rPr>
                    <w:t>包装</w:t>
                  </w:r>
                </w:p>
              </w:tc>
              <w:tc>
                <w:tcPr>
                  <w:tcW w:w="2216" w:type="dxa"/>
                  <w:tcBorders>
                    <w:right w:val="nil"/>
                  </w:tcBorders>
                  <w:vAlign w:val="center"/>
                </w:tcPr>
                <w:p w14:paraId="6CED6027">
                  <w:pPr>
                    <w:jc w:val="center"/>
                    <w:rPr>
                      <w:rFonts w:hAnsi="宋体"/>
                      <w:color w:val="auto"/>
                      <w:szCs w:val="21"/>
                    </w:rPr>
                  </w:pPr>
                  <w:r>
                    <w:rPr>
                      <w:rFonts w:hint="eastAsia" w:hAnsi="宋体"/>
                      <w:color w:val="auto"/>
                      <w:szCs w:val="21"/>
                    </w:rPr>
                    <w:t>—</w:t>
                  </w:r>
                </w:p>
              </w:tc>
            </w:tr>
            <w:tr w14:paraId="68C8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 w:type="dxa"/>
                  <w:tcBorders>
                    <w:left w:val="nil"/>
                    <w:bottom w:val="single" w:color="auto" w:sz="12" w:space="0"/>
                  </w:tcBorders>
                  <w:vAlign w:val="center"/>
                </w:tcPr>
                <w:p w14:paraId="5CAEAAA3">
                  <w:pPr>
                    <w:jc w:val="center"/>
                    <w:rPr>
                      <w:rFonts w:hAnsi="宋体"/>
                      <w:color w:val="auto"/>
                      <w:szCs w:val="21"/>
                    </w:rPr>
                  </w:pPr>
                  <w:r>
                    <w:rPr>
                      <w:rFonts w:hint="eastAsia" w:hAnsi="宋体"/>
                      <w:color w:val="auto"/>
                      <w:szCs w:val="21"/>
                    </w:rPr>
                    <w:t>噪声</w:t>
                  </w:r>
                </w:p>
              </w:tc>
              <w:tc>
                <w:tcPr>
                  <w:tcW w:w="2175" w:type="dxa"/>
                  <w:tcBorders>
                    <w:bottom w:val="single" w:color="auto" w:sz="12" w:space="0"/>
                  </w:tcBorders>
                  <w:vAlign w:val="center"/>
                </w:tcPr>
                <w:p w14:paraId="6416FCF8">
                  <w:pPr>
                    <w:jc w:val="center"/>
                    <w:rPr>
                      <w:rFonts w:hAnsi="宋体"/>
                      <w:color w:val="auto"/>
                      <w:szCs w:val="21"/>
                    </w:rPr>
                  </w:pPr>
                  <w:r>
                    <w:rPr>
                      <w:rFonts w:hint="eastAsia" w:hAnsi="宋体"/>
                      <w:color w:val="auto"/>
                      <w:szCs w:val="21"/>
                    </w:rPr>
                    <w:t>生产过程设备噪声</w:t>
                  </w:r>
                </w:p>
              </w:tc>
              <w:tc>
                <w:tcPr>
                  <w:tcW w:w="3330" w:type="dxa"/>
                  <w:tcBorders>
                    <w:bottom w:val="single" w:color="auto" w:sz="12" w:space="0"/>
                  </w:tcBorders>
                  <w:vAlign w:val="center"/>
                </w:tcPr>
                <w:p w14:paraId="6754C6F3">
                  <w:pPr>
                    <w:jc w:val="center"/>
                    <w:rPr>
                      <w:rFonts w:hAnsi="宋体"/>
                      <w:color w:val="auto"/>
                      <w:szCs w:val="21"/>
                    </w:rPr>
                  </w:pPr>
                  <w:r>
                    <w:rPr>
                      <w:rFonts w:hint="eastAsia" w:hAnsi="宋体"/>
                      <w:color w:val="auto"/>
                      <w:szCs w:val="21"/>
                    </w:rPr>
                    <w:t>熔融拉丝造粒过程、水泵及风机等</w:t>
                  </w:r>
                </w:p>
              </w:tc>
              <w:tc>
                <w:tcPr>
                  <w:tcW w:w="2216" w:type="dxa"/>
                  <w:tcBorders>
                    <w:bottom w:val="single" w:color="auto" w:sz="12" w:space="0"/>
                    <w:right w:val="nil"/>
                  </w:tcBorders>
                  <w:vAlign w:val="center"/>
                </w:tcPr>
                <w:p w14:paraId="527FA23C">
                  <w:pPr>
                    <w:jc w:val="center"/>
                    <w:rPr>
                      <w:rFonts w:hAnsi="宋体"/>
                      <w:color w:val="auto"/>
                      <w:szCs w:val="21"/>
                    </w:rPr>
                  </w:pPr>
                  <w:r>
                    <w:rPr>
                      <w:rFonts w:hint="eastAsia" w:hAnsi="宋体"/>
                      <w:color w:val="auto"/>
                      <w:szCs w:val="21"/>
                    </w:rPr>
                    <w:t>—</w:t>
                  </w:r>
                </w:p>
              </w:tc>
            </w:tr>
          </w:tbl>
          <w:p w14:paraId="3134844A">
            <w:pPr>
              <w:pStyle w:val="46"/>
              <w:numPr>
                <w:ilvl w:val="0"/>
                <w:numId w:val="9"/>
              </w:numPr>
              <w:spacing w:beforeLines="0" w:afterLines="0"/>
              <w:ind w:firstLine="482"/>
              <w:jc w:val="both"/>
              <w:rPr>
                <w:rFonts w:hint="eastAsia"/>
                <w:b/>
                <w:color w:val="auto"/>
                <w:sz w:val="24"/>
                <w:szCs w:val="20"/>
              </w:rPr>
            </w:pPr>
            <w:r>
              <w:rPr>
                <w:rFonts w:hint="eastAsia"/>
                <w:b/>
                <w:color w:val="auto"/>
                <w:sz w:val="24"/>
                <w:szCs w:val="20"/>
              </w:rPr>
              <w:t>现有项目产排污情况</w:t>
            </w:r>
          </w:p>
          <w:p w14:paraId="2667D980">
            <w:pPr>
              <w:pStyle w:val="46"/>
              <w:spacing w:beforeLines="0" w:afterLines="0"/>
              <w:jc w:val="both"/>
              <w:rPr>
                <w:rFonts w:hint="eastAsia" w:cs="宋体"/>
                <w:color w:val="auto"/>
                <w:sz w:val="24"/>
                <w:szCs w:val="24"/>
              </w:rPr>
            </w:pPr>
            <w:r>
              <w:rPr>
                <w:rFonts w:hint="eastAsia" w:cs="宋体"/>
                <w:color w:val="auto"/>
                <w:sz w:val="24"/>
                <w:szCs w:val="24"/>
              </w:rPr>
              <w:t>根据现有验收报告，现有项目运营过程中主要有废气、噪声和固体废物产生，其基本情况如下表所示。</w:t>
            </w:r>
          </w:p>
          <w:p w14:paraId="6706086A">
            <w:pPr>
              <w:pStyle w:val="46"/>
              <w:numPr>
                <w:ilvl w:val="0"/>
                <w:numId w:val="10"/>
              </w:numPr>
              <w:spacing w:beforeLines="0" w:afterLines="0"/>
              <w:ind w:firstLine="480"/>
              <w:jc w:val="both"/>
              <w:rPr>
                <w:rFonts w:hint="eastAsia"/>
                <w:color w:val="auto"/>
                <w:sz w:val="24"/>
                <w:szCs w:val="20"/>
              </w:rPr>
            </w:pPr>
            <w:r>
              <w:rPr>
                <w:rFonts w:hint="eastAsia"/>
                <w:color w:val="auto"/>
                <w:sz w:val="24"/>
                <w:szCs w:val="20"/>
              </w:rPr>
              <w:t>现有项目有组织废气产排情况</w:t>
            </w:r>
          </w:p>
          <w:p w14:paraId="4FFAFE42">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Chars="0" w:firstLine="0"/>
              <w:jc w:val="center"/>
              <w:textAlignment w:val="auto"/>
              <w:rPr>
                <w:rFonts w:hint="eastAsia" w:eastAsia="宋体"/>
                <w:color w:val="auto"/>
                <w:sz w:val="21"/>
                <w:szCs w:val="21"/>
                <w:lang w:eastAsia="zh-CN"/>
              </w:rPr>
            </w:pPr>
            <w:r>
              <w:rPr>
                <w:rFonts w:hint="eastAsia" w:ascii="宋体" w:eastAsia="宋体"/>
                <w:b/>
                <w:color w:val="auto"/>
                <w:sz w:val="21"/>
                <w:szCs w:val="21"/>
              </w:rPr>
              <w:t>表2-1</w:t>
            </w:r>
            <w:r>
              <w:rPr>
                <w:rFonts w:hint="eastAsia" w:ascii="宋体" w:eastAsia="宋体"/>
                <w:b/>
                <w:color w:val="auto"/>
                <w:sz w:val="21"/>
                <w:szCs w:val="21"/>
                <w:lang w:val="en-US" w:eastAsia="zh-CN"/>
              </w:rPr>
              <w:t>2</w:t>
            </w:r>
            <w:r>
              <w:rPr>
                <w:rFonts w:hint="default"/>
                <w:b/>
                <w:color w:val="auto"/>
                <w:sz w:val="21"/>
                <w:szCs w:val="21"/>
              </w:rPr>
              <w:t xml:space="preserve">    </w:t>
            </w:r>
            <w:r>
              <w:rPr>
                <w:rFonts w:hint="eastAsia" w:ascii="宋体" w:eastAsia="宋体"/>
                <w:b/>
                <w:color w:val="auto"/>
                <w:sz w:val="21"/>
                <w:szCs w:val="21"/>
              </w:rPr>
              <w:t>现有项目有组织废气</w:t>
            </w:r>
            <w:r>
              <w:rPr>
                <w:rFonts w:hint="eastAsia" w:ascii="宋体" w:eastAsia="宋体"/>
                <w:b/>
                <w:color w:val="auto"/>
                <w:sz w:val="21"/>
                <w:szCs w:val="21"/>
                <w:lang w:eastAsia="zh-CN"/>
              </w:rPr>
              <w:t>监测点</w:t>
            </w:r>
            <w:r>
              <w:rPr>
                <w:rFonts w:hint="eastAsia" w:ascii="宋体" w:eastAsia="宋体"/>
                <w:b/>
                <w:color w:val="auto"/>
                <w:sz w:val="21"/>
                <w:szCs w:val="21"/>
                <w:lang w:val="en-US" w:eastAsia="zh-CN"/>
              </w:rPr>
              <w:t>位</w:t>
            </w:r>
            <w:r>
              <w:rPr>
                <w:rFonts w:hint="eastAsia" w:ascii="宋体" w:eastAsia="宋体"/>
                <w:b/>
                <w:color w:val="auto"/>
                <w:sz w:val="21"/>
                <w:szCs w:val="21"/>
                <w:lang w:eastAsia="zh-CN"/>
              </w:rPr>
              <w:t>及频次</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8"/>
              <w:gridCol w:w="2775"/>
              <w:gridCol w:w="1691"/>
            </w:tblGrid>
            <w:tr w14:paraId="5133D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58" w:type="dxa"/>
                  <w:tcBorders>
                    <w:tl2br w:val="nil"/>
                    <w:tr2bl w:val="nil"/>
                  </w:tcBorders>
                  <w:noWrap w:val="0"/>
                  <w:vAlign w:val="center"/>
                </w:tcPr>
                <w:p w14:paraId="5DB52A1C">
                  <w:pPr>
                    <w:pStyle w:val="46"/>
                    <w:numPr>
                      <w:ilvl w:val="0"/>
                      <w:numId w:val="0"/>
                    </w:numPr>
                    <w:spacing w:beforeLines="0" w:afterLines="0"/>
                    <w:ind w:firstLine="0"/>
                    <w:jc w:val="center"/>
                    <w:rPr>
                      <w:rFonts w:hint="eastAsia"/>
                      <w:color w:val="auto"/>
                      <w:sz w:val="21"/>
                      <w:szCs w:val="21"/>
                    </w:rPr>
                  </w:pPr>
                  <w:r>
                    <w:rPr>
                      <w:rFonts w:hint="eastAsia"/>
                      <w:color w:val="auto"/>
                      <w:sz w:val="21"/>
                      <w:szCs w:val="21"/>
                    </w:rPr>
                    <w:t>监测点</w:t>
                  </w:r>
                </w:p>
              </w:tc>
              <w:tc>
                <w:tcPr>
                  <w:tcW w:w="2775" w:type="dxa"/>
                  <w:tcBorders>
                    <w:tl2br w:val="nil"/>
                    <w:tr2bl w:val="nil"/>
                  </w:tcBorders>
                  <w:noWrap w:val="0"/>
                  <w:vAlign w:val="center"/>
                </w:tcPr>
                <w:p w14:paraId="6189E73A">
                  <w:pPr>
                    <w:pStyle w:val="46"/>
                    <w:numPr>
                      <w:ilvl w:val="0"/>
                      <w:numId w:val="0"/>
                    </w:numPr>
                    <w:spacing w:beforeLines="0" w:afterLines="0"/>
                    <w:ind w:firstLine="0"/>
                    <w:jc w:val="center"/>
                    <w:rPr>
                      <w:rFonts w:hint="eastAsia"/>
                      <w:color w:val="auto"/>
                      <w:sz w:val="21"/>
                      <w:szCs w:val="21"/>
                    </w:rPr>
                  </w:pPr>
                  <w:r>
                    <w:rPr>
                      <w:rFonts w:hint="eastAsia"/>
                      <w:color w:val="auto"/>
                      <w:sz w:val="21"/>
                      <w:szCs w:val="21"/>
                    </w:rPr>
                    <w:t>监测项目</w:t>
                  </w:r>
                </w:p>
              </w:tc>
              <w:tc>
                <w:tcPr>
                  <w:tcW w:w="1691" w:type="dxa"/>
                  <w:tcBorders>
                    <w:tl2br w:val="nil"/>
                    <w:tr2bl w:val="nil"/>
                  </w:tcBorders>
                  <w:noWrap w:val="0"/>
                  <w:vAlign w:val="center"/>
                </w:tcPr>
                <w:p w14:paraId="33011B61">
                  <w:pPr>
                    <w:pStyle w:val="46"/>
                    <w:numPr>
                      <w:ilvl w:val="0"/>
                      <w:numId w:val="0"/>
                    </w:numPr>
                    <w:spacing w:beforeLines="0" w:afterLines="0"/>
                    <w:ind w:firstLine="0"/>
                    <w:jc w:val="center"/>
                    <w:rPr>
                      <w:rFonts w:hint="eastAsia"/>
                      <w:color w:val="auto"/>
                      <w:sz w:val="21"/>
                      <w:szCs w:val="21"/>
                    </w:rPr>
                  </w:pPr>
                  <w:r>
                    <w:rPr>
                      <w:rFonts w:hint="eastAsia" w:eastAsia="宋体"/>
                      <w:color w:val="auto"/>
                      <w:sz w:val="21"/>
                      <w:szCs w:val="21"/>
                      <w:lang w:val="en-US" w:eastAsia="zh-CN"/>
                    </w:rPr>
                    <w:t>采样</w:t>
                  </w:r>
                  <w:r>
                    <w:rPr>
                      <w:rFonts w:hint="eastAsia"/>
                      <w:color w:val="auto"/>
                      <w:sz w:val="21"/>
                      <w:szCs w:val="21"/>
                    </w:rPr>
                    <w:t>频次</w:t>
                  </w:r>
                </w:p>
              </w:tc>
            </w:tr>
            <w:tr w14:paraId="47BC1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58" w:type="dxa"/>
                  <w:tcBorders>
                    <w:tl2br w:val="nil"/>
                    <w:tr2bl w:val="nil"/>
                  </w:tcBorders>
                  <w:noWrap w:val="0"/>
                  <w:vAlign w:val="center"/>
                </w:tcPr>
                <w:p w14:paraId="1B856FD8">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造粒车间</w:t>
                  </w:r>
                  <w:r>
                    <w:rPr>
                      <w:rFonts w:hint="eastAsia"/>
                      <w:color w:val="auto"/>
                      <w:sz w:val="21"/>
                      <w:szCs w:val="21"/>
                    </w:rPr>
                    <w:t>废气排放筒1#</w:t>
                  </w:r>
                  <w:r>
                    <w:rPr>
                      <w:rFonts w:hint="eastAsia" w:eastAsia="宋体"/>
                      <w:color w:val="auto"/>
                      <w:sz w:val="21"/>
                      <w:szCs w:val="21"/>
                      <w:lang w:val="en-US" w:eastAsia="zh-CN"/>
                    </w:rPr>
                    <w:t>进出口</w:t>
                  </w:r>
                </w:p>
              </w:tc>
              <w:tc>
                <w:tcPr>
                  <w:tcW w:w="2775" w:type="dxa"/>
                  <w:tcBorders>
                    <w:tl2br w:val="nil"/>
                    <w:tr2bl w:val="nil"/>
                  </w:tcBorders>
                  <w:noWrap w:val="0"/>
                  <w:vAlign w:val="center"/>
                </w:tcPr>
                <w:p w14:paraId="1C3F5ADD">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VOCs、臭气、颗粒物</w:t>
                  </w:r>
                </w:p>
              </w:tc>
              <w:tc>
                <w:tcPr>
                  <w:tcW w:w="1691" w:type="dxa"/>
                  <w:tcBorders>
                    <w:tl2br w:val="nil"/>
                    <w:tr2bl w:val="nil"/>
                  </w:tcBorders>
                  <w:noWrap w:val="0"/>
                  <w:vAlign w:val="center"/>
                </w:tcPr>
                <w:p w14:paraId="7B01C55D">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3次/天，2天</w:t>
                  </w:r>
                </w:p>
              </w:tc>
            </w:tr>
          </w:tbl>
          <w:p w14:paraId="61FDF579">
            <w:pPr>
              <w:keepNext w:val="0"/>
              <w:keepLines w:val="0"/>
              <w:pageBreakBefore w:val="0"/>
              <w:widowControl w:val="0"/>
              <w:kinsoku/>
              <w:wordWrap/>
              <w:overflowPunct/>
              <w:topLinePunct w:val="0"/>
              <w:autoSpaceDE/>
              <w:autoSpaceDN/>
              <w:bidi w:val="0"/>
              <w:adjustRightInd/>
              <w:snapToGrid/>
              <w:spacing w:afterLines="0"/>
              <w:jc w:val="center"/>
              <w:textAlignment w:val="auto"/>
              <w:rPr>
                <w:rFonts w:hint="eastAsia" w:ascii="宋体" w:eastAsia="宋体"/>
                <w:b/>
                <w:color w:val="auto"/>
                <w:sz w:val="21"/>
                <w:szCs w:val="21"/>
              </w:rPr>
            </w:pPr>
            <w:r>
              <w:rPr>
                <w:rFonts w:hint="eastAsia" w:ascii="宋体" w:eastAsia="宋体"/>
                <w:b/>
                <w:color w:val="auto"/>
                <w:sz w:val="21"/>
                <w:szCs w:val="24"/>
              </w:rPr>
              <w:t>表2-1</w:t>
            </w:r>
            <w:r>
              <w:rPr>
                <w:rFonts w:hint="eastAsia" w:ascii="宋体" w:eastAsia="宋体"/>
                <w:b/>
                <w:color w:val="auto"/>
                <w:sz w:val="21"/>
                <w:szCs w:val="24"/>
                <w:lang w:val="en-US" w:eastAsia="zh-CN"/>
              </w:rPr>
              <w:t>3</w:t>
            </w:r>
            <w:r>
              <w:rPr>
                <w:rFonts w:hint="default"/>
                <w:b/>
                <w:color w:val="auto"/>
                <w:sz w:val="21"/>
                <w:szCs w:val="24"/>
              </w:rPr>
              <w:t xml:space="preserve">    </w:t>
            </w:r>
            <w:r>
              <w:rPr>
                <w:rFonts w:hint="eastAsia" w:ascii="宋体" w:eastAsia="宋体"/>
                <w:b/>
                <w:color w:val="auto"/>
                <w:sz w:val="21"/>
                <w:szCs w:val="24"/>
              </w:rPr>
              <w:t>现有项目</w:t>
            </w:r>
            <w:r>
              <w:rPr>
                <w:rFonts w:hint="eastAsia" w:ascii="宋体" w:eastAsia="宋体"/>
                <w:b/>
                <w:color w:val="auto"/>
                <w:sz w:val="21"/>
                <w:szCs w:val="21"/>
              </w:rPr>
              <w:t>有组织废气检测结果一览表</w:t>
            </w:r>
          </w:p>
          <w:tbl>
            <w:tblPr>
              <w:tblStyle w:val="22"/>
              <w:tblW w:w="752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877"/>
              <w:gridCol w:w="1528"/>
              <w:gridCol w:w="1052"/>
              <w:gridCol w:w="1080"/>
              <w:gridCol w:w="907"/>
              <w:gridCol w:w="1076"/>
            </w:tblGrid>
            <w:tr w14:paraId="5D9E6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restart"/>
                  <w:tcBorders>
                    <w:tl2br w:val="nil"/>
                    <w:tr2bl w:val="nil"/>
                  </w:tcBorders>
                  <w:vAlign w:val="center"/>
                </w:tcPr>
                <w:p w14:paraId="0D01D360">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采样点；造粒车间1#排气筒</w:t>
                  </w:r>
                </w:p>
              </w:tc>
              <w:tc>
                <w:tcPr>
                  <w:tcW w:w="2405" w:type="dxa"/>
                  <w:gridSpan w:val="2"/>
                  <w:vMerge w:val="restart"/>
                  <w:tcBorders>
                    <w:tl2br w:val="nil"/>
                    <w:tr2bl w:val="nil"/>
                  </w:tcBorders>
                  <w:vAlign w:val="center"/>
                </w:tcPr>
                <w:p w14:paraId="7D7C5AE1">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检测项目</w:t>
                  </w:r>
                </w:p>
              </w:tc>
              <w:tc>
                <w:tcPr>
                  <w:tcW w:w="3039" w:type="dxa"/>
                  <w:gridSpan w:val="3"/>
                  <w:tcBorders>
                    <w:tl2br w:val="nil"/>
                    <w:tr2bl w:val="nil"/>
                  </w:tcBorders>
                  <w:vAlign w:val="center"/>
                </w:tcPr>
                <w:p w14:paraId="57A4A15C">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结果</w:t>
                  </w:r>
                </w:p>
              </w:tc>
              <w:tc>
                <w:tcPr>
                  <w:tcW w:w="1076" w:type="dxa"/>
                  <w:vMerge w:val="restart"/>
                  <w:tcBorders>
                    <w:tl2br w:val="nil"/>
                    <w:tr2bl w:val="nil"/>
                  </w:tcBorders>
                  <w:vAlign w:val="center"/>
                </w:tcPr>
                <w:p w14:paraId="21F9CA0D">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标准限值</w:t>
                  </w:r>
                </w:p>
              </w:tc>
            </w:tr>
            <w:tr w14:paraId="1BE88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5A956A44">
                  <w:pPr>
                    <w:pStyle w:val="13"/>
                    <w:jc w:val="center"/>
                    <w:rPr>
                      <w:rFonts w:hint="eastAsia" w:ascii="宋体" w:eastAsia="宋体"/>
                      <w:b w:val="0"/>
                      <w:bCs/>
                      <w:color w:val="auto"/>
                      <w:sz w:val="21"/>
                      <w:szCs w:val="21"/>
                      <w:vertAlign w:val="baseline"/>
                    </w:rPr>
                  </w:pPr>
                </w:p>
              </w:tc>
              <w:tc>
                <w:tcPr>
                  <w:tcW w:w="2405" w:type="dxa"/>
                  <w:gridSpan w:val="2"/>
                  <w:vMerge w:val="continue"/>
                  <w:tcBorders>
                    <w:tl2br w:val="nil"/>
                    <w:tr2bl w:val="nil"/>
                  </w:tcBorders>
                  <w:vAlign w:val="center"/>
                </w:tcPr>
                <w:p w14:paraId="24988870">
                  <w:pPr>
                    <w:pStyle w:val="13"/>
                    <w:jc w:val="center"/>
                    <w:rPr>
                      <w:rFonts w:hint="eastAsia" w:ascii="宋体" w:eastAsia="宋体"/>
                      <w:b w:val="0"/>
                      <w:bCs/>
                      <w:color w:val="auto"/>
                      <w:sz w:val="21"/>
                      <w:szCs w:val="21"/>
                      <w:vertAlign w:val="baseline"/>
                      <w:lang w:val="en-US" w:eastAsia="zh-CN"/>
                    </w:rPr>
                  </w:pPr>
                </w:p>
              </w:tc>
              <w:tc>
                <w:tcPr>
                  <w:tcW w:w="1052" w:type="dxa"/>
                  <w:tcBorders>
                    <w:tl2br w:val="nil"/>
                    <w:tr2bl w:val="nil"/>
                  </w:tcBorders>
                  <w:vAlign w:val="center"/>
                </w:tcPr>
                <w:p w14:paraId="47044404">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第一次</w:t>
                  </w:r>
                </w:p>
              </w:tc>
              <w:tc>
                <w:tcPr>
                  <w:tcW w:w="1080" w:type="dxa"/>
                  <w:tcBorders>
                    <w:tl2br w:val="nil"/>
                    <w:tr2bl w:val="nil"/>
                  </w:tcBorders>
                  <w:vAlign w:val="center"/>
                </w:tcPr>
                <w:p w14:paraId="050975D2">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第二次</w:t>
                  </w:r>
                </w:p>
              </w:tc>
              <w:tc>
                <w:tcPr>
                  <w:tcW w:w="907" w:type="dxa"/>
                  <w:tcBorders>
                    <w:tl2br w:val="nil"/>
                    <w:tr2bl w:val="nil"/>
                  </w:tcBorders>
                  <w:vAlign w:val="center"/>
                </w:tcPr>
                <w:p w14:paraId="3C3A2B96">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第三次</w:t>
                  </w:r>
                </w:p>
              </w:tc>
              <w:tc>
                <w:tcPr>
                  <w:tcW w:w="1076" w:type="dxa"/>
                  <w:vMerge w:val="continue"/>
                  <w:tcBorders>
                    <w:tl2br w:val="nil"/>
                    <w:tr2bl w:val="nil"/>
                  </w:tcBorders>
                  <w:vAlign w:val="center"/>
                </w:tcPr>
                <w:p w14:paraId="5F41C2B2">
                  <w:pPr>
                    <w:pStyle w:val="13"/>
                    <w:jc w:val="center"/>
                    <w:rPr>
                      <w:rFonts w:hint="default" w:ascii="宋体" w:eastAsia="宋体"/>
                      <w:b w:val="0"/>
                      <w:bCs/>
                      <w:color w:val="auto"/>
                      <w:sz w:val="21"/>
                      <w:szCs w:val="21"/>
                      <w:vertAlign w:val="baseline"/>
                      <w:lang w:val="en-US" w:eastAsia="zh-CN"/>
                    </w:rPr>
                  </w:pPr>
                </w:p>
              </w:tc>
            </w:tr>
            <w:tr w14:paraId="11B8A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restart"/>
                  <w:tcBorders>
                    <w:tl2br w:val="nil"/>
                    <w:tr2bl w:val="nil"/>
                  </w:tcBorders>
                  <w:vAlign w:val="center"/>
                </w:tcPr>
                <w:p w14:paraId="5A8E377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2023.05.25（出口）</w:t>
                  </w:r>
                </w:p>
              </w:tc>
              <w:tc>
                <w:tcPr>
                  <w:tcW w:w="877" w:type="dxa"/>
                  <w:vMerge w:val="restart"/>
                  <w:tcBorders>
                    <w:tl2br w:val="nil"/>
                    <w:tr2bl w:val="nil"/>
                  </w:tcBorders>
                  <w:shd w:val="clear" w:color="auto" w:fill="auto"/>
                  <w:vAlign w:val="center"/>
                </w:tcPr>
                <w:p w14:paraId="27D3EE18">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颗粒物</w:t>
                  </w:r>
                </w:p>
              </w:tc>
              <w:tc>
                <w:tcPr>
                  <w:tcW w:w="1528" w:type="dxa"/>
                  <w:tcBorders>
                    <w:tl2br w:val="nil"/>
                    <w:tr2bl w:val="nil"/>
                  </w:tcBorders>
                  <w:shd w:val="clear" w:color="auto" w:fill="auto"/>
                  <w:vAlign w:val="center"/>
                </w:tcPr>
                <w:p w14:paraId="395C6995">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vAlign w:val="center"/>
                </w:tcPr>
                <w:p w14:paraId="36287ED8">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＜20</w:t>
                  </w:r>
                </w:p>
              </w:tc>
              <w:tc>
                <w:tcPr>
                  <w:tcW w:w="1080" w:type="dxa"/>
                  <w:tcBorders>
                    <w:tl2br w:val="nil"/>
                    <w:tr2bl w:val="nil"/>
                  </w:tcBorders>
                  <w:vAlign w:val="center"/>
                </w:tcPr>
                <w:p w14:paraId="3262394D">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＜20</w:t>
                  </w:r>
                </w:p>
              </w:tc>
              <w:tc>
                <w:tcPr>
                  <w:tcW w:w="907" w:type="dxa"/>
                  <w:tcBorders>
                    <w:tl2br w:val="nil"/>
                    <w:tr2bl w:val="nil"/>
                  </w:tcBorders>
                  <w:vAlign w:val="center"/>
                </w:tcPr>
                <w:p w14:paraId="46EC736E">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＜20</w:t>
                  </w:r>
                </w:p>
              </w:tc>
              <w:tc>
                <w:tcPr>
                  <w:tcW w:w="1076" w:type="dxa"/>
                  <w:tcBorders>
                    <w:tl2br w:val="nil"/>
                    <w:tr2bl w:val="nil"/>
                  </w:tcBorders>
                  <w:vAlign w:val="center"/>
                </w:tcPr>
                <w:p w14:paraId="3684E1F7">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30</w:t>
                  </w:r>
                </w:p>
              </w:tc>
            </w:tr>
            <w:tr w14:paraId="60C2C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75DDFE8C">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shd w:val="clear" w:color="auto" w:fill="auto"/>
                  <w:vAlign w:val="center"/>
                </w:tcPr>
                <w:p w14:paraId="351B56E1">
                  <w:pPr>
                    <w:pStyle w:val="13"/>
                    <w:jc w:val="center"/>
                    <w:rPr>
                      <w:rFonts w:hint="eastAsia" w:ascii="宋体" w:hAnsi="Times New Roman" w:eastAsia="宋体" w:cs="Times New Roman"/>
                      <w:b w:val="0"/>
                      <w:bCs/>
                      <w:color w:val="auto"/>
                      <w:kern w:val="0"/>
                      <w:sz w:val="21"/>
                      <w:szCs w:val="21"/>
                      <w:vertAlign w:val="baseline"/>
                      <w:lang w:val="en-US" w:eastAsia="zh-CN" w:bidi="ar-SA"/>
                    </w:rPr>
                  </w:pPr>
                </w:p>
              </w:tc>
              <w:tc>
                <w:tcPr>
                  <w:tcW w:w="1528" w:type="dxa"/>
                  <w:tcBorders>
                    <w:tl2br w:val="nil"/>
                    <w:tr2bl w:val="nil"/>
                  </w:tcBorders>
                  <w:shd w:val="clear" w:color="auto" w:fill="auto"/>
                  <w:vAlign w:val="center"/>
                </w:tcPr>
                <w:p w14:paraId="416EA636">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vAlign w:val="center"/>
                </w:tcPr>
                <w:p w14:paraId="2BDFAF4C">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w:t>
                  </w:r>
                </w:p>
              </w:tc>
              <w:tc>
                <w:tcPr>
                  <w:tcW w:w="1080" w:type="dxa"/>
                  <w:tcBorders>
                    <w:tl2br w:val="nil"/>
                    <w:tr2bl w:val="nil"/>
                  </w:tcBorders>
                  <w:vAlign w:val="center"/>
                </w:tcPr>
                <w:p w14:paraId="28F05474">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w:t>
                  </w:r>
                </w:p>
              </w:tc>
              <w:tc>
                <w:tcPr>
                  <w:tcW w:w="907" w:type="dxa"/>
                  <w:tcBorders>
                    <w:tl2br w:val="nil"/>
                    <w:tr2bl w:val="nil"/>
                  </w:tcBorders>
                  <w:vAlign w:val="center"/>
                </w:tcPr>
                <w:p w14:paraId="64C92720">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w:t>
                  </w:r>
                </w:p>
              </w:tc>
              <w:tc>
                <w:tcPr>
                  <w:tcW w:w="1076" w:type="dxa"/>
                  <w:tcBorders>
                    <w:tl2br w:val="nil"/>
                    <w:tr2bl w:val="nil"/>
                  </w:tcBorders>
                  <w:vAlign w:val="center"/>
                </w:tcPr>
                <w:p w14:paraId="4ED9CFCC">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1.5</w:t>
                  </w:r>
                </w:p>
              </w:tc>
            </w:tr>
            <w:tr w14:paraId="3CE9C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7360F423">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vAlign w:val="center"/>
                </w:tcPr>
                <w:p w14:paraId="4D7BFDBB">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挥发性有机物</w:t>
                  </w:r>
                </w:p>
              </w:tc>
              <w:tc>
                <w:tcPr>
                  <w:tcW w:w="1528" w:type="dxa"/>
                  <w:tcBorders>
                    <w:tl2br w:val="nil"/>
                    <w:tr2bl w:val="nil"/>
                  </w:tcBorders>
                  <w:shd w:val="clear" w:color="auto" w:fill="auto"/>
                  <w:vAlign w:val="center"/>
                </w:tcPr>
                <w:p w14:paraId="6361B921">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vAlign w:val="center"/>
                </w:tcPr>
                <w:p w14:paraId="75D67C75">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0.977</w:t>
                  </w:r>
                </w:p>
              </w:tc>
              <w:tc>
                <w:tcPr>
                  <w:tcW w:w="1080" w:type="dxa"/>
                  <w:tcBorders>
                    <w:tl2br w:val="nil"/>
                    <w:tr2bl w:val="nil"/>
                  </w:tcBorders>
                  <w:vAlign w:val="center"/>
                </w:tcPr>
                <w:p w14:paraId="16D09E8A">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0.859</w:t>
                  </w:r>
                </w:p>
              </w:tc>
              <w:tc>
                <w:tcPr>
                  <w:tcW w:w="907" w:type="dxa"/>
                  <w:tcBorders>
                    <w:tl2br w:val="nil"/>
                    <w:tr2bl w:val="nil"/>
                  </w:tcBorders>
                  <w:vAlign w:val="center"/>
                </w:tcPr>
                <w:p w14:paraId="3EEA8B7A">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0.980</w:t>
                  </w:r>
                </w:p>
              </w:tc>
              <w:tc>
                <w:tcPr>
                  <w:tcW w:w="1076" w:type="dxa"/>
                  <w:tcBorders>
                    <w:tl2br w:val="nil"/>
                    <w:tr2bl w:val="nil"/>
                  </w:tcBorders>
                  <w:vAlign w:val="center"/>
                </w:tcPr>
                <w:p w14:paraId="57FD4ADE">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40</w:t>
                  </w:r>
                </w:p>
              </w:tc>
            </w:tr>
            <w:tr w14:paraId="0BF10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6CCDD704">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1ECAA7B9">
                  <w:pPr>
                    <w:pStyle w:val="13"/>
                    <w:jc w:val="center"/>
                    <w:rPr>
                      <w:rFonts w:hint="eastAsia" w:ascii="宋体" w:eastAsia="宋体"/>
                      <w:b w:val="0"/>
                      <w:bCs/>
                      <w:color w:val="auto"/>
                      <w:sz w:val="21"/>
                      <w:szCs w:val="21"/>
                      <w:vertAlign w:val="baseline"/>
                    </w:rPr>
                  </w:pPr>
                </w:p>
              </w:tc>
              <w:tc>
                <w:tcPr>
                  <w:tcW w:w="1528" w:type="dxa"/>
                  <w:tcBorders>
                    <w:tl2br w:val="nil"/>
                    <w:tr2bl w:val="nil"/>
                  </w:tcBorders>
                  <w:shd w:val="clear" w:color="auto" w:fill="auto"/>
                  <w:vAlign w:val="center"/>
                </w:tcPr>
                <w:p w14:paraId="522A2BDE">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vAlign w:val="center"/>
                </w:tcPr>
                <w:p w14:paraId="2C92B33D">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0.0198</w:t>
                  </w:r>
                </w:p>
              </w:tc>
              <w:tc>
                <w:tcPr>
                  <w:tcW w:w="1080" w:type="dxa"/>
                  <w:tcBorders>
                    <w:tl2br w:val="nil"/>
                    <w:tr2bl w:val="nil"/>
                  </w:tcBorders>
                  <w:vAlign w:val="center"/>
                </w:tcPr>
                <w:p w14:paraId="1A5B446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0.0172</w:t>
                  </w:r>
                </w:p>
              </w:tc>
              <w:tc>
                <w:tcPr>
                  <w:tcW w:w="907" w:type="dxa"/>
                  <w:tcBorders>
                    <w:tl2br w:val="nil"/>
                    <w:tr2bl w:val="nil"/>
                  </w:tcBorders>
                  <w:vAlign w:val="center"/>
                </w:tcPr>
                <w:p w14:paraId="513D5776">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0.0193</w:t>
                  </w:r>
                </w:p>
              </w:tc>
              <w:tc>
                <w:tcPr>
                  <w:tcW w:w="1076" w:type="dxa"/>
                  <w:tcBorders>
                    <w:tl2br w:val="nil"/>
                    <w:tr2bl w:val="nil"/>
                  </w:tcBorders>
                  <w:vAlign w:val="center"/>
                </w:tcPr>
                <w:p w14:paraId="7652A3B4">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w:t>
                  </w:r>
                </w:p>
              </w:tc>
            </w:tr>
            <w:tr w14:paraId="58C95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1E6780C1">
                  <w:pPr>
                    <w:pStyle w:val="13"/>
                    <w:jc w:val="center"/>
                    <w:rPr>
                      <w:rFonts w:hint="eastAsia" w:ascii="宋体" w:eastAsia="宋体"/>
                      <w:b w:val="0"/>
                      <w:bCs/>
                      <w:color w:val="auto"/>
                      <w:sz w:val="21"/>
                      <w:szCs w:val="21"/>
                      <w:vertAlign w:val="baseline"/>
                    </w:rPr>
                  </w:pPr>
                </w:p>
              </w:tc>
              <w:tc>
                <w:tcPr>
                  <w:tcW w:w="2405" w:type="dxa"/>
                  <w:gridSpan w:val="2"/>
                  <w:tcBorders>
                    <w:tl2br w:val="nil"/>
                    <w:tr2bl w:val="nil"/>
                  </w:tcBorders>
                  <w:vAlign w:val="center"/>
                </w:tcPr>
                <w:p w14:paraId="258686E3">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臭气（无量纲）</w:t>
                  </w:r>
                </w:p>
              </w:tc>
              <w:tc>
                <w:tcPr>
                  <w:tcW w:w="1052" w:type="dxa"/>
                  <w:tcBorders>
                    <w:tl2br w:val="nil"/>
                    <w:tr2bl w:val="nil"/>
                  </w:tcBorders>
                  <w:vAlign w:val="center"/>
                </w:tcPr>
                <w:p w14:paraId="4ADC2F5D">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478</w:t>
                  </w:r>
                </w:p>
              </w:tc>
              <w:tc>
                <w:tcPr>
                  <w:tcW w:w="1080" w:type="dxa"/>
                  <w:tcBorders>
                    <w:tl2br w:val="nil"/>
                    <w:tr2bl w:val="nil"/>
                  </w:tcBorders>
                  <w:vAlign w:val="center"/>
                </w:tcPr>
                <w:p w14:paraId="6F5EB0CB">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354</w:t>
                  </w:r>
                </w:p>
              </w:tc>
              <w:tc>
                <w:tcPr>
                  <w:tcW w:w="907" w:type="dxa"/>
                  <w:tcBorders>
                    <w:tl2br w:val="nil"/>
                    <w:tr2bl w:val="nil"/>
                  </w:tcBorders>
                  <w:vAlign w:val="center"/>
                </w:tcPr>
                <w:p w14:paraId="2FEF25C9">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416</w:t>
                  </w:r>
                </w:p>
              </w:tc>
              <w:tc>
                <w:tcPr>
                  <w:tcW w:w="1076" w:type="dxa"/>
                  <w:tcBorders>
                    <w:tl2br w:val="nil"/>
                    <w:tr2bl w:val="nil"/>
                  </w:tcBorders>
                  <w:vAlign w:val="center"/>
                </w:tcPr>
                <w:p w14:paraId="73581929">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1000</w:t>
                  </w:r>
                </w:p>
              </w:tc>
            </w:tr>
            <w:tr w14:paraId="2CFDE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6B03D7D5">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vAlign w:val="center"/>
                </w:tcPr>
                <w:p w14:paraId="18F62751">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烟气参数</w:t>
                  </w:r>
                </w:p>
              </w:tc>
              <w:tc>
                <w:tcPr>
                  <w:tcW w:w="1528" w:type="dxa"/>
                  <w:tcBorders>
                    <w:tl2br w:val="nil"/>
                    <w:tr2bl w:val="nil"/>
                  </w:tcBorders>
                  <w:vAlign w:val="center"/>
                </w:tcPr>
                <w:p w14:paraId="246FDDF8">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温度℃</w:t>
                  </w:r>
                </w:p>
              </w:tc>
              <w:tc>
                <w:tcPr>
                  <w:tcW w:w="1052" w:type="dxa"/>
                  <w:tcBorders>
                    <w:tl2br w:val="nil"/>
                    <w:tr2bl w:val="nil"/>
                  </w:tcBorders>
                  <w:vAlign w:val="center"/>
                </w:tcPr>
                <w:p w14:paraId="100CF66C">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32.9</w:t>
                  </w:r>
                </w:p>
              </w:tc>
              <w:tc>
                <w:tcPr>
                  <w:tcW w:w="1080" w:type="dxa"/>
                  <w:tcBorders>
                    <w:tl2br w:val="nil"/>
                    <w:tr2bl w:val="nil"/>
                  </w:tcBorders>
                  <w:vAlign w:val="center"/>
                </w:tcPr>
                <w:p w14:paraId="673875A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33.6</w:t>
                  </w:r>
                </w:p>
              </w:tc>
              <w:tc>
                <w:tcPr>
                  <w:tcW w:w="907" w:type="dxa"/>
                  <w:tcBorders>
                    <w:tl2br w:val="nil"/>
                    <w:tr2bl w:val="nil"/>
                  </w:tcBorders>
                  <w:vAlign w:val="center"/>
                </w:tcPr>
                <w:p w14:paraId="15BF361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32.5</w:t>
                  </w:r>
                </w:p>
              </w:tc>
              <w:tc>
                <w:tcPr>
                  <w:tcW w:w="1076" w:type="dxa"/>
                  <w:tcBorders>
                    <w:tl2br w:val="nil"/>
                    <w:tr2bl w:val="nil"/>
                  </w:tcBorders>
                  <w:vAlign w:val="center"/>
                </w:tcPr>
                <w:p w14:paraId="049583C1">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w:t>
                  </w:r>
                </w:p>
              </w:tc>
            </w:tr>
            <w:tr w14:paraId="145A8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0ABFFA8E">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64A69A8A">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11E67920">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流速m/s</w:t>
                  </w:r>
                </w:p>
              </w:tc>
              <w:tc>
                <w:tcPr>
                  <w:tcW w:w="1052" w:type="dxa"/>
                  <w:tcBorders>
                    <w:tl2br w:val="nil"/>
                    <w:tr2bl w:val="nil"/>
                  </w:tcBorders>
                  <w:vAlign w:val="center"/>
                </w:tcPr>
                <w:p w14:paraId="4E211D4A">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23.1</w:t>
                  </w:r>
                </w:p>
              </w:tc>
              <w:tc>
                <w:tcPr>
                  <w:tcW w:w="1080" w:type="dxa"/>
                  <w:tcBorders>
                    <w:tl2br w:val="nil"/>
                    <w:tr2bl w:val="nil"/>
                  </w:tcBorders>
                  <w:vAlign w:val="center"/>
                </w:tcPr>
                <w:p w14:paraId="74857E97">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22.9</w:t>
                  </w:r>
                </w:p>
              </w:tc>
              <w:tc>
                <w:tcPr>
                  <w:tcW w:w="907" w:type="dxa"/>
                  <w:tcBorders>
                    <w:tl2br w:val="nil"/>
                    <w:tr2bl w:val="nil"/>
                  </w:tcBorders>
                  <w:vAlign w:val="center"/>
                </w:tcPr>
                <w:p w14:paraId="252B701A">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22.4</w:t>
                  </w:r>
                </w:p>
              </w:tc>
              <w:tc>
                <w:tcPr>
                  <w:tcW w:w="1076" w:type="dxa"/>
                  <w:tcBorders>
                    <w:tl2br w:val="nil"/>
                    <w:tr2bl w:val="nil"/>
                  </w:tcBorders>
                  <w:vAlign w:val="center"/>
                </w:tcPr>
                <w:p w14:paraId="02F8399F">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w:t>
                  </w:r>
                </w:p>
              </w:tc>
            </w:tr>
            <w:tr w14:paraId="07378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59322FDE">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52660E56">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72424FD9">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流量Nm</w:t>
                  </w:r>
                  <w:r>
                    <w:rPr>
                      <w:rFonts w:hint="eastAsia" w:ascii="宋体" w:eastAsia="宋体"/>
                      <w:b w:val="0"/>
                      <w:bCs/>
                      <w:color w:val="auto"/>
                      <w:sz w:val="21"/>
                      <w:szCs w:val="21"/>
                      <w:vertAlign w:val="superscript"/>
                      <w:lang w:val="en-US" w:eastAsia="zh-CN"/>
                    </w:rPr>
                    <w:t>3</w:t>
                  </w:r>
                  <w:r>
                    <w:rPr>
                      <w:rFonts w:hint="eastAsia" w:ascii="宋体" w:eastAsia="宋体"/>
                      <w:b w:val="0"/>
                      <w:bCs/>
                      <w:color w:val="auto"/>
                      <w:sz w:val="21"/>
                      <w:szCs w:val="21"/>
                      <w:vertAlign w:val="baseline"/>
                      <w:lang w:val="en-US" w:eastAsia="zh-CN"/>
                    </w:rPr>
                    <w:t>/h</w:t>
                  </w:r>
                </w:p>
              </w:tc>
              <w:tc>
                <w:tcPr>
                  <w:tcW w:w="1052" w:type="dxa"/>
                  <w:tcBorders>
                    <w:tl2br w:val="nil"/>
                    <w:tr2bl w:val="nil"/>
                  </w:tcBorders>
                  <w:vAlign w:val="center"/>
                </w:tcPr>
                <w:p w14:paraId="389A9DE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20286</w:t>
                  </w:r>
                </w:p>
              </w:tc>
              <w:tc>
                <w:tcPr>
                  <w:tcW w:w="1080" w:type="dxa"/>
                  <w:tcBorders>
                    <w:tl2br w:val="nil"/>
                    <w:tr2bl w:val="nil"/>
                  </w:tcBorders>
                  <w:vAlign w:val="center"/>
                </w:tcPr>
                <w:p w14:paraId="5A75D82F">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20056</w:t>
                  </w:r>
                </w:p>
              </w:tc>
              <w:tc>
                <w:tcPr>
                  <w:tcW w:w="907" w:type="dxa"/>
                  <w:tcBorders>
                    <w:tl2br w:val="nil"/>
                    <w:tr2bl w:val="nil"/>
                  </w:tcBorders>
                  <w:vAlign w:val="center"/>
                </w:tcPr>
                <w:p w14:paraId="37795400">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19677</w:t>
                  </w:r>
                </w:p>
              </w:tc>
              <w:tc>
                <w:tcPr>
                  <w:tcW w:w="1076" w:type="dxa"/>
                  <w:tcBorders>
                    <w:tl2br w:val="nil"/>
                    <w:tr2bl w:val="nil"/>
                  </w:tcBorders>
                  <w:vAlign w:val="center"/>
                </w:tcPr>
                <w:p w14:paraId="5C4A55AC">
                  <w:pPr>
                    <w:pStyle w:val="13"/>
                    <w:jc w:val="center"/>
                    <w:rPr>
                      <w:rFonts w:hint="eastAsia"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w:t>
                  </w:r>
                </w:p>
              </w:tc>
            </w:tr>
            <w:tr w14:paraId="37ED6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restart"/>
                  <w:tcBorders>
                    <w:tl2br w:val="nil"/>
                    <w:tr2bl w:val="nil"/>
                  </w:tcBorders>
                  <w:vAlign w:val="center"/>
                </w:tcPr>
                <w:p w14:paraId="71FD4772">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2023.05.25（进口）</w:t>
                  </w:r>
                </w:p>
              </w:tc>
              <w:tc>
                <w:tcPr>
                  <w:tcW w:w="877" w:type="dxa"/>
                  <w:vMerge w:val="restart"/>
                  <w:tcBorders>
                    <w:tl2br w:val="nil"/>
                    <w:tr2bl w:val="nil"/>
                  </w:tcBorders>
                  <w:shd w:val="clear" w:color="auto" w:fill="auto"/>
                  <w:vAlign w:val="center"/>
                </w:tcPr>
                <w:p w14:paraId="0AC97B34">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颗粒物</w:t>
                  </w:r>
                </w:p>
                <w:p w14:paraId="1AE0B4D2">
                  <w:pPr>
                    <w:pStyle w:val="13"/>
                    <w:jc w:val="center"/>
                    <w:rPr>
                      <w:rFonts w:hint="eastAsia" w:ascii="宋体" w:eastAsia="宋体"/>
                      <w:b w:val="0"/>
                      <w:bCs/>
                      <w:color w:val="auto"/>
                      <w:sz w:val="21"/>
                      <w:szCs w:val="21"/>
                      <w:vertAlign w:val="baseline"/>
                    </w:rPr>
                  </w:pPr>
                </w:p>
              </w:tc>
              <w:tc>
                <w:tcPr>
                  <w:tcW w:w="1528" w:type="dxa"/>
                  <w:tcBorders>
                    <w:tl2br w:val="nil"/>
                    <w:tr2bl w:val="nil"/>
                  </w:tcBorders>
                  <w:shd w:val="clear" w:color="auto" w:fill="auto"/>
                  <w:vAlign w:val="center"/>
                </w:tcPr>
                <w:p w14:paraId="441669FF">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shd w:val="clear" w:color="auto" w:fill="auto"/>
                  <w:vAlign w:val="center"/>
                </w:tcPr>
                <w:p w14:paraId="07D964F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1080" w:type="dxa"/>
                  <w:tcBorders>
                    <w:tl2br w:val="nil"/>
                    <w:tr2bl w:val="nil"/>
                  </w:tcBorders>
                  <w:shd w:val="clear" w:color="auto" w:fill="auto"/>
                  <w:vAlign w:val="center"/>
                </w:tcPr>
                <w:p w14:paraId="63D38E3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907" w:type="dxa"/>
                  <w:tcBorders>
                    <w:tl2br w:val="nil"/>
                    <w:tr2bl w:val="nil"/>
                  </w:tcBorders>
                  <w:shd w:val="clear" w:color="auto" w:fill="auto"/>
                  <w:vAlign w:val="center"/>
                </w:tcPr>
                <w:p w14:paraId="198FDE43">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1076" w:type="dxa"/>
                  <w:tcBorders>
                    <w:tl2br w:val="nil"/>
                    <w:tr2bl w:val="nil"/>
                  </w:tcBorders>
                  <w:shd w:val="clear" w:color="auto" w:fill="auto"/>
                  <w:vAlign w:val="center"/>
                </w:tcPr>
                <w:p w14:paraId="60A298FD">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30</w:t>
                  </w:r>
                </w:p>
              </w:tc>
            </w:tr>
            <w:tr w14:paraId="62B00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005B06B9">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131FE0C9">
                  <w:pPr>
                    <w:pStyle w:val="13"/>
                    <w:jc w:val="center"/>
                    <w:rPr>
                      <w:rFonts w:hint="eastAsia" w:ascii="宋体" w:eastAsia="宋体"/>
                      <w:b w:val="0"/>
                      <w:bCs/>
                      <w:color w:val="auto"/>
                      <w:sz w:val="21"/>
                      <w:szCs w:val="21"/>
                      <w:vertAlign w:val="baseline"/>
                    </w:rPr>
                  </w:pPr>
                </w:p>
              </w:tc>
              <w:tc>
                <w:tcPr>
                  <w:tcW w:w="1528" w:type="dxa"/>
                  <w:tcBorders>
                    <w:tl2br w:val="nil"/>
                    <w:tr2bl w:val="nil"/>
                  </w:tcBorders>
                  <w:shd w:val="clear" w:color="auto" w:fill="auto"/>
                  <w:vAlign w:val="center"/>
                </w:tcPr>
                <w:p w14:paraId="1C155374">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shd w:val="clear" w:color="auto" w:fill="auto"/>
                  <w:vAlign w:val="center"/>
                </w:tcPr>
                <w:p w14:paraId="45082CD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1080" w:type="dxa"/>
                  <w:tcBorders>
                    <w:tl2br w:val="nil"/>
                    <w:tr2bl w:val="nil"/>
                  </w:tcBorders>
                  <w:shd w:val="clear" w:color="auto" w:fill="auto"/>
                  <w:vAlign w:val="center"/>
                </w:tcPr>
                <w:p w14:paraId="5E094DBF">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907" w:type="dxa"/>
                  <w:tcBorders>
                    <w:tl2br w:val="nil"/>
                    <w:tr2bl w:val="nil"/>
                  </w:tcBorders>
                  <w:shd w:val="clear" w:color="auto" w:fill="auto"/>
                  <w:vAlign w:val="center"/>
                </w:tcPr>
                <w:p w14:paraId="7C1B27A2">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1076" w:type="dxa"/>
                  <w:tcBorders>
                    <w:tl2br w:val="nil"/>
                    <w:tr2bl w:val="nil"/>
                  </w:tcBorders>
                  <w:shd w:val="clear" w:color="auto" w:fill="auto"/>
                  <w:vAlign w:val="center"/>
                </w:tcPr>
                <w:p w14:paraId="3EA3F875">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1.5</w:t>
                  </w:r>
                </w:p>
              </w:tc>
            </w:tr>
            <w:tr w14:paraId="162EC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7B82280E">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shd w:val="clear" w:color="auto" w:fill="auto"/>
                  <w:vAlign w:val="center"/>
                </w:tcPr>
                <w:p w14:paraId="4F1377CD">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挥发性有机物</w:t>
                  </w:r>
                </w:p>
                <w:p w14:paraId="171660D7">
                  <w:pPr>
                    <w:pStyle w:val="13"/>
                    <w:jc w:val="center"/>
                    <w:rPr>
                      <w:rFonts w:hint="eastAsia" w:ascii="宋体" w:eastAsia="宋体"/>
                      <w:b w:val="0"/>
                      <w:bCs/>
                      <w:color w:val="auto"/>
                      <w:sz w:val="21"/>
                      <w:szCs w:val="21"/>
                      <w:vertAlign w:val="baseline"/>
                    </w:rPr>
                  </w:pPr>
                </w:p>
              </w:tc>
              <w:tc>
                <w:tcPr>
                  <w:tcW w:w="1528" w:type="dxa"/>
                  <w:tcBorders>
                    <w:tl2br w:val="nil"/>
                    <w:tr2bl w:val="nil"/>
                  </w:tcBorders>
                  <w:shd w:val="clear" w:color="auto" w:fill="auto"/>
                  <w:vAlign w:val="center"/>
                </w:tcPr>
                <w:p w14:paraId="2C8DB764">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vAlign w:val="center"/>
                </w:tcPr>
                <w:p w14:paraId="6C6F59B3">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1.27</w:t>
                  </w:r>
                </w:p>
              </w:tc>
              <w:tc>
                <w:tcPr>
                  <w:tcW w:w="1080" w:type="dxa"/>
                  <w:tcBorders>
                    <w:tl2br w:val="nil"/>
                    <w:tr2bl w:val="nil"/>
                  </w:tcBorders>
                  <w:vAlign w:val="center"/>
                </w:tcPr>
                <w:p w14:paraId="20F4B665">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1.15</w:t>
                  </w:r>
                </w:p>
              </w:tc>
              <w:tc>
                <w:tcPr>
                  <w:tcW w:w="907" w:type="dxa"/>
                  <w:tcBorders>
                    <w:tl2br w:val="nil"/>
                    <w:tr2bl w:val="nil"/>
                  </w:tcBorders>
                  <w:vAlign w:val="center"/>
                </w:tcPr>
                <w:p w14:paraId="533A7079">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1.43</w:t>
                  </w:r>
                </w:p>
              </w:tc>
              <w:tc>
                <w:tcPr>
                  <w:tcW w:w="1076" w:type="dxa"/>
                  <w:tcBorders>
                    <w:tl2br w:val="nil"/>
                    <w:tr2bl w:val="nil"/>
                  </w:tcBorders>
                  <w:shd w:val="clear" w:color="auto" w:fill="auto"/>
                  <w:vAlign w:val="center"/>
                </w:tcPr>
                <w:p w14:paraId="7CFD561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40</w:t>
                  </w:r>
                </w:p>
              </w:tc>
            </w:tr>
            <w:tr w14:paraId="29878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7527859C">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shd w:val="clear" w:color="auto" w:fill="auto"/>
                  <w:vAlign w:val="center"/>
                </w:tcPr>
                <w:p w14:paraId="78A73D0F">
                  <w:pPr>
                    <w:pStyle w:val="13"/>
                    <w:jc w:val="center"/>
                    <w:rPr>
                      <w:rFonts w:hint="eastAsia" w:ascii="宋体" w:hAnsi="Times New Roman" w:eastAsia="宋体" w:cs="Times New Roman"/>
                      <w:b w:val="0"/>
                      <w:bCs/>
                      <w:color w:val="auto"/>
                      <w:kern w:val="0"/>
                      <w:sz w:val="21"/>
                      <w:szCs w:val="21"/>
                      <w:vertAlign w:val="baseline"/>
                      <w:lang w:val="en-US" w:eastAsia="zh-CN" w:bidi="ar-SA"/>
                    </w:rPr>
                  </w:pPr>
                </w:p>
              </w:tc>
              <w:tc>
                <w:tcPr>
                  <w:tcW w:w="1528" w:type="dxa"/>
                  <w:tcBorders>
                    <w:tl2br w:val="nil"/>
                    <w:tr2bl w:val="nil"/>
                  </w:tcBorders>
                  <w:shd w:val="clear" w:color="auto" w:fill="auto"/>
                  <w:vAlign w:val="center"/>
                </w:tcPr>
                <w:p w14:paraId="588CFFAE">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vAlign w:val="center"/>
                </w:tcPr>
                <w:p w14:paraId="7E598E97">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0.0245</w:t>
                  </w:r>
                </w:p>
              </w:tc>
              <w:tc>
                <w:tcPr>
                  <w:tcW w:w="1080" w:type="dxa"/>
                  <w:tcBorders>
                    <w:tl2br w:val="nil"/>
                    <w:tr2bl w:val="nil"/>
                  </w:tcBorders>
                  <w:vAlign w:val="center"/>
                </w:tcPr>
                <w:p w14:paraId="1911A4AB">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0.0219</w:t>
                  </w:r>
                </w:p>
              </w:tc>
              <w:tc>
                <w:tcPr>
                  <w:tcW w:w="907" w:type="dxa"/>
                  <w:tcBorders>
                    <w:tl2br w:val="nil"/>
                    <w:tr2bl w:val="nil"/>
                  </w:tcBorders>
                  <w:vAlign w:val="center"/>
                </w:tcPr>
                <w:p w14:paraId="4385E5B8">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0.0284</w:t>
                  </w:r>
                </w:p>
              </w:tc>
              <w:tc>
                <w:tcPr>
                  <w:tcW w:w="1076" w:type="dxa"/>
                  <w:tcBorders>
                    <w:tl2br w:val="nil"/>
                    <w:tr2bl w:val="nil"/>
                  </w:tcBorders>
                  <w:shd w:val="clear" w:color="auto" w:fill="auto"/>
                  <w:vAlign w:val="center"/>
                </w:tcPr>
                <w:p w14:paraId="41113653">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32FCD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6F59F04E">
                  <w:pPr>
                    <w:pStyle w:val="13"/>
                    <w:jc w:val="center"/>
                    <w:rPr>
                      <w:rFonts w:hint="eastAsia" w:ascii="宋体" w:eastAsia="宋体"/>
                      <w:b w:val="0"/>
                      <w:bCs/>
                      <w:color w:val="auto"/>
                      <w:sz w:val="21"/>
                      <w:szCs w:val="21"/>
                      <w:vertAlign w:val="baseline"/>
                    </w:rPr>
                  </w:pPr>
                </w:p>
              </w:tc>
              <w:tc>
                <w:tcPr>
                  <w:tcW w:w="2405" w:type="dxa"/>
                  <w:gridSpan w:val="2"/>
                  <w:tcBorders>
                    <w:tl2br w:val="nil"/>
                    <w:tr2bl w:val="nil"/>
                  </w:tcBorders>
                  <w:shd w:val="clear" w:color="auto" w:fill="auto"/>
                  <w:vAlign w:val="center"/>
                </w:tcPr>
                <w:p w14:paraId="403E3B85">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臭气（无量纲）</w:t>
                  </w:r>
                </w:p>
              </w:tc>
              <w:tc>
                <w:tcPr>
                  <w:tcW w:w="1052" w:type="dxa"/>
                  <w:tcBorders>
                    <w:tl2br w:val="nil"/>
                    <w:tr2bl w:val="nil"/>
                  </w:tcBorders>
                  <w:vAlign w:val="center"/>
                </w:tcPr>
                <w:p w14:paraId="3FD52DA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851</w:t>
                  </w:r>
                </w:p>
              </w:tc>
              <w:tc>
                <w:tcPr>
                  <w:tcW w:w="1080" w:type="dxa"/>
                  <w:tcBorders>
                    <w:tl2br w:val="nil"/>
                    <w:tr2bl w:val="nil"/>
                  </w:tcBorders>
                  <w:vAlign w:val="center"/>
                </w:tcPr>
                <w:p w14:paraId="05B275F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630</w:t>
                  </w:r>
                </w:p>
              </w:tc>
              <w:tc>
                <w:tcPr>
                  <w:tcW w:w="907" w:type="dxa"/>
                  <w:tcBorders>
                    <w:tl2br w:val="nil"/>
                    <w:tr2bl w:val="nil"/>
                  </w:tcBorders>
                  <w:vAlign w:val="center"/>
                </w:tcPr>
                <w:p w14:paraId="08272B76">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851</w:t>
                  </w:r>
                </w:p>
              </w:tc>
              <w:tc>
                <w:tcPr>
                  <w:tcW w:w="1076" w:type="dxa"/>
                  <w:tcBorders>
                    <w:tl2br w:val="nil"/>
                    <w:tr2bl w:val="nil"/>
                  </w:tcBorders>
                  <w:vAlign w:val="center"/>
                </w:tcPr>
                <w:p w14:paraId="72A6174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1000</w:t>
                  </w:r>
                </w:p>
              </w:tc>
            </w:tr>
            <w:tr w14:paraId="498F9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398663D5">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shd w:val="clear" w:color="auto" w:fill="auto"/>
                  <w:vAlign w:val="center"/>
                </w:tcPr>
                <w:p w14:paraId="0059623C">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烟气参数</w:t>
                  </w:r>
                </w:p>
                <w:p w14:paraId="73289C10">
                  <w:pPr>
                    <w:pStyle w:val="13"/>
                    <w:jc w:val="center"/>
                    <w:rPr>
                      <w:rFonts w:hint="eastAsia" w:ascii="宋体" w:eastAsia="宋体"/>
                      <w:b w:val="0"/>
                      <w:bCs/>
                      <w:color w:val="auto"/>
                      <w:sz w:val="21"/>
                      <w:szCs w:val="21"/>
                      <w:vertAlign w:val="baseline"/>
                    </w:rPr>
                  </w:pPr>
                </w:p>
              </w:tc>
              <w:tc>
                <w:tcPr>
                  <w:tcW w:w="1528" w:type="dxa"/>
                  <w:tcBorders>
                    <w:tl2br w:val="nil"/>
                    <w:tr2bl w:val="nil"/>
                  </w:tcBorders>
                  <w:shd w:val="clear" w:color="auto" w:fill="auto"/>
                  <w:vAlign w:val="center"/>
                </w:tcPr>
                <w:p w14:paraId="7A249833">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温度℃</w:t>
                  </w:r>
                </w:p>
              </w:tc>
              <w:tc>
                <w:tcPr>
                  <w:tcW w:w="1052" w:type="dxa"/>
                  <w:tcBorders>
                    <w:tl2br w:val="nil"/>
                    <w:tr2bl w:val="nil"/>
                  </w:tcBorders>
                  <w:vAlign w:val="center"/>
                </w:tcPr>
                <w:p w14:paraId="25827E83">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27.5</w:t>
                  </w:r>
                </w:p>
              </w:tc>
              <w:tc>
                <w:tcPr>
                  <w:tcW w:w="1080" w:type="dxa"/>
                  <w:tcBorders>
                    <w:tl2br w:val="nil"/>
                    <w:tr2bl w:val="nil"/>
                  </w:tcBorders>
                  <w:vAlign w:val="center"/>
                </w:tcPr>
                <w:p w14:paraId="1D0393EF">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27.1</w:t>
                  </w:r>
                </w:p>
              </w:tc>
              <w:tc>
                <w:tcPr>
                  <w:tcW w:w="907" w:type="dxa"/>
                  <w:tcBorders>
                    <w:tl2br w:val="nil"/>
                    <w:tr2bl w:val="nil"/>
                  </w:tcBorders>
                  <w:vAlign w:val="center"/>
                </w:tcPr>
                <w:p w14:paraId="7B87CABE">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28.2</w:t>
                  </w:r>
                </w:p>
              </w:tc>
              <w:tc>
                <w:tcPr>
                  <w:tcW w:w="1076" w:type="dxa"/>
                  <w:tcBorders>
                    <w:tl2br w:val="nil"/>
                    <w:tr2bl w:val="nil"/>
                  </w:tcBorders>
                  <w:shd w:val="clear" w:color="auto" w:fill="auto"/>
                  <w:vAlign w:val="center"/>
                </w:tcPr>
                <w:p w14:paraId="2D9951F9">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193E9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68867BC2">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6FAD47FE">
                  <w:pPr>
                    <w:pStyle w:val="13"/>
                    <w:jc w:val="center"/>
                    <w:rPr>
                      <w:rFonts w:hint="eastAsia" w:ascii="宋体" w:eastAsia="宋体"/>
                      <w:b w:val="0"/>
                      <w:bCs/>
                      <w:color w:val="auto"/>
                      <w:sz w:val="21"/>
                      <w:szCs w:val="21"/>
                      <w:vertAlign w:val="baseline"/>
                    </w:rPr>
                  </w:pPr>
                </w:p>
              </w:tc>
              <w:tc>
                <w:tcPr>
                  <w:tcW w:w="1528" w:type="dxa"/>
                  <w:tcBorders>
                    <w:tl2br w:val="nil"/>
                    <w:tr2bl w:val="nil"/>
                  </w:tcBorders>
                  <w:shd w:val="clear" w:color="auto" w:fill="auto"/>
                  <w:vAlign w:val="center"/>
                </w:tcPr>
                <w:p w14:paraId="753AE54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流速m/s</w:t>
                  </w:r>
                </w:p>
              </w:tc>
              <w:tc>
                <w:tcPr>
                  <w:tcW w:w="1052" w:type="dxa"/>
                  <w:tcBorders>
                    <w:tl2br w:val="nil"/>
                    <w:tr2bl w:val="nil"/>
                  </w:tcBorders>
                  <w:vAlign w:val="center"/>
                </w:tcPr>
                <w:p w14:paraId="7477FEF9">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21.6</w:t>
                  </w:r>
                </w:p>
              </w:tc>
              <w:tc>
                <w:tcPr>
                  <w:tcW w:w="1080" w:type="dxa"/>
                  <w:tcBorders>
                    <w:tl2br w:val="nil"/>
                    <w:tr2bl w:val="nil"/>
                  </w:tcBorders>
                  <w:vAlign w:val="center"/>
                </w:tcPr>
                <w:p w14:paraId="645CBD7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21.3</w:t>
                  </w:r>
                </w:p>
              </w:tc>
              <w:tc>
                <w:tcPr>
                  <w:tcW w:w="907" w:type="dxa"/>
                  <w:tcBorders>
                    <w:tl2br w:val="nil"/>
                    <w:tr2bl w:val="nil"/>
                  </w:tcBorders>
                  <w:vAlign w:val="center"/>
                </w:tcPr>
                <w:p w14:paraId="0DB1C12E">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22.3</w:t>
                  </w:r>
                </w:p>
              </w:tc>
              <w:tc>
                <w:tcPr>
                  <w:tcW w:w="1076" w:type="dxa"/>
                  <w:tcBorders>
                    <w:tl2br w:val="nil"/>
                    <w:tr2bl w:val="nil"/>
                  </w:tcBorders>
                  <w:shd w:val="clear" w:color="auto" w:fill="auto"/>
                  <w:vAlign w:val="center"/>
                </w:tcPr>
                <w:p w14:paraId="10FCDDA4">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62C90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3DEC759E">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79D2443E">
                  <w:pPr>
                    <w:pStyle w:val="13"/>
                    <w:jc w:val="center"/>
                    <w:rPr>
                      <w:rFonts w:hint="eastAsia" w:ascii="宋体" w:eastAsia="宋体"/>
                      <w:b w:val="0"/>
                      <w:bCs/>
                      <w:color w:val="auto"/>
                      <w:sz w:val="21"/>
                      <w:szCs w:val="21"/>
                      <w:vertAlign w:val="baseline"/>
                    </w:rPr>
                  </w:pPr>
                </w:p>
              </w:tc>
              <w:tc>
                <w:tcPr>
                  <w:tcW w:w="1528" w:type="dxa"/>
                  <w:tcBorders>
                    <w:tl2br w:val="nil"/>
                    <w:tr2bl w:val="nil"/>
                  </w:tcBorders>
                  <w:shd w:val="clear" w:color="auto" w:fill="auto"/>
                  <w:vAlign w:val="center"/>
                </w:tcPr>
                <w:p w14:paraId="729645A3">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流量Nm</w:t>
                  </w:r>
                  <w:r>
                    <w:rPr>
                      <w:rFonts w:hint="eastAsia" w:ascii="宋体" w:eastAsia="宋体"/>
                      <w:b w:val="0"/>
                      <w:bCs/>
                      <w:color w:val="auto"/>
                      <w:sz w:val="21"/>
                      <w:szCs w:val="21"/>
                      <w:vertAlign w:val="superscript"/>
                      <w:lang w:val="en-US" w:eastAsia="zh-CN"/>
                    </w:rPr>
                    <w:t>3</w:t>
                  </w:r>
                  <w:r>
                    <w:rPr>
                      <w:rFonts w:hint="eastAsia" w:ascii="宋体" w:eastAsia="宋体"/>
                      <w:b w:val="0"/>
                      <w:bCs/>
                      <w:color w:val="auto"/>
                      <w:sz w:val="21"/>
                      <w:szCs w:val="21"/>
                      <w:vertAlign w:val="baseline"/>
                      <w:lang w:val="en-US" w:eastAsia="zh-CN"/>
                    </w:rPr>
                    <w:t>/h</w:t>
                  </w:r>
                </w:p>
              </w:tc>
              <w:tc>
                <w:tcPr>
                  <w:tcW w:w="1052" w:type="dxa"/>
                  <w:tcBorders>
                    <w:tl2br w:val="nil"/>
                    <w:tr2bl w:val="nil"/>
                  </w:tcBorders>
                  <w:vAlign w:val="center"/>
                </w:tcPr>
                <w:p w14:paraId="3E912FE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19315</w:t>
                  </w:r>
                </w:p>
              </w:tc>
              <w:tc>
                <w:tcPr>
                  <w:tcW w:w="1080" w:type="dxa"/>
                  <w:tcBorders>
                    <w:tl2br w:val="nil"/>
                    <w:tr2bl w:val="nil"/>
                  </w:tcBorders>
                  <w:vAlign w:val="center"/>
                </w:tcPr>
                <w:p w14:paraId="5EC6FAF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19055</w:t>
                  </w:r>
                </w:p>
              </w:tc>
              <w:tc>
                <w:tcPr>
                  <w:tcW w:w="907" w:type="dxa"/>
                  <w:tcBorders>
                    <w:tl2br w:val="nil"/>
                    <w:tr2bl w:val="nil"/>
                  </w:tcBorders>
                  <w:vAlign w:val="center"/>
                </w:tcPr>
                <w:p w14:paraId="37E8D33A">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19891</w:t>
                  </w:r>
                </w:p>
              </w:tc>
              <w:tc>
                <w:tcPr>
                  <w:tcW w:w="1076" w:type="dxa"/>
                  <w:tcBorders>
                    <w:tl2br w:val="nil"/>
                    <w:tr2bl w:val="nil"/>
                  </w:tcBorders>
                  <w:shd w:val="clear" w:color="auto" w:fill="auto"/>
                  <w:vAlign w:val="center"/>
                </w:tcPr>
                <w:p w14:paraId="637CD8E8">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3D0C5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restart"/>
                  <w:tcBorders>
                    <w:tl2br w:val="nil"/>
                    <w:tr2bl w:val="nil"/>
                  </w:tcBorders>
                  <w:shd w:val="clear" w:color="auto" w:fill="auto"/>
                  <w:vAlign w:val="center"/>
                </w:tcPr>
                <w:p w14:paraId="3AFD6915">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2023.05.26（出口）</w:t>
                  </w:r>
                </w:p>
                <w:p w14:paraId="21C08AB1">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vAlign w:val="center"/>
                </w:tcPr>
                <w:p w14:paraId="1474A13C">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颗粒物</w:t>
                  </w:r>
                </w:p>
              </w:tc>
              <w:tc>
                <w:tcPr>
                  <w:tcW w:w="1528" w:type="dxa"/>
                  <w:tcBorders>
                    <w:tl2br w:val="nil"/>
                    <w:tr2bl w:val="nil"/>
                  </w:tcBorders>
                  <w:vAlign w:val="center"/>
                </w:tcPr>
                <w:p w14:paraId="7C77B7C5">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shd w:val="clear" w:color="auto" w:fill="auto"/>
                  <w:vAlign w:val="center"/>
                </w:tcPr>
                <w:p w14:paraId="217BB1E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1080" w:type="dxa"/>
                  <w:tcBorders>
                    <w:tl2br w:val="nil"/>
                    <w:tr2bl w:val="nil"/>
                  </w:tcBorders>
                  <w:shd w:val="clear" w:color="auto" w:fill="auto"/>
                  <w:vAlign w:val="center"/>
                </w:tcPr>
                <w:p w14:paraId="583566F9">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907" w:type="dxa"/>
                  <w:tcBorders>
                    <w:tl2br w:val="nil"/>
                    <w:tr2bl w:val="nil"/>
                  </w:tcBorders>
                  <w:shd w:val="clear" w:color="auto" w:fill="auto"/>
                  <w:vAlign w:val="center"/>
                </w:tcPr>
                <w:p w14:paraId="4E5DBD0E">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1076" w:type="dxa"/>
                  <w:tcBorders>
                    <w:tl2br w:val="nil"/>
                    <w:tr2bl w:val="nil"/>
                  </w:tcBorders>
                  <w:shd w:val="clear" w:color="auto" w:fill="auto"/>
                  <w:vAlign w:val="center"/>
                </w:tcPr>
                <w:p w14:paraId="5BB99F2F">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30</w:t>
                  </w:r>
                </w:p>
              </w:tc>
            </w:tr>
            <w:tr w14:paraId="0B41C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00D5923A">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2C1C2EB0">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657FD8DD">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shd w:val="clear" w:color="auto" w:fill="auto"/>
                  <w:vAlign w:val="center"/>
                </w:tcPr>
                <w:p w14:paraId="770D483D">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1080" w:type="dxa"/>
                  <w:tcBorders>
                    <w:tl2br w:val="nil"/>
                    <w:tr2bl w:val="nil"/>
                  </w:tcBorders>
                  <w:shd w:val="clear" w:color="auto" w:fill="auto"/>
                  <w:vAlign w:val="center"/>
                </w:tcPr>
                <w:p w14:paraId="58AD8BCE">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907" w:type="dxa"/>
                  <w:tcBorders>
                    <w:tl2br w:val="nil"/>
                    <w:tr2bl w:val="nil"/>
                  </w:tcBorders>
                  <w:shd w:val="clear" w:color="auto" w:fill="auto"/>
                  <w:vAlign w:val="center"/>
                </w:tcPr>
                <w:p w14:paraId="6A272A53">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1076" w:type="dxa"/>
                  <w:tcBorders>
                    <w:tl2br w:val="nil"/>
                    <w:tr2bl w:val="nil"/>
                  </w:tcBorders>
                  <w:shd w:val="clear" w:color="auto" w:fill="auto"/>
                  <w:vAlign w:val="center"/>
                </w:tcPr>
                <w:p w14:paraId="28709CD1">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1.5</w:t>
                  </w:r>
                </w:p>
              </w:tc>
            </w:tr>
            <w:tr w14:paraId="0A7C5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5B88A5A4">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vAlign w:val="center"/>
                </w:tcPr>
                <w:p w14:paraId="05FC96AF">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挥发性有机物</w:t>
                  </w:r>
                </w:p>
              </w:tc>
              <w:tc>
                <w:tcPr>
                  <w:tcW w:w="1528" w:type="dxa"/>
                  <w:tcBorders>
                    <w:tl2br w:val="nil"/>
                    <w:tr2bl w:val="nil"/>
                  </w:tcBorders>
                  <w:vAlign w:val="center"/>
                </w:tcPr>
                <w:p w14:paraId="7E024C9C">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shd w:val="clear" w:color="auto" w:fill="auto"/>
                  <w:vAlign w:val="center"/>
                </w:tcPr>
                <w:p w14:paraId="6AA32E52">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0.884</w:t>
                  </w:r>
                </w:p>
              </w:tc>
              <w:tc>
                <w:tcPr>
                  <w:tcW w:w="1080" w:type="dxa"/>
                  <w:tcBorders>
                    <w:tl2br w:val="nil"/>
                    <w:tr2bl w:val="nil"/>
                  </w:tcBorders>
                  <w:shd w:val="clear" w:color="auto" w:fill="auto"/>
                  <w:vAlign w:val="center"/>
                </w:tcPr>
                <w:p w14:paraId="42A84390">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0.812</w:t>
                  </w:r>
                </w:p>
              </w:tc>
              <w:tc>
                <w:tcPr>
                  <w:tcW w:w="907" w:type="dxa"/>
                  <w:tcBorders>
                    <w:tl2br w:val="nil"/>
                    <w:tr2bl w:val="nil"/>
                  </w:tcBorders>
                  <w:shd w:val="clear" w:color="auto" w:fill="auto"/>
                  <w:vAlign w:val="center"/>
                </w:tcPr>
                <w:p w14:paraId="643D91B0">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1.03</w:t>
                  </w:r>
                </w:p>
              </w:tc>
              <w:tc>
                <w:tcPr>
                  <w:tcW w:w="1076" w:type="dxa"/>
                  <w:tcBorders>
                    <w:tl2br w:val="nil"/>
                    <w:tr2bl w:val="nil"/>
                  </w:tcBorders>
                  <w:shd w:val="clear" w:color="auto" w:fill="auto"/>
                  <w:vAlign w:val="center"/>
                </w:tcPr>
                <w:p w14:paraId="6082C9B8">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40</w:t>
                  </w:r>
                </w:p>
              </w:tc>
            </w:tr>
            <w:tr w14:paraId="7A72F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55478838">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6AFE74FB">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0497B46F">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shd w:val="clear" w:color="auto" w:fill="auto"/>
                  <w:vAlign w:val="center"/>
                </w:tcPr>
                <w:p w14:paraId="0A596C3A">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0.0179</w:t>
                  </w:r>
                </w:p>
              </w:tc>
              <w:tc>
                <w:tcPr>
                  <w:tcW w:w="1080" w:type="dxa"/>
                  <w:tcBorders>
                    <w:tl2br w:val="nil"/>
                    <w:tr2bl w:val="nil"/>
                  </w:tcBorders>
                  <w:shd w:val="clear" w:color="auto" w:fill="auto"/>
                  <w:vAlign w:val="center"/>
                </w:tcPr>
                <w:p w14:paraId="45712B41">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0.0161</w:t>
                  </w:r>
                </w:p>
              </w:tc>
              <w:tc>
                <w:tcPr>
                  <w:tcW w:w="907" w:type="dxa"/>
                  <w:tcBorders>
                    <w:tl2br w:val="nil"/>
                    <w:tr2bl w:val="nil"/>
                  </w:tcBorders>
                  <w:shd w:val="clear" w:color="auto" w:fill="auto"/>
                  <w:vAlign w:val="center"/>
                </w:tcPr>
                <w:p w14:paraId="7D88A206">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0.0240</w:t>
                  </w:r>
                </w:p>
              </w:tc>
              <w:tc>
                <w:tcPr>
                  <w:tcW w:w="1076" w:type="dxa"/>
                  <w:tcBorders>
                    <w:tl2br w:val="nil"/>
                    <w:tr2bl w:val="nil"/>
                  </w:tcBorders>
                  <w:shd w:val="clear" w:color="auto" w:fill="auto"/>
                  <w:vAlign w:val="center"/>
                </w:tcPr>
                <w:p w14:paraId="3B351F35">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7CD15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396D4490">
                  <w:pPr>
                    <w:pStyle w:val="13"/>
                    <w:jc w:val="center"/>
                    <w:rPr>
                      <w:rFonts w:hint="eastAsia" w:ascii="宋体" w:eastAsia="宋体"/>
                      <w:b w:val="0"/>
                      <w:bCs/>
                      <w:color w:val="auto"/>
                      <w:sz w:val="21"/>
                      <w:szCs w:val="21"/>
                      <w:vertAlign w:val="baseline"/>
                    </w:rPr>
                  </w:pPr>
                </w:p>
              </w:tc>
              <w:tc>
                <w:tcPr>
                  <w:tcW w:w="2405" w:type="dxa"/>
                  <w:gridSpan w:val="2"/>
                  <w:tcBorders>
                    <w:tl2br w:val="nil"/>
                    <w:tr2bl w:val="nil"/>
                  </w:tcBorders>
                  <w:vAlign w:val="center"/>
                </w:tcPr>
                <w:p w14:paraId="5313194A">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臭气（无量纲）</w:t>
                  </w:r>
                </w:p>
              </w:tc>
              <w:tc>
                <w:tcPr>
                  <w:tcW w:w="1052" w:type="dxa"/>
                  <w:tcBorders>
                    <w:tl2br w:val="nil"/>
                    <w:tr2bl w:val="nil"/>
                  </w:tcBorders>
                  <w:shd w:val="clear" w:color="auto" w:fill="auto"/>
                  <w:vAlign w:val="center"/>
                </w:tcPr>
                <w:p w14:paraId="49959694">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309</w:t>
                  </w:r>
                </w:p>
              </w:tc>
              <w:tc>
                <w:tcPr>
                  <w:tcW w:w="1080" w:type="dxa"/>
                  <w:tcBorders>
                    <w:tl2br w:val="nil"/>
                    <w:tr2bl w:val="nil"/>
                  </w:tcBorders>
                  <w:shd w:val="clear" w:color="auto" w:fill="auto"/>
                  <w:vAlign w:val="center"/>
                </w:tcPr>
                <w:p w14:paraId="4C5EB592">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416</w:t>
                  </w:r>
                </w:p>
              </w:tc>
              <w:tc>
                <w:tcPr>
                  <w:tcW w:w="907" w:type="dxa"/>
                  <w:tcBorders>
                    <w:tl2br w:val="nil"/>
                    <w:tr2bl w:val="nil"/>
                  </w:tcBorders>
                  <w:shd w:val="clear" w:color="auto" w:fill="auto"/>
                  <w:vAlign w:val="center"/>
                </w:tcPr>
                <w:p w14:paraId="4D64D511">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354</w:t>
                  </w:r>
                </w:p>
              </w:tc>
              <w:tc>
                <w:tcPr>
                  <w:tcW w:w="1076" w:type="dxa"/>
                  <w:tcBorders>
                    <w:tl2br w:val="nil"/>
                    <w:tr2bl w:val="nil"/>
                  </w:tcBorders>
                  <w:shd w:val="clear" w:color="auto" w:fill="auto"/>
                  <w:vAlign w:val="center"/>
                </w:tcPr>
                <w:p w14:paraId="0C3C5909">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1000</w:t>
                  </w:r>
                </w:p>
              </w:tc>
            </w:tr>
            <w:tr w14:paraId="60DAA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0D419ECB">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vAlign w:val="center"/>
                </w:tcPr>
                <w:p w14:paraId="555A3CE7">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烟气参数</w:t>
                  </w:r>
                </w:p>
              </w:tc>
              <w:tc>
                <w:tcPr>
                  <w:tcW w:w="1528" w:type="dxa"/>
                  <w:tcBorders>
                    <w:tl2br w:val="nil"/>
                    <w:tr2bl w:val="nil"/>
                  </w:tcBorders>
                  <w:vAlign w:val="center"/>
                </w:tcPr>
                <w:p w14:paraId="33ADEEC1">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温度℃</w:t>
                  </w:r>
                </w:p>
              </w:tc>
              <w:tc>
                <w:tcPr>
                  <w:tcW w:w="1052" w:type="dxa"/>
                  <w:tcBorders>
                    <w:tl2br w:val="nil"/>
                    <w:tr2bl w:val="nil"/>
                  </w:tcBorders>
                  <w:shd w:val="clear" w:color="auto" w:fill="auto"/>
                  <w:vAlign w:val="center"/>
                </w:tcPr>
                <w:p w14:paraId="29CDBFDC">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30.7</w:t>
                  </w:r>
                </w:p>
              </w:tc>
              <w:tc>
                <w:tcPr>
                  <w:tcW w:w="1080" w:type="dxa"/>
                  <w:tcBorders>
                    <w:tl2br w:val="nil"/>
                    <w:tr2bl w:val="nil"/>
                  </w:tcBorders>
                  <w:shd w:val="clear" w:color="auto" w:fill="auto"/>
                  <w:vAlign w:val="center"/>
                </w:tcPr>
                <w:p w14:paraId="081EB106">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31.3</w:t>
                  </w:r>
                </w:p>
              </w:tc>
              <w:tc>
                <w:tcPr>
                  <w:tcW w:w="907" w:type="dxa"/>
                  <w:tcBorders>
                    <w:tl2br w:val="nil"/>
                    <w:tr2bl w:val="nil"/>
                  </w:tcBorders>
                  <w:shd w:val="clear" w:color="auto" w:fill="auto"/>
                  <w:vAlign w:val="center"/>
                </w:tcPr>
                <w:p w14:paraId="249C8B76">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31.8</w:t>
                  </w:r>
                </w:p>
              </w:tc>
              <w:tc>
                <w:tcPr>
                  <w:tcW w:w="1076" w:type="dxa"/>
                  <w:tcBorders>
                    <w:tl2br w:val="nil"/>
                    <w:tr2bl w:val="nil"/>
                  </w:tcBorders>
                  <w:shd w:val="clear" w:color="auto" w:fill="auto"/>
                  <w:vAlign w:val="center"/>
                </w:tcPr>
                <w:p w14:paraId="32EF2638">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78513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4A99E908">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52BE594A">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2C650D06">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流速m/s</w:t>
                  </w:r>
                </w:p>
              </w:tc>
              <w:tc>
                <w:tcPr>
                  <w:tcW w:w="1052" w:type="dxa"/>
                  <w:tcBorders>
                    <w:tl2br w:val="nil"/>
                    <w:tr2bl w:val="nil"/>
                  </w:tcBorders>
                  <w:shd w:val="clear" w:color="auto" w:fill="auto"/>
                  <w:vAlign w:val="center"/>
                </w:tcPr>
                <w:p w14:paraId="28AB2590">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22.9</w:t>
                  </w:r>
                </w:p>
              </w:tc>
              <w:tc>
                <w:tcPr>
                  <w:tcW w:w="1080" w:type="dxa"/>
                  <w:tcBorders>
                    <w:tl2br w:val="nil"/>
                    <w:tr2bl w:val="nil"/>
                  </w:tcBorders>
                  <w:shd w:val="clear" w:color="auto" w:fill="auto"/>
                  <w:vAlign w:val="center"/>
                </w:tcPr>
                <w:p w14:paraId="3202FFB7">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22.5</w:t>
                  </w:r>
                </w:p>
              </w:tc>
              <w:tc>
                <w:tcPr>
                  <w:tcW w:w="907" w:type="dxa"/>
                  <w:tcBorders>
                    <w:tl2br w:val="nil"/>
                    <w:tr2bl w:val="nil"/>
                  </w:tcBorders>
                  <w:shd w:val="clear" w:color="auto" w:fill="auto"/>
                  <w:vAlign w:val="center"/>
                </w:tcPr>
                <w:p w14:paraId="1E27C4F5">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22.9</w:t>
                  </w:r>
                </w:p>
              </w:tc>
              <w:tc>
                <w:tcPr>
                  <w:tcW w:w="1076" w:type="dxa"/>
                  <w:tcBorders>
                    <w:tl2br w:val="nil"/>
                    <w:tr2bl w:val="nil"/>
                  </w:tcBorders>
                  <w:shd w:val="clear" w:color="auto" w:fill="auto"/>
                  <w:vAlign w:val="center"/>
                </w:tcPr>
                <w:p w14:paraId="701F67B2">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79208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6A69A811">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31B4EFD6">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0DF6FCF7">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流量Nm</w:t>
                  </w:r>
                  <w:r>
                    <w:rPr>
                      <w:rFonts w:hint="eastAsia" w:ascii="宋体" w:eastAsia="宋体"/>
                      <w:b w:val="0"/>
                      <w:bCs/>
                      <w:color w:val="auto"/>
                      <w:sz w:val="21"/>
                      <w:szCs w:val="21"/>
                      <w:vertAlign w:val="superscript"/>
                      <w:lang w:val="en-US" w:eastAsia="zh-CN"/>
                    </w:rPr>
                    <w:t>3</w:t>
                  </w:r>
                  <w:r>
                    <w:rPr>
                      <w:rFonts w:hint="eastAsia" w:ascii="宋体" w:eastAsia="宋体"/>
                      <w:b w:val="0"/>
                      <w:bCs/>
                      <w:color w:val="auto"/>
                      <w:sz w:val="21"/>
                      <w:szCs w:val="21"/>
                      <w:vertAlign w:val="baseline"/>
                      <w:lang w:val="en-US" w:eastAsia="zh-CN"/>
                    </w:rPr>
                    <w:t>/h</w:t>
                  </w:r>
                </w:p>
              </w:tc>
              <w:tc>
                <w:tcPr>
                  <w:tcW w:w="1052" w:type="dxa"/>
                  <w:tcBorders>
                    <w:tl2br w:val="nil"/>
                    <w:tr2bl w:val="nil"/>
                  </w:tcBorders>
                  <w:shd w:val="clear" w:color="auto" w:fill="auto"/>
                  <w:vAlign w:val="center"/>
                </w:tcPr>
                <w:p w14:paraId="54FDCE26">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20268</w:t>
                  </w:r>
                </w:p>
              </w:tc>
              <w:tc>
                <w:tcPr>
                  <w:tcW w:w="1080" w:type="dxa"/>
                  <w:tcBorders>
                    <w:tl2br w:val="nil"/>
                    <w:tr2bl w:val="nil"/>
                  </w:tcBorders>
                  <w:shd w:val="clear" w:color="auto" w:fill="auto"/>
                  <w:vAlign w:val="center"/>
                </w:tcPr>
                <w:p w14:paraId="50AF2CAD">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19875</w:t>
                  </w:r>
                </w:p>
              </w:tc>
              <w:tc>
                <w:tcPr>
                  <w:tcW w:w="907" w:type="dxa"/>
                  <w:tcBorders>
                    <w:tl2br w:val="nil"/>
                    <w:tr2bl w:val="nil"/>
                  </w:tcBorders>
                  <w:shd w:val="clear" w:color="auto" w:fill="auto"/>
                  <w:vAlign w:val="center"/>
                </w:tcPr>
                <w:p w14:paraId="1DD5D20D">
                  <w:pPr>
                    <w:pStyle w:val="13"/>
                    <w:jc w:val="center"/>
                    <w:rPr>
                      <w:rFonts w:hint="default"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20193</w:t>
                  </w:r>
                </w:p>
              </w:tc>
              <w:tc>
                <w:tcPr>
                  <w:tcW w:w="1076" w:type="dxa"/>
                  <w:tcBorders>
                    <w:tl2br w:val="nil"/>
                    <w:tr2bl w:val="nil"/>
                  </w:tcBorders>
                  <w:shd w:val="clear" w:color="auto" w:fill="auto"/>
                  <w:vAlign w:val="center"/>
                </w:tcPr>
                <w:p w14:paraId="076A670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62B1C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restart"/>
                  <w:tcBorders>
                    <w:tl2br w:val="nil"/>
                    <w:tr2bl w:val="nil"/>
                  </w:tcBorders>
                  <w:shd w:val="clear" w:color="auto" w:fill="auto"/>
                  <w:vAlign w:val="center"/>
                </w:tcPr>
                <w:p w14:paraId="7E88DD1C">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2023.05.26（进口）</w:t>
                  </w:r>
                </w:p>
              </w:tc>
              <w:tc>
                <w:tcPr>
                  <w:tcW w:w="877" w:type="dxa"/>
                  <w:vMerge w:val="restart"/>
                  <w:tcBorders>
                    <w:tl2br w:val="nil"/>
                    <w:tr2bl w:val="nil"/>
                  </w:tcBorders>
                  <w:vAlign w:val="center"/>
                </w:tcPr>
                <w:p w14:paraId="5593B7C8">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颗粒物</w:t>
                  </w:r>
                </w:p>
              </w:tc>
              <w:tc>
                <w:tcPr>
                  <w:tcW w:w="1528" w:type="dxa"/>
                  <w:tcBorders>
                    <w:tl2br w:val="nil"/>
                    <w:tr2bl w:val="nil"/>
                  </w:tcBorders>
                  <w:vAlign w:val="center"/>
                </w:tcPr>
                <w:p w14:paraId="4503F032">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shd w:val="clear" w:color="auto" w:fill="auto"/>
                  <w:vAlign w:val="center"/>
                </w:tcPr>
                <w:p w14:paraId="176AD43E">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1080" w:type="dxa"/>
                  <w:tcBorders>
                    <w:tl2br w:val="nil"/>
                    <w:tr2bl w:val="nil"/>
                  </w:tcBorders>
                  <w:shd w:val="clear" w:color="auto" w:fill="auto"/>
                  <w:vAlign w:val="center"/>
                </w:tcPr>
                <w:p w14:paraId="0FD2AA76">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907" w:type="dxa"/>
                  <w:tcBorders>
                    <w:tl2br w:val="nil"/>
                    <w:tr2bl w:val="nil"/>
                  </w:tcBorders>
                  <w:shd w:val="clear" w:color="auto" w:fill="auto"/>
                  <w:vAlign w:val="center"/>
                </w:tcPr>
                <w:p w14:paraId="3753A68F">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＜20</w:t>
                  </w:r>
                </w:p>
              </w:tc>
              <w:tc>
                <w:tcPr>
                  <w:tcW w:w="1076" w:type="dxa"/>
                  <w:tcBorders>
                    <w:tl2br w:val="nil"/>
                    <w:tr2bl w:val="nil"/>
                  </w:tcBorders>
                  <w:shd w:val="clear" w:color="auto" w:fill="auto"/>
                  <w:vAlign w:val="center"/>
                </w:tcPr>
                <w:p w14:paraId="2CE18686">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30</w:t>
                  </w:r>
                </w:p>
              </w:tc>
            </w:tr>
            <w:tr w14:paraId="16B8C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5748B12E">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4FF320CA">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18FAC37E">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shd w:val="clear" w:color="auto" w:fill="auto"/>
                  <w:vAlign w:val="center"/>
                </w:tcPr>
                <w:p w14:paraId="1AB987AD">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1080" w:type="dxa"/>
                  <w:tcBorders>
                    <w:tl2br w:val="nil"/>
                    <w:tr2bl w:val="nil"/>
                  </w:tcBorders>
                  <w:shd w:val="clear" w:color="auto" w:fill="auto"/>
                  <w:vAlign w:val="center"/>
                </w:tcPr>
                <w:p w14:paraId="2AD4E634">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907" w:type="dxa"/>
                  <w:tcBorders>
                    <w:tl2br w:val="nil"/>
                    <w:tr2bl w:val="nil"/>
                  </w:tcBorders>
                  <w:shd w:val="clear" w:color="auto" w:fill="auto"/>
                  <w:vAlign w:val="center"/>
                </w:tcPr>
                <w:p w14:paraId="304A8C97">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c>
                <w:tcPr>
                  <w:tcW w:w="1076" w:type="dxa"/>
                  <w:tcBorders>
                    <w:tl2br w:val="nil"/>
                    <w:tr2bl w:val="nil"/>
                  </w:tcBorders>
                  <w:shd w:val="clear" w:color="auto" w:fill="auto"/>
                  <w:vAlign w:val="center"/>
                </w:tcPr>
                <w:p w14:paraId="314C0F99">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1.5</w:t>
                  </w:r>
                </w:p>
              </w:tc>
            </w:tr>
            <w:tr w14:paraId="3E4B8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6709C175">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vAlign w:val="center"/>
                </w:tcPr>
                <w:p w14:paraId="6225017A">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挥发性有机物</w:t>
                  </w:r>
                </w:p>
              </w:tc>
              <w:tc>
                <w:tcPr>
                  <w:tcW w:w="1528" w:type="dxa"/>
                  <w:tcBorders>
                    <w:tl2br w:val="nil"/>
                    <w:tr2bl w:val="nil"/>
                  </w:tcBorders>
                  <w:vAlign w:val="center"/>
                </w:tcPr>
                <w:p w14:paraId="4F737BE3">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排放浓度</w:t>
                  </w:r>
                  <w:r>
                    <w:rPr>
                      <w:rFonts w:hint="eastAsia"/>
                      <w:color w:val="auto"/>
                      <w:sz w:val="21"/>
                      <w:szCs w:val="21"/>
                    </w:rPr>
                    <w:t>mg/m</w:t>
                  </w:r>
                  <w:r>
                    <w:rPr>
                      <w:rFonts w:hint="eastAsia"/>
                      <w:color w:val="auto"/>
                      <w:sz w:val="21"/>
                      <w:szCs w:val="21"/>
                      <w:vertAlign w:val="superscript"/>
                    </w:rPr>
                    <w:t>3</w:t>
                  </w:r>
                </w:p>
              </w:tc>
              <w:tc>
                <w:tcPr>
                  <w:tcW w:w="1052" w:type="dxa"/>
                  <w:tcBorders>
                    <w:tl2br w:val="nil"/>
                    <w:tr2bl w:val="nil"/>
                  </w:tcBorders>
                  <w:vAlign w:val="center"/>
                </w:tcPr>
                <w:p w14:paraId="6A9B1E51">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1.39</w:t>
                  </w:r>
                </w:p>
              </w:tc>
              <w:tc>
                <w:tcPr>
                  <w:tcW w:w="1080" w:type="dxa"/>
                  <w:tcBorders>
                    <w:tl2br w:val="nil"/>
                    <w:tr2bl w:val="nil"/>
                  </w:tcBorders>
                  <w:vAlign w:val="center"/>
                </w:tcPr>
                <w:p w14:paraId="4C16589F">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1.25</w:t>
                  </w:r>
                </w:p>
              </w:tc>
              <w:tc>
                <w:tcPr>
                  <w:tcW w:w="907" w:type="dxa"/>
                  <w:tcBorders>
                    <w:tl2br w:val="nil"/>
                    <w:tr2bl w:val="nil"/>
                  </w:tcBorders>
                  <w:vAlign w:val="center"/>
                </w:tcPr>
                <w:p w14:paraId="741A5970">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1.11</w:t>
                  </w:r>
                </w:p>
              </w:tc>
              <w:tc>
                <w:tcPr>
                  <w:tcW w:w="1076" w:type="dxa"/>
                  <w:tcBorders>
                    <w:tl2br w:val="nil"/>
                    <w:tr2bl w:val="nil"/>
                  </w:tcBorders>
                  <w:shd w:val="clear" w:color="auto" w:fill="auto"/>
                  <w:vAlign w:val="center"/>
                </w:tcPr>
                <w:p w14:paraId="5ACB55B0">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40</w:t>
                  </w:r>
                </w:p>
              </w:tc>
            </w:tr>
            <w:tr w14:paraId="778A59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3BAEB948">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18B23C16">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62CAF95D">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排放速率</w:t>
                  </w:r>
                  <w:r>
                    <w:rPr>
                      <w:rFonts w:hint="eastAsia"/>
                      <w:color w:val="auto"/>
                      <w:sz w:val="21"/>
                      <w:szCs w:val="21"/>
                    </w:rPr>
                    <w:t>kg/h</w:t>
                  </w:r>
                </w:p>
              </w:tc>
              <w:tc>
                <w:tcPr>
                  <w:tcW w:w="1052" w:type="dxa"/>
                  <w:tcBorders>
                    <w:tl2br w:val="nil"/>
                    <w:tr2bl w:val="nil"/>
                  </w:tcBorders>
                  <w:vAlign w:val="center"/>
                </w:tcPr>
                <w:p w14:paraId="3732F8BF">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0.0269</w:t>
                  </w:r>
                </w:p>
              </w:tc>
              <w:tc>
                <w:tcPr>
                  <w:tcW w:w="1080" w:type="dxa"/>
                  <w:tcBorders>
                    <w:tl2br w:val="nil"/>
                    <w:tr2bl w:val="nil"/>
                  </w:tcBorders>
                  <w:vAlign w:val="center"/>
                </w:tcPr>
                <w:p w14:paraId="769DB01A">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0.0239</w:t>
                  </w:r>
                </w:p>
              </w:tc>
              <w:tc>
                <w:tcPr>
                  <w:tcW w:w="907" w:type="dxa"/>
                  <w:tcBorders>
                    <w:tl2br w:val="nil"/>
                    <w:tr2bl w:val="nil"/>
                  </w:tcBorders>
                  <w:vAlign w:val="center"/>
                </w:tcPr>
                <w:p w14:paraId="13C9F04A">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0.0224</w:t>
                  </w:r>
                </w:p>
              </w:tc>
              <w:tc>
                <w:tcPr>
                  <w:tcW w:w="1076" w:type="dxa"/>
                  <w:tcBorders>
                    <w:tl2br w:val="nil"/>
                    <w:tr2bl w:val="nil"/>
                  </w:tcBorders>
                  <w:shd w:val="clear" w:color="auto" w:fill="auto"/>
                  <w:vAlign w:val="center"/>
                </w:tcPr>
                <w:p w14:paraId="0B0A990B">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50A2F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442754FC">
                  <w:pPr>
                    <w:pStyle w:val="13"/>
                    <w:jc w:val="center"/>
                    <w:rPr>
                      <w:rFonts w:hint="eastAsia" w:ascii="宋体" w:eastAsia="宋体"/>
                      <w:b w:val="0"/>
                      <w:bCs/>
                      <w:color w:val="auto"/>
                      <w:sz w:val="21"/>
                      <w:szCs w:val="21"/>
                      <w:vertAlign w:val="baseline"/>
                    </w:rPr>
                  </w:pPr>
                </w:p>
              </w:tc>
              <w:tc>
                <w:tcPr>
                  <w:tcW w:w="2405" w:type="dxa"/>
                  <w:gridSpan w:val="2"/>
                  <w:tcBorders>
                    <w:tl2br w:val="nil"/>
                    <w:tr2bl w:val="nil"/>
                  </w:tcBorders>
                  <w:vAlign w:val="center"/>
                </w:tcPr>
                <w:p w14:paraId="7518C3CD">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臭气（无量纲）</w:t>
                  </w:r>
                </w:p>
              </w:tc>
              <w:tc>
                <w:tcPr>
                  <w:tcW w:w="1052" w:type="dxa"/>
                  <w:tcBorders>
                    <w:tl2br w:val="nil"/>
                    <w:tr2bl w:val="nil"/>
                  </w:tcBorders>
                  <w:vAlign w:val="center"/>
                </w:tcPr>
                <w:p w14:paraId="3645688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851</w:t>
                  </w:r>
                </w:p>
              </w:tc>
              <w:tc>
                <w:tcPr>
                  <w:tcW w:w="1080" w:type="dxa"/>
                  <w:tcBorders>
                    <w:tl2br w:val="nil"/>
                    <w:tr2bl w:val="nil"/>
                  </w:tcBorders>
                  <w:vAlign w:val="center"/>
                </w:tcPr>
                <w:p w14:paraId="5572E63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851</w:t>
                  </w:r>
                </w:p>
              </w:tc>
              <w:tc>
                <w:tcPr>
                  <w:tcW w:w="907" w:type="dxa"/>
                  <w:tcBorders>
                    <w:tl2br w:val="nil"/>
                    <w:tr2bl w:val="nil"/>
                  </w:tcBorders>
                  <w:vAlign w:val="center"/>
                </w:tcPr>
                <w:p w14:paraId="1A30BC18">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724</w:t>
                  </w:r>
                </w:p>
              </w:tc>
              <w:tc>
                <w:tcPr>
                  <w:tcW w:w="1076" w:type="dxa"/>
                  <w:tcBorders>
                    <w:tl2br w:val="nil"/>
                    <w:tr2bl w:val="nil"/>
                  </w:tcBorders>
                  <w:vAlign w:val="center"/>
                </w:tcPr>
                <w:p w14:paraId="44AB0354">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1000</w:t>
                  </w:r>
                </w:p>
              </w:tc>
            </w:tr>
            <w:tr w14:paraId="7712A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0294A469">
                  <w:pPr>
                    <w:pStyle w:val="13"/>
                    <w:jc w:val="center"/>
                    <w:rPr>
                      <w:rFonts w:hint="eastAsia" w:ascii="宋体" w:eastAsia="宋体"/>
                      <w:b w:val="0"/>
                      <w:bCs/>
                      <w:color w:val="auto"/>
                      <w:sz w:val="21"/>
                      <w:szCs w:val="21"/>
                      <w:vertAlign w:val="baseline"/>
                    </w:rPr>
                  </w:pPr>
                </w:p>
              </w:tc>
              <w:tc>
                <w:tcPr>
                  <w:tcW w:w="877" w:type="dxa"/>
                  <w:vMerge w:val="restart"/>
                  <w:tcBorders>
                    <w:tl2br w:val="nil"/>
                    <w:tr2bl w:val="nil"/>
                  </w:tcBorders>
                  <w:vAlign w:val="center"/>
                </w:tcPr>
                <w:p w14:paraId="59C7010C">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烟气参数</w:t>
                  </w:r>
                </w:p>
              </w:tc>
              <w:tc>
                <w:tcPr>
                  <w:tcW w:w="1528" w:type="dxa"/>
                  <w:tcBorders>
                    <w:tl2br w:val="nil"/>
                    <w:tr2bl w:val="nil"/>
                  </w:tcBorders>
                  <w:vAlign w:val="center"/>
                </w:tcPr>
                <w:p w14:paraId="5058BC27">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温度℃</w:t>
                  </w:r>
                </w:p>
              </w:tc>
              <w:tc>
                <w:tcPr>
                  <w:tcW w:w="1052" w:type="dxa"/>
                  <w:tcBorders>
                    <w:tl2br w:val="nil"/>
                    <w:tr2bl w:val="nil"/>
                  </w:tcBorders>
                  <w:vAlign w:val="center"/>
                </w:tcPr>
                <w:p w14:paraId="647688D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25.6</w:t>
                  </w:r>
                </w:p>
              </w:tc>
              <w:tc>
                <w:tcPr>
                  <w:tcW w:w="1080" w:type="dxa"/>
                  <w:tcBorders>
                    <w:tl2br w:val="nil"/>
                    <w:tr2bl w:val="nil"/>
                  </w:tcBorders>
                  <w:vAlign w:val="center"/>
                </w:tcPr>
                <w:p w14:paraId="5DA4EDB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25.0</w:t>
                  </w:r>
                </w:p>
              </w:tc>
              <w:tc>
                <w:tcPr>
                  <w:tcW w:w="907" w:type="dxa"/>
                  <w:tcBorders>
                    <w:tl2br w:val="nil"/>
                    <w:tr2bl w:val="nil"/>
                  </w:tcBorders>
                  <w:vAlign w:val="center"/>
                </w:tcPr>
                <w:p w14:paraId="7D6BC1B7">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25.9</w:t>
                  </w:r>
                </w:p>
              </w:tc>
              <w:tc>
                <w:tcPr>
                  <w:tcW w:w="1076" w:type="dxa"/>
                  <w:tcBorders>
                    <w:tl2br w:val="nil"/>
                    <w:tr2bl w:val="nil"/>
                  </w:tcBorders>
                  <w:shd w:val="clear" w:color="auto" w:fill="auto"/>
                  <w:vAlign w:val="center"/>
                </w:tcPr>
                <w:p w14:paraId="27418BAA">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675E4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4B64C7F3">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2FCC10AC">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179329EE">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流速m/s</w:t>
                  </w:r>
                </w:p>
              </w:tc>
              <w:tc>
                <w:tcPr>
                  <w:tcW w:w="1052" w:type="dxa"/>
                  <w:tcBorders>
                    <w:tl2br w:val="nil"/>
                    <w:tr2bl w:val="nil"/>
                  </w:tcBorders>
                  <w:vAlign w:val="center"/>
                </w:tcPr>
                <w:p w14:paraId="08EE3777">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21.5</w:t>
                  </w:r>
                </w:p>
              </w:tc>
              <w:tc>
                <w:tcPr>
                  <w:tcW w:w="1080" w:type="dxa"/>
                  <w:tcBorders>
                    <w:tl2br w:val="nil"/>
                    <w:tr2bl w:val="nil"/>
                  </w:tcBorders>
                  <w:vAlign w:val="center"/>
                </w:tcPr>
                <w:p w14:paraId="003B271F">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21.2</w:t>
                  </w:r>
                </w:p>
              </w:tc>
              <w:tc>
                <w:tcPr>
                  <w:tcW w:w="907" w:type="dxa"/>
                  <w:tcBorders>
                    <w:tl2br w:val="nil"/>
                    <w:tr2bl w:val="nil"/>
                  </w:tcBorders>
                  <w:vAlign w:val="center"/>
                </w:tcPr>
                <w:p w14:paraId="6E985D26">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22.4</w:t>
                  </w:r>
                </w:p>
              </w:tc>
              <w:tc>
                <w:tcPr>
                  <w:tcW w:w="1076" w:type="dxa"/>
                  <w:tcBorders>
                    <w:tl2br w:val="nil"/>
                    <w:tr2bl w:val="nil"/>
                  </w:tcBorders>
                  <w:shd w:val="clear" w:color="auto" w:fill="auto"/>
                  <w:vAlign w:val="center"/>
                </w:tcPr>
                <w:p w14:paraId="39C4A17E">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r w14:paraId="560B6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4" w:type="dxa"/>
                  <w:vMerge w:val="continue"/>
                  <w:tcBorders>
                    <w:tl2br w:val="nil"/>
                    <w:tr2bl w:val="nil"/>
                  </w:tcBorders>
                  <w:vAlign w:val="center"/>
                </w:tcPr>
                <w:p w14:paraId="170FD3A7">
                  <w:pPr>
                    <w:pStyle w:val="13"/>
                    <w:jc w:val="center"/>
                    <w:rPr>
                      <w:rFonts w:hint="eastAsia" w:ascii="宋体" w:eastAsia="宋体"/>
                      <w:b w:val="0"/>
                      <w:bCs/>
                      <w:color w:val="auto"/>
                      <w:sz w:val="21"/>
                      <w:szCs w:val="21"/>
                      <w:vertAlign w:val="baseline"/>
                    </w:rPr>
                  </w:pPr>
                </w:p>
              </w:tc>
              <w:tc>
                <w:tcPr>
                  <w:tcW w:w="877" w:type="dxa"/>
                  <w:vMerge w:val="continue"/>
                  <w:tcBorders>
                    <w:tl2br w:val="nil"/>
                    <w:tr2bl w:val="nil"/>
                  </w:tcBorders>
                  <w:vAlign w:val="center"/>
                </w:tcPr>
                <w:p w14:paraId="2C221AAF">
                  <w:pPr>
                    <w:pStyle w:val="13"/>
                    <w:jc w:val="center"/>
                    <w:rPr>
                      <w:rFonts w:hint="eastAsia" w:ascii="宋体" w:eastAsia="宋体"/>
                      <w:b w:val="0"/>
                      <w:bCs/>
                      <w:color w:val="auto"/>
                      <w:sz w:val="21"/>
                      <w:szCs w:val="21"/>
                      <w:vertAlign w:val="baseline"/>
                    </w:rPr>
                  </w:pPr>
                </w:p>
              </w:tc>
              <w:tc>
                <w:tcPr>
                  <w:tcW w:w="1528" w:type="dxa"/>
                  <w:tcBorders>
                    <w:tl2br w:val="nil"/>
                    <w:tr2bl w:val="nil"/>
                  </w:tcBorders>
                  <w:vAlign w:val="center"/>
                </w:tcPr>
                <w:p w14:paraId="55AFB771">
                  <w:pPr>
                    <w:pStyle w:val="13"/>
                    <w:jc w:val="center"/>
                    <w:rPr>
                      <w:rFonts w:hint="eastAsia" w:ascii="宋体" w:eastAsia="宋体"/>
                      <w:b w:val="0"/>
                      <w:bCs/>
                      <w:color w:val="auto"/>
                      <w:sz w:val="21"/>
                      <w:szCs w:val="21"/>
                      <w:vertAlign w:val="baseline"/>
                    </w:rPr>
                  </w:pPr>
                  <w:r>
                    <w:rPr>
                      <w:rFonts w:hint="eastAsia" w:ascii="宋体" w:eastAsia="宋体"/>
                      <w:b w:val="0"/>
                      <w:bCs/>
                      <w:color w:val="auto"/>
                      <w:sz w:val="21"/>
                      <w:szCs w:val="21"/>
                      <w:vertAlign w:val="baseline"/>
                      <w:lang w:val="en-US" w:eastAsia="zh-CN"/>
                    </w:rPr>
                    <w:t>流量Nm</w:t>
                  </w:r>
                  <w:r>
                    <w:rPr>
                      <w:rFonts w:hint="eastAsia" w:ascii="宋体" w:eastAsia="宋体"/>
                      <w:b w:val="0"/>
                      <w:bCs/>
                      <w:color w:val="auto"/>
                      <w:sz w:val="21"/>
                      <w:szCs w:val="21"/>
                      <w:vertAlign w:val="superscript"/>
                      <w:lang w:val="en-US" w:eastAsia="zh-CN"/>
                    </w:rPr>
                    <w:t>3</w:t>
                  </w:r>
                  <w:r>
                    <w:rPr>
                      <w:rFonts w:hint="eastAsia" w:ascii="宋体" w:eastAsia="宋体"/>
                      <w:b w:val="0"/>
                      <w:bCs/>
                      <w:color w:val="auto"/>
                      <w:sz w:val="21"/>
                      <w:szCs w:val="21"/>
                      <w:vertAlign w:val="baseline"/>
                      <w:lang w:val="en-US" w:eastAsia="zh-CN"/>
                    </w:rPr>
                    <w:t>/h</w:t>
                  </w:r>
                </w:p>
              </w:tc>
              <w:tc>
                <w:tcPr>
                  <w:tcW w:w="1052" w:type="dxa"/>
                  <w:tcBorders>
                    <w:tl2br w:val="nil"/>
                    <w:tr2bl w:val="nil"/>
                  </w:tcBorders>
                  <w:vAlign w:val="center"/>
                </w:tcPr>
                <w:p w14:paraId="604E0142">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19350</w:t>
                  </w:r>
                </w:p>
              </w:tc>
              <w:tc>
                <w:tcPr>
                  <w:tcW w:w="1080" w:type="dxa"/>
                  <w:tcBorders>
                    <w:tl2br w:val="nil"/>
                    <w:tr2bl w:val="nil"/>
                  </w:tcBorders>
                  <w:vAlign w:val="center"/>
                </w:tcPr>
                <w:p w14:paraId="5CA479D4">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19117</w:t>
                  </w:r>
                </w:p>
              </w:tc>
              <w:tc>
                <w:tcPr>
                  <w:tcW w:w="907" w:type="dxa"/>
                  <w:tcBorders>
                    <w:tl2br w:val="nil"/>
                    <w:tr2bl w:val="nil"/>
                  </w:tcBorders>
                  <w:vAlign w:val="center"/>
                </w:tcPr>
                <w:p w14:paraId="3AB0AD49">
                  <w:pPr>
                    <w:pStyle w:val="13"/>
                    <w:jc w:val="center"/>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20141</w:t>
                  </w:r>
                </w:p>
              </w:tc>
              <w:tc>
                <w:tcPr>
                  <w:tcW w:w="1076" w:type="dxa"/>
                  <w:tcBorders>
                    <w:tl2br w:val="nil"/>
                    <w:tr2bl w:val="nil"/>
                  </w:tcBorders>
                  <w:shd w:val="clear" w:color="auto" w:fill="auto"/>
                  <w:vAlign w:val="center"/>
                </w:tcPr>
                <w:p w14:paraId="52E4FFE4">
                  <w:pPr>
                    <w:pStyle w:val="13"/>
                    <w:jc w:val="center"/>
                    <w:rPr>
                      <w:rFonts w:hint="eastAsia" w:ascii="宋体" w:hAnsi="Times New Roman"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w:t>
                  </w:r>
                </w:p>
              </w:tc>
            </w:tr>
          </w:tbl>
          <w:p w14:paraId="5D9440E9">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jc w:val="both"/>
              <w:textAlignment w:val="auto"/>
              <w:rPr>
                <w:rFonts w:hint="eastAsia"/>
                <w:color w:val="auto"/>
                <w:sz w:val="24"/>
                <w:szCs w:val="20"/>
              </w:rPr>
            </w:pPr>
            <w:r>
              <w:rPr>
                <w:rFonts w:hint="eastAsia"/>
                <w:color w:val="auto"/>
                <w:sz w:val="24"/>
                <w:szCs w:val="20"/>
              </w:rPr>
              <w:t>由上表检测结果可知，项目</w:t>
            </w:r>
            <w:r>
              <w:rPr>
                <w:rFonts w:hint="eastAsia" w:eastAsia="宋体"/>
                <w:color w:val="auto"/>
                <w:sz w:val="24"/>
                <w:szCs w:val="20"/>
                <w:lang w:val="en-US" w:eastAsia="zh-CN"/>
              </w:rPr>
              <w:t>造粒</w:t>
            </w:r>
            <w:r>
              <w:rPr>
                <w:rFonts w:hint="eastAsia"/>
                <w:color w:val="auto"/>
                <w:sz w:val="24"/>
                <w:szCs w:val="20"/>
              </w:rPr>
              <w:t>工序废气排气筒1#有组织 VOCs 最大排放浓度为1.03mg/m³，最大排放速率为2.40×10</w:t>
            </w:r>
            <w:r>
              <w:rPr>
                <w:rFonts w:hint="eastAsia"/>
                <w:color w:val="auto"/>
                <w:sz w:val="24"/>
                <w:szCs w:val="20"/>
                <w:vertAlign w:val="superscript"/>
              </w:rPr>
              <w:t>-2</w:t>
            </w:r>
            <w:r>
              <w:rPr>
                <w:rFonts w:hint="eastAsia"/>
                <w:color w:val="auto"/>
                <w:sz w:val="24"/>
                <w:szCs w:val="20"/>
              </w:rPr>
              <w:t>kg/h，满足《江西省地方标准：挥发性有机物排放标准第4部分：塑料制品业》（DB36/1101.4-2019）标准要求；有组织颗粒物排放浓度均小于20mg/m³，满足上海市《大气污染物综合排放标准》（DB31/933-2015）标准要求；有组织臭气最大排放浓度为478，满足上海市《恶臭（异味）污染物排放标准》（DB31/1025-2016）标准要求。</w:t>
            </w:r>
          </w:p>
          <w:p w14:paraId="3B91E2AF">
            <w:pPr>
              <w:pStyle w:val="46"/>
              <w:numPr>
                <w:ilvl w:val="0"/>
                <w:numId w:val="10"/>
              </w:numPr>
              <w:ind w:firstLine="480"/>
              <w:jc w:val="both"/>
              <w:rPr>
                <w:rFonts w:hint="default"/>
                <w:color w:val="auto"/>
                <w:sz w:val="24"/>
                <w:szCs w:val="20"/>
              </w:rPr>
            </w:pPr>
            <w:r>
              <w:rPr>
                <w:rFonts w:hint="default"/>
                <w:color w:val="auto"/>
                <w:sz w:val="24"/>
                <w:szCs w:val="20"/>
              </w:rPr>
              <w:t>现有项目无组织废气产排情况</w:t>
            </w:r>
          </w:p>
          <w:p w14:paraId="71279955">
            <w:pPr>
              <w:pStyle w:val="46"/>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eastAsia" w:eastAsia="宋体"/>
                <w:color w:val="auto"/>
                <w:sz w:val="24"/>
                <w:szCs w:val="20"/>
                <w:lang w:eastAsia="zh-CN"/>
              </w:rPr>
            </w:pPr>
            <w:r>
              <w:rPr>
                <w:rFonts w:hint="default"/>
                <w:color w:val="auto"/>
                <w:sz w:val="24"/>
                <w:szCs w:val="20"/>
              </w:rPr>
              <w:t>项目无组织废气监测点位及监测因子等设置情况见表</w:t>
            </w:r>
            <w:r>
              <w:rPr>
                <w:rFonts w:hint="eastAsia" w:eastAsia="宋体"/>
                <w:color w:val="auto"/>
                <w:sz w:val="24"/>
                <w:szCs w:val="20"/>
                <w:lang w:eastAsia="zh-CN"/>
              </w:rPr>
              <w:t>。</w:t>
            </w:r>
          </w:p>
          <w:p w14:paraId="28F185B3">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Chars="0" w:firstLine="0"/>
              <w:jc w:val="center"/>
              <w:textAlignment w:val="auto"/>
              <w:rPr>
                <w:rFonts w:hint="eastAsia" w:eastAsia="宋体"/>
                <w:color w:val="auto"/>
                <w:sz w:val="21"/>
                <w:szCs w:val="21"/>
                <w:lang w:eastAsia="zh-CN"/>
              </w:rPr>
            </w:pPr>
            <w:r>
              <w:rPr>
                <w:rFonts w:hint="eastAsia" w:ascii="宋体" w:eastAsia="宋体"/>
                <w:b/>
                <w:color w:val="auto"/>
                <w:sz w:val="21"/>
                <w:szCs w:val="21"/>
              </w:rPr>
              <w:t>表2-1</w:t>
            </w:r>
            <w:r>
              <w:rPr>
                <w:rFonts w:hint="eastAsia" w:eastAsia="宋体"/>
                <w:b/>
                <w:color w:val="auto"/>
                <w:sz w:val="21"/>
                <w:szCs w:val="21"/>
                <w:lang w:val="en-US" w:eastAsia="zh-CN"/>
              </w:rPr>
              <w:t>4</w:t>
            </w:r>
            <w:r>
              <w:rPr>
                <w:rFonts w:hint="default"/>
                <w:b/>
                <w:color w:val="auto"/>
                <w:sz w:val="21"/>
                <w:szCs w:val="21"/>
              </w:rPr>
              <w:t xml:space="preserve">    </w:t>
            </w:r>
            <w:r>
              <w:rPr>
                <w:rFonts w:hint="eastAsia" w:ascii="宋体" w:eastAsia="宋体"/>
                <w:b/>
                <w:color w:val="auto"/>
                <w:sz w:val="21"/>
                <w:szCs w:val="21"/>
              </w:rPr>
              <w:t>现有项目</w:t>
            </w:r>
            <w:r>
              <w:rPr>
                <w:rFonts w:hint="eastAsia" w:ascii="宋体" w:eastAsia="宋体"/>
                <w:b/>
                <w:color w:val="auto"/>
                <w:sz w:val="21"/>
                <w:szCs w:val="21"/>
                <w:lang w:val="en-US" w:eastAsia="zh-CN"/>
              </w:rPr>
              <w:t>无</w:t>
            </w:r>
            <w:r>
              <w:rPr>
                <w:rFonts w:hint="eastAsia" w:ascii="宋体" w:eastAsia="宋体"/>
                <w:b/>
                <w:color w:val="auto"/>
                <w:sz w:val="21"/>
                <w:szCs w:val="21"/>
              </w:rPr>
              <w:t>组织废气</w:t>
            </w:r>
            <w:r>
              <w:rPr>
                <w:rFonts w:hint="eastAsia" w:ascii="宋体" w:eastAsia="宋体"/>
                <w:b/>
                <w:color w:val="auto"/>
                <w:sz w:val="21"/>
                <w:szCs w:val="21"/>
                <w:lang w:eastAsia="zh-CN"/>
              </w:rPr>
              <w:t>监测点</w:t>
            </w:r>
            <w:r>
              <w:rPr>
                <w:rFonts w:hint="eastAsia" w:ascii="宋体" w:eastAsia="宋体"/>
                <w:b/>
                <w:color w:val="auto"/>
                <w:sz w:val="21"/>
                <w:szCs w:val="21"/>
                <w:lang w:val="en-US" w:eastAsia="zh-CN"/>
              </w:rPr>
              <w:t>位</w:t>
            </w:r>
            <w:r>
              <w:rPr>
                <w:rFonts w:hint="eastAsia" w:ascii="宋体" w:eastAsia="宋体"/>
                <w:b/>
                <w:color w:val="auto"/>
                <w:sz w:val="21"/>
                <w:szCs w:val="21"/>
                <w:lang w:eastAsia="zh-CN"/>
              </w:rPr>
              <w:t>及频次</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340"/>
              <w:gridCol w:w="1991"/>
              <w:gridCol w:w="1991"/>
            </w:tblGrid>
            <w:tr w14:paraId="55D0F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6D4316A9">
                  <w:pPr>
                    <w:pStyle w:val="46"/>
                    <w:numPr>
                      <w:ilvl w:val="0"/>
                      <w:numId w:val="0"/>
                    </w:numPr>
                    <w:spacing w:beforeLines="0" w:afterLines="0"/>
                    <w:ind w:firstLine="0"/>
                    <w:jc w:val="center"/>
                    <w:rPr>
                      <w:rFonts w:hint="eastAsia"/>
                      <w:color w:val="auto"/>
                      <w:sz w:val="21"/>
                      <w:szCs w:val="21"/>
                    </w:rPr>
                  </w:pPr>
                  <w:r>
                    <w:rPr>
                      <w:rFonts w:hint="eastAsia"/>
                      <w:color w:val="auto"/>
                      <w:sz w:val="21"/>
                      <w:szCs w:val="21"/>
                    </w:rPr>
                    <w:t>监测点</w:t>
                  </w:r>
                </w:p>
              </w:tc>
              <w:tc>
                <w:tcPr>
                  <w:tcW w:w="2340" w:type="dxa"/>
                  <w:tcBorders>
                    <w:tl2br w:val="nil"/>
                    <w:tr2bl w:val="nil"/>
                  </w:tcBorders>
                  <w:noWrap w:val="0"/>
                  <w:vAlign w:val="center"/>
                </w:tcPr>
                <w:p w14:paraId="0AAE12E9">
                  <w:pPr>
                    <w:pStyle w:val="46"/>
                    <w:numPr>
                      <w:ilvl w:val="0"/>
                      <w:numId w:val="0"/>
                    </w:numPr>
                    <w:spacing w:beforeLines="0" w:afterLines="0"/>
                    <w:ind w:firstLine="0"/>
                    <w:jc w:val="center"/>
                    <w:rPr>
                      <w:rFonts w:hint="eastAsia"/>
                      <w:color w:val="auto"/>
                      <w:sz w:val="21"/>
                      <w:szCs w:val="21"/>
                    </w:rPr>
                  </w:pPr>
                  <w:r>
                    <w:rPr>
                      <w:rFonts w:hint="eastAsia"/>
                      <w:color w:val="auto"/>
                      <w:sz w:val="21"/>
                      <w:szCs w:val="21"/>
                    </w:rPr>
                    <w:t>监测项目</w:t>
                  </w:r>
                </w:p>
              </w:tc>
              <w:tc>
                <w:tcPr>
                  <w:tcW w:w="1991" w:type="dxa"/>
                  <w:tcBorders>
                    <w:tl2br w:val="nil"/>
                    <w:tr2bl w:val="nil"/>
                  </w:tcBorders>
                  <w:noWrap w:val="0"/>
                  <w:vAlign w:val="center"/>
                </w:tcPr>
                <w:p w14:paraId="58E8BD7A">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检查项目</w:t>
                  </w:r>
                </w:p>
              </w:tc>
              <w:tc>
                <w:tcPr>
                  <w:tcW w:w="1991" w:type="dxa"/>
                  <w:tcBorders>
                    <w:tl2br w:val="nil"/>
                    <w:tr2bl w:val="nil"/>
                  </w:tcBorders>
                  <w:noWrap w:val="0"/>
                  <w:vAlign w:val="center"/>
                </w:tcPr>
                <w:p w14:paraId="32A05D87">
                  <w:pPr>
                    <w:pStyle w:val="46"/>
                    <w:numPr>
                      <w:ilvl w:val="0"/>
                      <w:numId w:val="0"/>
                    </w:numPr>
                    <w:spacing w:beforeLines="0" w:afterLines="0"/>
                    <w:ind w:firstLine="0"/>
                    <w:jc w:val="center"/>
                    <w:rPr>
                      <w:rFonts w:hint="eastAsia"/>
                      <w:color w:val="auto"/>
                      <w:sz w:val="21"/>
                      <w:szCs w:val="21"/>
                    </w:rPr>
                  </w:pPr>
                  <w:r>
                    <w:rPr>
                      <w:rFonts w:hint="eastAsia" w:eastAsia="宋体"/>
                      <w:color w:val="auto"/>
                      <w:sz w:val="21"/>
                      <w:szCs w:val="21"/>
                      <w:lang w:val="en-US" w:eastAsia="zh-CN"/>
                    </w:rPr>
                    <w:t>采样</w:t>
                  </w:r>
                  <w:r>
                    <w:rPr>
                      <w:rFonts w:hint="eastAsia"/>
                      <w:color w:val="auto"/>
                      <w:sz w:val="21"/>
                      <w:szCs w:val="21"/>
                    </w:rPr>
                    <w:t>频次</w:t>
                  </w:r>
                </w:p>
              </w:tc>
            </w:tr>
            <w:tr w14:paraId="3F212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1AFF9C45">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1</w:t>
                  </w:r>
                </w:p>
              </w:tc>
              <w:tc>
                <w:tcPr>
                  <w:tcW w:w="2340" w:type="dxa"/>
                  <w:tcBorders>
                    <w:tl2br w:val="nil"/>
                    <w:tr2bl w:val="nil"/>
                  </w:tcBorders>
                  <w:noWrap w:val="0"/>
                  <w:vAlign w:val="center"/>
                </w:tcPr>
                <w:p w14:paraId="6711E4FE">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厂界上风向A1</w:t>
                  </w:r>
                </w:p>
              </w:tc>
              <w:tc>
                <w:tcPr>
                  <w:tcW w:w="1991" w:type="dxa"/>
                  <w:vMerge w:val="restart"/>
                  <w:tcBorders>
                    <w:tl2br w:val="nil"/>
                    <w:tr2bl w:val="nil"/>
                  </w:tcBorders>
                  <w:noWrap w:val="0"/>
                  <w:vAlign w:val="center"/>
                </w:tcPr>
                <w:p w14:paraId="6300FDD1">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颗粒物、VOCs、臭气</w:t>
                  </w:r>
                </w:p>
              </w:tc>
              <w:tc>
                <w:tcPr>
                  <w:tcW w:w="1991" w:type="dxa"/>
                  <w:vMerge w:val="restart"/>
                  <w:tcBorders>
                    <w:tl2br w:val="nil"/>
                    <w:tr2bl w:val="nil"/>
                  </w:tcBorders>
                  <w:noWrap w:val="0"/>
                  <w:vAlign w:val="center"/>
                </w:tcPr>
                <w:p w14:paraId="24B6072A">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3次/天，2天</w:t>
                  </w:r>
                </w:p>
              </w:tc>
            </w:tr>
            <w:tr w14:paraId="5D57F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460851AA">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2</w:t>
                  </w:r>
                </w:p>
              </w:tc>
              <w:tc>
                <w:tcPr>
                  <w:tcW w:w="2340" w:type="dxa"/>
                  <w:tcBorders>
                    <w:tl2br w:val="nil"/>
                    <w:tr2bl w:val="nil"/>
                  </w:tcBorders>
                  <w:noWrap w:val="0"/>
                  <w:vAlign w:val="center"/>
                </w:tcPr>
                <w:p w14:paraId="022A474E">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厂界下风向A2</w:t>
                  </w:r>
                </w:p>
              </w:tc>
              <w:tc>
                <w:tcPr>
                  <w:tcW w:w="1991" w:type="dxa"/>
                  <w:vMerge w:val="continue"/>
                  <w:tcBorders>
                    <w:tl2br w:val="nil"/>
                    <w:tr2bl w:val="nil"/>
                  </w:tcBorders>
                  <w:noWrap w:val="0"/>
                  <w:vAlign w:val="center"/>
                </w:tcPr>
                <w:p w14:paraId="3B5FD813">
                  <w:pPr>
                    <w:pStyle w:val="46"/>
                    <w:numPr>
                      <w:ilvl w:val="0"/>
                      <w:numId w:val="0"/>
                    </w:numPr>
                    <w:spacing w:beforeLines="0" w:afterLines="0"/>
                    <w:ind w:firstLine="0"/>
                    <w:jc w:val="center"/>
                    <w:rPr>
                      <w:rFonts w:hint="eastAsia" w:eastAsia="宋体"/>
                      <w:color w:val="auto"/>
                      <w:sz w:val="21"/>
                      <w:szCs w:val="21"/>
                      <w:lang w:val="en-US" w:eastAsia="zh-CN"/>
                    </w:rPr>
                  </w:pPr>
                </w:p>
              </w:tc>
              <w:tc>
                <w:tcPr>
                  <w:tcW w:w="1991" w:type="dxa"/>
                  <w:vMerge w:val="continue"/>
                  <w:tcBorders>
                    <w:tl2br w:val="nil"/>
                    <w:tr2bl w:val="nil"/>
                  </w:tcBorders>
                  <w:noWrap w:val="0"/>
                  <w:vAlign w:val="center"/>
                </w:tcPr>
                <w:p w14:paraId="6DE02078">
                  <w:pPr>
                    <w:pStyle w:val="46"/>
                    <w:numPr>
                      <w:ilvl w:val="0"/>
                      <w:numId w:val="0"/>
                    </w:numPr>
                    <w:spacing w:beforeLines="0" w:afterLines="0"/>
                    <w:ind w:firstLine="0"/>
                    <w:jc w:val="center"/>
                    <w:rPr>
                      <w:rFonts w:hint="eastAsia" w:eastAsia="宋体"/>
                      <w:color w:val="auto"/>
                      <w:sz w:val="21"/>
                      <w:szCs w:val="21"/>
                      <w:lang w:val="en-US" w:eastAsia="zh-CN"/>
                    </w:rPr>
                  </w:pPr>
                </w:p>
              </w:tc>
            </w:tr>
            <w:tr w14:paraId="16F69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79FB18D9">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3</w:t>
                  </w:r>
                </w:p>
              </w:tc>
              <w:tc>
                <w:tcPr>
                  <w:tcW w:w="2340" w:type="dxa"/>
                  <w:tcBorders>
                    <w:tl2br w:val="nil"/>
                    <w:tr2bl w:val="nil"/>
                  </w:tcBorders>
                  <w:noWrap w:val="0"/>
                  <w:vAlign w:val="center"/>
                </w:tcPr>
                <w:p w14:paraId="75B65CB7">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厂界下风向A3</w:t>
                  </w:r>
                </w:p>
              </w:tc>
              <w:tc>
                <w:tcPr>
                  <w:tcW w:w="1991" w:type="dxa"/>
                  <w:vMerge w:val="continue"/>
                  <w:tcBorders>
                    <w:tl2br w:val="nil"/>
                    <w:tr2bl w:val="nil"/>
                  </w:tcBorders>
                  <w:noWrap w:val="0"/>
                  <w:vAlign w:val="center"/>
                </w:tcPr>
                <w:p w14:paraId="0C079DB4">
                  <w:pPr>
                    <w:pStyle w:val="46"/>
                    <w:numPr>
                      <w:ilvl w:val="0"/>
                      <w:numId w:val="0"/>
                    </w:numPr>
                    <w:spacing w:beforeLines="0" w:afterLines="0"/>
                    <w:ind w:firstLine="0"/>
                    <w:jc w:val="center"/>
                    <w:rPr>
                      <w:rFonts w:hint="eastAsia" w:eastAsia="宋体"/>
                      <w:color w:val="auto"/>
                      <w:sz w:val="21"/>
                      <w:szCs w:val="21"/>
                      <w:lang w:val="en-US" w:eastAsia="zh-CN"/>
                    </w:rPr>
                  </w:pPr>
                </w:p>
              </w:tc>
              <w:tc>
                <w:tcPr>
                  <w:tcW w:w="1991" w:type="dxa"/>
                  <w:vMerge w:val="continue"/>
                  <w:tcBorders>
                    <w:tl2br w:val="nil"/>
                    <w:tr2bl w:val="nil"/>
                  </w:tcBorders>
                  <w:noWrap w:val="0"/>
                  <w:vAlign w:val="center"/>
                </w:tcPr>
                <w:p w14:paraId="328CA605">
                  <w:pPr>
                    <w:pStyle w:val="46"/>
                    <w:numPr>
                      <w:ilvl w:val="0"/>
                      <w:numId w:val="0"/>
                    </w:numPr>
                    <w:spacing w:beforeLines="0" w:afterLines="0"/>
                    <w:ind w:firstLine="0"/>
                    <w:jc w:val="center"/>
                    <w:rPr>
                      <w:rFonts w:hint="eastAsia" w:eastAsia="宋体"/>
                      <w:color w:val="auto"/>
                      <w:sz w:val="21"/>
                      <w:szCs w:val="21"/>
                      <w:lang w:val="en-US" w:eastAsia="zh-CN"/>
                    </w:rPr>
                  </w:pPr>
                </w:p>
              </w:tc>
            </w:tr>
            <w:tr w14:paraId="1650A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3AE79F73">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4</w:t>
                  </w:r>
                </w:p>
              </w:tc>
              <w:tc>
                <w:tcPr>
                  <w:tcW w:w="2340" w:type="dxa"/>
                  <w:tcBorders>
                    <w:tl2br w:val="nil"/>
                    <w:tr2bl w:val="nil"/>
                  </w:tcBorders>
                  <w:noWrap w:val="0"/>
                  <w:vAlign w:val="center"/>
                </w:tcPr>
                <w:p w14:paraId="3BABEB38">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厂界下风向A4</w:t>
                  </w:r>
                </w:p>
              </w:tc>
              <w:tc>
                <w:tcPr>
                  <w:tcW w:w="1991" w:type="dxa"/>
                  <w:vMerge w:val="continue"/>
                  <w:tcBorders>
                    <w:tl2br w:val="nil"/>
                    <w:tr2bl w:val="nil"/>
                  </w:tcBorders>
                  <w:noWrap w:val="0"/>
                  <w:vAlign w:val="center"/>
                </w:tcPr>
                <w:p w14:paraId="2FCF47BD">
                  <w:pPr>
                    <w:pStyle w:val="46"/>
                    <w:numPr>
                      <w:ilvl w:val="0"/>
                      <w:numId w:val="0"/>
                    </w:numPr>
                    <w:spacing w:beforeLines="0" w:afterLines="0"/>
                    <w:ind w:firstLine="0"/>
                    <w:jc w:val="center"/>
                    <w:rPr>
                      <w:rFonts w:hint="eastAsia" w:eastAsia="宋体"/>
                      <w:color w:val="auto"/>
                      <w:sz w:val="21"/>
                      <w:szCs w:val="21"/>
                      <w:lang w:val="en-US" w:eastAsia="zh-CN"/>
                    </w:rPr>
                  </w:pPr>
                </w:p>
              </w:tc>
              <w:tc>
                <w:tcPr>
                  <w:tcW w:w="1991" w:type="dxa"/>
                  <w:vMerge w:val="continue"/>
                  <w:tcBorders>
                    <w:tl2br w:val="nil"/>
                    <w:tr2bl w:val="nil"/>
                  </w:tcBorders>
                  <w:noWrap w:val="0"/>
                  <w:vAlign w:val="center"/>
                </w:tcPr>
                <w:p w14:paraId="734CA36C">
                  <w:pPr>
                    <w:pStyle w:val="46"/>
                    <w:numPr>
                      <w:ilvl w:val="0"/>
                      <w:numId w:val="0"/>
                    </w:numPr>
                    <w:spacing w:beforeLines="0" w:afterLines="0"/>
                    <w:ind w:firstLine="0"/>
                    <w:jc w:val="center"/>
                    <w:rPr>
                      <w:rFonts w:hint="eastAsia" w:eastAsia="宋体"/>
                      <w:color w:val="auto"/>
                      <w:sz w:val="21"/>
                      <w:szCs w:val="21"/>
                      <w:lang w:val="en-US" w:eastAsia="zh-CN"/>
                    </w:rPr>
                  </w:pPr>
                </w:p>
              </w:tc>
            </w:tr>
          </w:tbl>
          <w:p w14:paraId="0D2038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eastAsia="宋体"/>
                <w:b/>
                <w:color w:val="auto"/>
                <w:sz w:val="21"/>
                <w:szCs w:val="21"/>
              </w:rPr>
            </w:pPr>
            <w:r>
              <w:rPr>
                <w:rFonts w:hint="default" w:ascii="宋体" w:eastAsia="宋体"/>
                <w:b/>
                <w:color w:val="auto"/>
                <w:sz w:val="21"/>
                <w:szCs w:val="24"/>
              </w:rPr>
              <w:t>表2-1</w:t>
            </w:r>
            <w:r>
              <w:rPr>
                <w:rFonts w:hint="eastAsia" w:ascii="宋体" w:eastAsia="宋体"/>
                <w:b/>
                <w:color w:val="auto"/>
                <w:sz w:val="21"/>
                <w:szCs w:val="24"/>
                <w:lang w:val="en-US" w:eastAsia="zh-CN"/>
              </w:rPr>
              <w:t>5</w:t>
            </w:r>
            <w:r>
              <w:rPr>
                <w:rFonts w:hint="eastAsia"/>
                <w:b/>
                <w:color w:val="auto"/>
                <w:sz w:val="21"/>
                <w:szCs w:val="24"/>
              </w:rPr>
              <w:t xml:space="preserve">    </w:t>
            </w:r>
            <w:r>
              <w:rPr>
                <w:rFonts w:hint="default" w:ascii="宋体" w:eastAsia="宋体"/>
                <w:b/>
                <w:color w:val="auto"/>
                <w:sz w:val="21"/>
                <w:szCs w:val="24"/>
              </w:rPr>
              <w:t>现有项目</w:t>
            </w:r>
            <w:r>
              <w:rPr>
                <w:rFonts w:hint="default" w:ascii="宋体" w:eastAsia="宋体"/>
                <w:b/>
                <w:color w:val="auto"/>
                <w:sz w:val="21"/>
                <w:szCs w:val="21"/>
              </w:rPr>
              <w:t>无组织废气监测结果一览表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425"/>
              <w:gridCol w:w="945"/>
              <w:gridCol w:w="900"/>
              <w:gridCol w:w="1005"/>
              <w:gridCol w:w="990"/>
              <w:gridCol w:w="900"/>
              <w:gridCol w:w="741"/>
            </w:tblGrid>
            <w:tr w14:paraId="24194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043" w:type="dxa"/>
                  <w:gridSpan w:val="2"/>
                  <w:vMerge w:val="restart"/>
                  <w:tcBorders>
                    <w:tl2br w:val="nil"/>
                    <w:tr2bl w:val="nil"/>
                  </w:tcBorders>
                  <w:noWrap w:val="0"/>
                  <w:vAlign w:val="center"/>
                </w:tcPr>
                <w:p w14:paraId="4815E430">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检测项目</w:t>
                  </w:r>
                </w:p>
              </w:tc>
              <w:tc>
                <w:tcPr>
                  <w:tcW w:w="945" w:type="dxa"/>
                  <w:vMerge w:val="restart"/>
                  <w:tcBorders>
                    <w:tl2br w:val="nil"/>
                    <w:tr2bl w:val="nil"/>
                  </w:tcBorders>
                  <w:noWrap w:val="0"/>
                  <w:vAlign w:val="center"/>
                </w:tcPr>
                <w:p w14:paraId="5999E941">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检测频次</w:t>
                  </w:r>
                </w:p>
              </w:tc>
              <w:tc>
                <w:tcPr>
                  <w:tcW w:w="3795" w:type="dxa"/>
                  <w:gridSpan w:val="4"/>
                  <w:tcBorders>
                    <w:tl2br w:val="nil"/>
                    <w:tr2bl w:val="nil"/>
                  </w:tcBorders>
                  <w:noWrap w:val="0"/>
                  <w:vAlign w:val="center"/>
                </w:tcPr>
                <w:p w14:paraId="7EC204DA">
                  <w:pPr>
                    <w:pStyle w:val="46"/>
                    <w:numPr>
                      <w:ilvl w:val="0"/>
                      <w:numId w:val="0"/>
                    </w:numPr>
                    <w:spacing w:line="288" w:lineRule="auto"/>
                    <w:ind w:firstLine="0"/>
                    <w:jc w:val="center"/>
                    <w:rPr>
                      <w:rFonts w:hint="eastAsia" w:eastAsia="宋体"/>
                      <w:color w:val="auto"/>
                      <w:sz w:val="21"/>
                      <w:szCs w:val="21"/>
                      <w:lang w:val="en-US" w:eastAsia="zh-CN"/>
                    </w:rPr>
                  </w:pPr>
                  <w:r>
                    <w:rPr>
                      <w:rFonts w:hint="eastAsia" w:eastAsia="宋体"/>
                      <w:color w:val="auto"/>
                      <w:sz w:val="21"/>
                      <w:szCs w:val="21"/>
                      <w:lang w:val="en-US" w:eastAsia="zh-CN"/>
                    </w:rPr>
                    <w:t>结果</w:t>
                  </w:r>
                </w:p>
              </w:tc>
              <w:tc>
                <w:tcPr>
                  <w:tcW w:w="741" w:type="dxa"/>
                  <w:vMerge w:val="restart"/>
                  <w:tcBorders>
                    <w:tl2br w:val="nil"/>
                    <w:tr2bl w:val="nil"/>
                  </w:tcBorders>
                  <w:noWrap w:val="0"/>
                  <w:vAlign w:val="center"/>
                </w:tcPr>
                <w:p w14:paraId="6E8C9308">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标准限值</w:t>
                  </w:r>
                </w:p>
              </w:tc>
            </w:tr>
            <w:tr w14:paraId="4EED1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043" w:type="dxa"/>
                  <w:gridSpan w:val="2"/>
                  <w:vMerge w:val="continue"/>
                  <w:tcBorders>
                    <w:tl2br w:val="nil"/>
                    <w:tr2bl w:val="nil"/>
                  </w:tcBorders>
                  <w:noWrap w:val="0"/>
                  <w:vAlign w:val="center"/>
                </w:tcPr>
                <w:p w14:paraId="73990B83">
                  <w:pPr>
                    <w:pStyle w:val="46"/>
                    <w:numPr>
                      <w:ilvl w:val="0"/>
                      <w:numId w:val="0"/>
                    </w:numPr>
                    <w:spacing w:line="288" w:lineRule="auto"/>
                    <w:ind w:firstLine="0"/>
                    <w:jc w:val="center"/>
                    <w:rPr>
                      <w:rFonts w:hint="default"/>
                      <w:color w:val="auto"/>
                      <w:sz w:val="21"/>
                      <w:szCs w:val="21"/>
                    </w:rPr>
                  </w:pPr>
                </w:p>
              </w:tc>
              <w:tc>
                <w:tcPr>
                  <w:tcW w:w="945" w:type="dxa"/>
                  <w:vMerge w:val="continue"/>
                  <w:tcBorders>
                    <w:tl2br w:val="nil"/>
                    <w:tr2bl w:val="nil"/>
                  </w:tcBorders>
                  <w:noWrap w:val="0"/>
                  <w:vAlign w:val="center"/>
                </w:tcPr>
                <w:p w14:paraId="4A63D116">
                  <w:pPr>
                    <w:pStyle w:val="46"/>
                    <w:numPr>
                      <w:ilvl w:val="0"/>
                      <w:numId w:val="0"/>
                    </w:numPr>
                    <w:spacing w:line="288" w:lineRule="auto"/>
                    <w:ind w:firstLine="0"/>
                    <w:jc w:val="center"/>
                    <w:rPr>
                      <w:rFonts w:hint="default"/>
                      <w:color w:val="auto"/>
                      <w:sz w:val="21"/>
                      <w:szCs w:val="21"/>
                    </w:rPr>
                  </w:pPr>
                </w:p>
              </w:tc>
              <w:tc>
                <w:tcPr>
                  <w:tcW w:w="900" w:type="dxa"/>
                  <w:tcBorders>
                    <w:tl2br w:val="nil"/>
                    <w:tr2bl w:val="nil"/>
                  </w:tcBorders>
                  <w:noWrap w:val="0"/>
                  <w:vAlign w:val="center"/>
                </w:tcPr>
                <w:p w14:paraId="235BC278">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厂界上风向A1</w:t>
                  </w:r>
                </w:p>
              </w:tc>
              <w:tc>
                <w:tcPr>
                  <w:tcW w:w="1005" w:type="dxa"/>
                  <w:tcBorders>
                    <w:tl2br w:val="nil"/>
                    <w:tr2bl w:val="nil"/>
                  </w:tcBorders>
                  <w:noWrap w:val="0"/>
                  <w:vAlign w:val="center"/>
                </w:tcPr>
                <w:p w14:paraId="362AA58E">
                  <w:pPr>
                    <w:pStyle w:val="46"/>
                    <w:numPr>
                      <w:ilvl w:val="0"/>
                      <w:numId w:val="0"/>
                    </w:numPr>
                    <w:spacing w:line="288" w:lineRule="auto"/>
                    <w:ind w:firstLine="0"/>
                    <w:jc w:val="center"/>
                    <w:rPr>
                      <w:rFonts w:hint="default"/>
                      <w:color w:val="auto"/>
                      <w:sz w:val="21"/>
                      <w:szCs w:val="21"/>
                    </w:rPr>
                  </w:pPr>
                  <w:r>
                    <w:rPr>
                      <w:rFonts w:hint="eastAsia" w:eastAsia="宋体"/>
                      <w:color w:val="auto"/>
                      <w:sz w:val="21"/>
                      <w:szCs w:val="21"/>
                      <w:lang w:val="en-US" w:eastAsia="zh-CN"/>
                    </w:rPr>
                    <w:t>厂界下风向A2</w:t>
                  </w:r>
                </w:p>
              </w:tc>
              <w:tc>
                <w:tcPr>
                  <w:tcW w:w="990" w:type="dxa"/>
                  <w:tcBorders>
                    <w:tl2br w:val="nil"/>
                    <w:tr2bl w:val="nil"/>
                  </w:tcBorders>
                  <w:noWrap w:val="0"/>
                  <w:vAlign w:val="center"/>
                </w:tcPr>
                <w:p w14:paraId="54A05032">
                  <w:pPr>
                    <w:pStyle w:val="46"/>
                    <w:numPr>
                      <w:ilvl w:val="0"/>
                      <w:numId w:val="0"/>
                    </w:numPr>
                    <w:spacing w:line="288" w:lineRule="auto"/>
                    <w:ind w:firstLine="0"/>
                    <w:jc w:val="center"/>
                    <w:rPr>
                      <w:rFonts w:hint="default"/>
                      <w:color w:val="auto"/>
                      <w:sz w:val="21"/>
                      <w:szCs w:val="21"/>
                    </w:rPr>
                  </w:pPr>
                  <w:r>
                    <w:rPr>
                      <w:rFonts w:hint="eastAsia" w:eastAsia="宋体"/>
                      <w:color w:val="auto"/>
                      <w:sz w:val="21"/>
                      <w:szCs w:val="21"/>
                      <w:lang w:val="en-US" w:eastAsia="zh-CN"/>
                    </w:rPr>
                    <w:t>厂界下风向A3</w:t>
                  </w:r>
                </w:p>
              </w:tc>
              <w:tc>
                <w:tcPr>
                  <w:tcW w:w="900" w:type="dxa"/>
                  <w:tcBorders>
                    <w:tl2br w:val="nil"/>
                    <w:tr2bl w:val="nil"/>
                  </w:tcBorders>
                  <w:noWrap w:val="0"/>
                  <w:vAlign w:val="center"/>
                </w:tcPr>
                <w:p w14:paraId="20BCAF56">
                  <w:pPr>
                    <w:pStyle w:val="46"/>
                    <w:numPr>
                      <w:ilvl w:val="0"/>
                      <w:numId w:val="0"/>
                    </w:numPr>
                    <w:spacing w:line="288" w:lineRule="auto"/>
                    <w:ind w:firstLine="0"/>
                    <w:jc w:val="center"/>
                    <w:rPr>
                      <w:rFonts w:hint="default"/>
                      <w:color w:val="auto"/>
                      <w:sz w:val="21"/>
                      <w:szCs w:val="21"/>
                    </w:rPr>
                  </w:pPr>
                  <w:r>
                    <w:rPr>
                      <w:rFonts w:hint="eastAsia" w:eastAsia="宋体"/>
                      <w:color w:val="auto"/>
                      <w:sz w:val="21"/>
                      <w:szCs w:val="21"/>
                      <w:lang w:val="en-US" w:eastAsia="zh-CN"/>
                    </w:rPr>
                    <w:t>厂界下风向A4</w:t>
                  </w:r>
                </w:p>
              </w:tc>
              <w:tc>
                <w:tcPr>
                  <w:tcW w:w="741" w:type="dxa"/>
                  <w:vMerge w:val="continue"/>
                  <w:tcBorders>
                    <w:tl2br w:val="nil"/>
                    <w:tr2bl w:val="nil"/>
                  </w:tcBorders>
                  <w:noWrap w:val="0"/>
                  <w:vAlign w:val="center"/>
                </w:tcPr>
                <w:p w14:paraId="180A48CA">
                  <w:pPr>
                    <w:pStyle w:val="46"/>
                    <w:numPr>
                      <w:ilvl w:val="0"/>
                      <w:numId w:val="0"/>
                    </w:numPr>
                    <w:spacing w:line="288" w:lineRule="auto"/>
                    <w:ind w:firstLine="0"/>
                    <w:jc w:val="center"/>
                    <w:rPr>
                      <w:rFonts w:hint="default"/>
                      <w:color w:val="auto"/>
                      <w:sz w:val="21"/>
                      <w:szCs w:val="21"/>
                    </w:rPr>
                  </w:pPr>
                </w:p>
              </w:tc>
            </w:tr>
            <w:tr w14:paraId="50151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restart"/>
                  <w:tcBorders>
                    <w:tl2br w:val="nil"/>
                    <w:tr2bl w:val="nil"/>
                  </w:tcBorders>
                  <w:noWrap w:val="0"/>
                  <w:vAlign w:val="center"/>
                </w:tcPr>
                <w:p w14:paraId="723DA4D8">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2023.05.25</w:t>
                  </w:r>
                </w:p>
              </w:tc>
              <w:tc>
                <w:tcPr>
                  <w:tcW w:w="1425" w:type="dxa"/>
                  <w:vMerge w:val="restart"/>
                  <w:tcBorders>
                    <w:tl2br w:val="nil"/>
                    <w:tr2bl w:val="nil"/>
                  </w:tcBorders>
                  <w:noWrap w:val="0"/>
                  <w:vAlign w:val="center"/>
                </w:tcPr>
                <w:p w14:paraId="5BD8A6D8">
                  <w:pPr>
                    <w:pStyle w:val="46"/>
                    <w:numPr>
                      <w:ilvl w:val="0"/>
                      <w:numId w:val="0"/>
                    </w:numPr>
                    <w:spacing w:line="288" w:lineRule="auto"/>
                    <w:ind w:firstLine="0"/>
                    <w:jc w:val="center"/>
                    <w:rPr>
                      <w:rFonts w:hint="eastAsia" w:eastAsia="宋体"/>
                      <w:color w:val="auto"/>
                      <w:sz w:val="21"/>
                      <w:szCs w:val="21"/>
                      <w:lang w:val="en-US" w:eastAsia="zh-CN"/>
                    </w:rPr>
                  </w:pPr>
                  <w:r>
                    <w:rPr>
                      <w:rFonts w:hint="eastAsia" w:eastAsia="宋体"/>
                      <w:color w:val="auto"/>
                      <w:sz w:val="21"/>
                      <w:szCs w:val="21"/>
                      <w:lang w:val="en-US" w:eastAsia="zh-CN"/>
                    </w:rPr>
                    <w:t>颗粒物</w:t>
                  </w:r>
                </w:p>
                <w:p w14:paraId="5AE16370">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Mg/m</w:t>
                  </w:r>
                  <w:r>
                    <w:rPr>
                      <w:rFonts w:hint="eastAsia" w:eastAsia="宋体"/>
                      <w:color w:val="auto"/>
                      <w:sz w:val="21"/>
                      <w:szCs w:val="21"/>
                      <w:vertAlign w:val="superscript"/>
                      <w:lang w:val="en-US" w:eastAsia="zh-CN"/>
                    </w:rPr>
                    <w:t>3</w:t>
                  </w:r>
                </w:p>
              </w:tc>
              <w:tc>
                <w:tcPr>
                  <w:tcW w:w="945" w:type="dxa"/>
                  <w:tcBorders>
                    <w:tl2br w:val="nil"/>
                    <w:tr2bl w:val="nil"/>
                  </w:tcBorders>
                  <w:noWrap w:val="0"/>
                  <w:vAlign w:val="center"/>
                </w:tcPr>
                <w:p w14:paraId="575021DF">
                  <w:pPr>
                    <w:pStyle w:val="46"/>
                    <w:numPr>
                      <w:ilvl w:val="0"/>
                      <w:numId w:val="0"/>
                    </w:numPr>
                    <w:spacing w:line="288" w:lineRule="auto"/>
                    <w:ind w:firstLine="0"/>
                    <w:jc w:val="center"/>
                    <w:rPr>
                      <w:rFonts w:hint="eastAsia" w:eastAsia="宋体"/>
                      <w:color w:val="auto"/>
                      <w:sz w:val="21"/>
                      <w:szCs w:val="21"/>
                      <w:lang w:val="en-US" w:eastAsia="zh-CN"/>
                    </w:rPr>
                  </w:pPr>
                  <w:r>
                    <w:rPr>
                      <w:rFonts w:hint="eastAsia" w:eastAsia="宋体"/>
                      <w:color w:val="auto"/>
                      <w:sz w:val="21"/>
                      <w:szCs w:val="21"/>
                      <w:lang w:val="en-US" w:eastAsia="zh-CN"/>
                    </w:rPr>
                    <w:t>第一次</w:t>
                  </w:r>
                </w:p>
              </w:tc>
              <w:tc>
                <w:tcPr>
                  <w:tcW w:w="900" w:type="dxa"/>
                  <w:tcBorders>
                    <w:tl2br w:val="nil"/>
                    <w:tr2bl w:val="nil"/>
                  </w:tcBorders>
                  <w:noWrap w:val="0"/>
                  <w:vAlign w:val="center"/>
                </w:tcPr>
                <w:p w14:paraId="257CF688">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0.145</w:t>
                  </w:r>
                </w:p>
              </w:tc>
              <w:tc>
                <w:tcPr>
                  <w:tcW w:w="1005" w:type="dxa"/>
                  <w:tcBorders>
                    <w:tl2br w:val="nil"/>
                    <w:tr2bl w:val="nil"/>
                  </w:tcBorders>
                  <w:noWrap w:val="0"/>
                  <w:vAlign w:val="center"/>
                </w:tcPr>
                <w:p w14:paraId="5D788ACF">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0.278</w:t>
                  </w:r>
                </w:p>
              </w:tc>
              <w:tc>
                <w:tcPr>
                  <w:tcW w:w="990" w:type="dxa"/>
                  <w:tcBorders>
                    <w:tl2br w:val="nil"/>
                    <w:tr2bl w:val="nil"/>
                  </w:tcBorders>
                  <w:noWrap w:val="0"/>
                  <w:vAlign w:val="center"/>
                </w:tcPr>
                <w:p w14:paraId="07E086C8">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0.287</w:t>
                  </w:r>
                </w:p>
              </w:tc>
              <w:tc>
                <w:tcPr>
                  <w:tcW w:w="900" w:type="dxa"/>
                  <w:tcBorders>
                    <w:tl2br w:val="nil"/>
                    <w:tr2bl w:val="nil"/>
                  </w:tcBorders>
                  <w:noWrap w:val="0"/>
                  <w:vAlign w:val="center"/>
                </w:tcPr>
                <w:p w14:paraId="2EF72A1F">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0.252</w:t>
                  </w:r>
                </w:p>
              </w:tc>
              <w:tc>
                <w:tcPr>
                  <w:tcW w:w="741" w:type="dxa"/>
                  <w:vMerge w:val="restart"/>
                  <w:tcBorders>
                    <w:tl2br w:val="nil"/>
                    <w:tr2bl w:val="nil"/>
                  </w:tcBorders>
                  <w:noWrap w:val="0"/>
                  <w:vAlign w:val="center"/>
                </w:tcPr>
                <w:p w14:paraId="438C232A">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0.5</w:t>
                  </w:r>
                </w:p>
              </w:tc>
            </w:tr>
            <w:tr w14:paraId="7780D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01EF68CD">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0442D0D6">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noWrap w:val="0"/>
                  <w:vAlign w:val="center"/>
                </w:tcPr>
                <w:p w14:paraId="2C62E27C">
                  <w:pPr>
                    <w:pStyle w:val="46"/>
                    <w:numPr>
                      <w:ilvl w:val="0"/>
                      <w:numId w:val="0"/>
                    </w:numPr>
                    <w:spacing w:line="288" w:lineRule="auto"/>
                    <w:ind w:firstLine="0"/>
                    <w:jc w:val="center"/>
                    <w:rPr>
                      <w:rFonts w:hint="eastAsia" w:eastAsia="宋体"/>
                      <w:color w:val="auto"/>
                      <w:sz w:val="21"/>
                      <w:szCs w:val="21"/>
                      <w:lang w:val="en-US" w:eastAsia="zh-CN"/>
                    </w:rPr>
                  </w:pPr>
                  <w:r>
                    <w:rPr>
                      <w:rFonts w:hint="eastAsia" w:eastAsia="宋体"/>
                      <w:color w:val="auto"/>
                      <w:sz w:val="21"/>
                      <w:szCs w:val="21"/>
                      <w:lang w:val="en-US" w:eastAsia="zh-CN"/>
                    </w:rPr>
                    <w:t>第二次</w:t>
                  </w:r>
                </w:p>
              </w:tc>
              <w:tc>
                <w:tcPr>
                  <w:tcW w:w="900" w:type="dxa"/>
                  <w:tcBorders>
                    <w:tl2br w:val="nil"/>
                    <w:tr2bl w:val="nil"/>
                  </w:tcBorders>
                  <w:noWrap w:val="0"/>
                  <w:vAlign w:val="center"/>
                </w:tcPr>
                <w:p w14:paraId="631B831B">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0.153</w:t>
                  </w:r>
                </w:p>
              </w:tc>
              <w:tc>
                <w:tcPr>
                  <w:tcW w:w="1005" w:type="dxa"/>
                  <w:tcBorders>
                    <w:tl2br w:val="nil"/>
                    <w:tr2bl w:val="nil"/>
                  </w:tcBorders>
                  <w:noWrap w:val="0"/>
                  <w:vAlign w:val="center"/>
                </w:tcPr>
                <w:p w14:paraId="3FF508BA">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0.294</w:t>
                  </w:r>
                </w:p>
              </w:tc>
              <w:tc>
                <w:tcPr>
                  <w:tcW w:w="990" w:type="dxa"/>
                  <w:tcBorders>
                    <w:tl2br w:val="nil"/>
                    <w:tr2bl w:val="nil"/>
                  </w:tcBorders>
                  <w:noWrap w:val="0"/>
                  <w:vAlign w:val="center"/>
                </w:tcPr>
                <w:p w14:paraId="30D4F3B7">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0.301</w:t>
                  </w:r>
                </w:p>
              </w:tc>
              <w:tc>
                <w:tcPr>
                  <w:tcW w:w="900" w:type="dxa"/>
                  <w:tcBorders>
                    <w:tl2br w:val="nil"/>
                    <w:tr2bl w:val="nil"/>
                  </w:tcBorders>
                  <w:noWrap w:val="0"/>
                  <w:vAlign w:val="center"/>
                </w:tcPr>
                <w:p w14:paraId="3D03969C">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0.282</w:t>
                  </w:r>
                </w:p>
              </w:tc>
              <w:tc>
                <w:tcPr>
                  <w:tcW w:w="741" w:type="dxa"/>
                  <w:vMerge w:val="continue"/>
                  <w:tcBorders>
                    <w:tl2br w:val="nil"/>
                    <w:tr2bl w:val="nil"/>
                  </w:tcBorders>
                  <w:noWrap w:val="0"/>
                  <w:vAlign w:val="center"/>
                </w:tcPr>
                <w:p w14:paraId="2669C317">
                  <w:pPr>
                    <w:pStyle w:val="46"/>
                    <w:numPr>
                      <w:ilvl w:val="0"/>
                      <w:numId w:val="0"/>
                    </w:numPr>
                    <w:spacing w:line="288" w:lineRule="auto"/>
                    <w:ind w:firstLine="0"/>
                    <w:jc w:val="center"/>
                    <w:rPr>
                      <w:rFonts w:hint="default"/>
                      <w:color w:val="auto"/>
                      <w:sz w:val="21"/>
                      <w:szCs w:val="21"/>
                    </w:rPr>
                  </w:pPr>
                </w:p>
              </w:tc>
            </w:tr>
            <w:tr w14:paraId="2F97E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7CA9AD4C">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4A63BB3A">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noWrap w:val="0"/>
                  <w:vAlign w:val="center"/>
                </w:tcPr>
                <w:p w14:paraId="4E5486EC">
                  <w:pPr>
                    <w:pStyle w:val="46"/>
                    <w:numPr>
                      <w:ilvl w:val="0"/>
                      <w:numId w:val="0"/>
                    </w:numPr>
                    <w:spacing w:line="288" w:lineRule="auto"/>
                    <w:ind w:firstLine="0"/>
                    <w:jc w:val="center"/>
                    <w:rPr>
                      <w:rFonts w:hint="eastAsia" w:eastAsia="宋体"/>
                      <w:color w:val="auto"/>
                      <w:sz w:val="21"/>
                      <w:szCs w:val="21"/>
                      <w:lang w:val="en-US" w:eastAsia="zh-CN"/>
                    </w:rPr>
                  </w:pPr>
                  <w:r>
                    <w:rPr>
                      <w:rFonts w:hint="eastAsia" w:eastAsia="宋体"/>
                      <w:color w:val="auto"/>
                      <w:sz w:val="21"/>
                      <w:szCs w:val="21"/>
                      <w:lang w:val="en-US" w:eastAsia="zh-CN"/>
                    </w:rPr>
                    <w:t>第三次</w:t>
                  </w:r>
                </w:p>
              </w:tc>
              <w:tc>
                <w:tcPr>
                  <w:tcW w:w="900" w:type="dxa"/>
                  <w:tcBorders>
                    <w:tl2br w:val="nil"/>
                    <w:tr2bl w:val="nil"/>
                  </w:tcBorders>
                  <w:noWrap w:val="0"/>
                  <w:vAlign w:val="center"/>
                </w:tcPr>
                <w:p w14:paraId="475CA3FA">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0.141</w:t>
                  </w:r>
                </w:p>
              </w:tc>
              <w:tc>
                <w:tcPr>
                  <w:tcW w:w="1005" w:type="dxa"/>
                  <w:tcBorders>
                    <w:tl2br w:val="nil"/>
                    <w:tr2bl w:val="nil"/>
                  </w:tcBorders>
                  <w:noWrap w:val="0"/>
                  <w:vAlign w:val="center"/>
                </w:tcPr>
                <w:p w14:paraId="406BC642">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0.272</w:t>
                  </w:r>
                </w:p>
              </w:tc>
              <w:tc>
                <w:tcPr>
                  <w:tcW w:w="990" w:type="dxa"/>
                  <w:tcBorders>
                    <w:tl2br w:val="nil"/>
                    <w:tr2bl w:val="nil"/>
                  </w:tcBorders>
                  <w:noWrap w:val="0"/>
                  <w:vAlign w:val="center"/>
                </w:tcPr>
                <w:p w14:paraId="39ED276F">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0.295</w:t>
                  </w:r>
                </w:p>
              </w:tc>
              <w:tc>
                <w:tcPr>
                  <w:tcW w:w="900" w:type="dxa"/>
                  <w:tcBorders>
                    <w:tl2br w:val="nil"/>
                    <w:tr2bl w:val="nil"/>
                  </w:tcBorders>
                  <w:noWrap w:val="0"/>
                  <w:vAlign w:val="center"/>
                </w:tcPr>
                <w:p w14:paraId="39A4660A">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0.280</w:t>
                  </w:r>
                </w:p>
              </w:tc>
              <w:tc>
                <w:tcPr>
                  <w:tcW w:w="741" w:type="dxa"/>
                  <w:vMerge w:val="continue"/>
                  <w:tcBorders>
                    <w:tl2br w:val="nil"/>
                    <w:tr2bl w:val="nil"/>
                  </w:tcBorders>
                  <w:noWrap w:val="0"/>
                  <w:vAlign w:val="center"/>
                </w:tcPr>
                <w:p w14:paraId="5D5FCDD4">
                  <w:pPr>
                    <w:pStyle w:val="46"/>
                    <w:numPr>
                      <w:ilvl w:val="0"/>
                      <w:numId w:val="0"/>
                    </w:numPr>
                    <w:spacing w:line="288" w:lineRule="auto"/>
                    <w:ind w:firstLine="0"/>
                    <w:jc w:val="center"/>
                    <w:rPr>
                      <w:rFonts w:hint="default"/>
                      <w:color w:val="auto"/>
                      <w:sz w:val="21"/>
                      <w:szCs w:val="21"/>
                    </w:rPr>
                  </w:pPr>
                </w:p>
              </w:tc>
            </w:tr>
            <w:tr w14:paraId="65583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677CE05D">
                  <w:pPr>
                    <w:pStyle w:val="46"/>
                    <w:numPr>
                      <w:ilvl w:val="0"/>
                      <w:numId w:val="0"/>
                    </w:numPr>
                    <w:spacing w:line="288" w:lineRule="auto"/>
                    <w:ind w:firstLine="0"/>
                    <w:jc w:val="center"/>
                    <w:rPr>
                      <w:rFonts w:hint="default"/>
                      <w:color w:val="auto"/>
                      <w:sz w:val="21"/>
                      <w:szCs w:val="21"/>
                    </w:rPr>
                  </w:pPr>
                </w:p>
              </w:tc>
              <w:tc>
                <w:tcPr>
                  <w:tcW w:w="1425" w:type="dxa"/>
                  <w:vMerge w:val="restart"/>
                  <w:tcBorders>
                    <w:tl2br w:val="nil"/>
                    <w:tr2bl w:val="nil"/>
                  </w:tcBorders>
                  <w:noWrap w:val="0"/>
                  <w:vAlign w:val="center"/>
                </w:tcPr>
                <w:p w14:paraId="7E059B3D">
                  <w:pPr>
                    <w:pStyle w:val="46"/>
                    <w:numPr>
                      <w:ilvl w:val="0"/>
                      <w:numId w:val="0"/>
                    </w:numPr>
                    <w:spacing w:line="288"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挥发性有机</w:t>
                  </w:r>
                </w:p>
                <w:p w14:paraId="47D2048F">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Mg/m</w:t>
                  </w:r>
                  <w:r>
                    <w:rPr>
                      <w:rFonts w:hint="eastAsia" w:eastAsia="宋体"/>
                      <w:color w:val="auto"/>
                      <w:sz w:val="21"/>
                      <w:szCs w:val="21"/>
                      <w:vertAlign w:val="superscript"/>
                      <w:lang w:val="en-US" w:eastAsia="zh-CN"/>
                    </w:rPr>
                    <w:t>3</w:t>
                  </w:r>
                </w:p>
              </w:tc>
              <w:tc>
                <w:tcPr>
                  <w:tcW w:w="945" w:type="dxa"/>
                  <w:tcBorders>
                    <w:tl2br w:val="nil"/>
                    <w:tr2bl w:val="nil"/>
                  </w:tcBorders>
                  <w:shd w:val="clear" w:color="auto" w:fill="auto"/>
                  <w:noWrap w:val="0"/>
                  <w:vAlign w:val="center"/>
                </w:tcPr>
                <w:p w14:paraId="754305AA">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第一次</w:t>
                  </w:r>
                </w:p>
              </w:tc>
              <w:tc>
                <w:tcPr>
                  <w:tcW w:w="900" w:type="dxa"/>
                  <w:tcBorders>
                    <w:tl2br w:val="nil"/>
                    <w:tr2bl w:val="nil"/>
                  </w:tcBorders>
                  <w:noWrap w:val="0"/>
                  <w:vAlign w:val="center"/>
                </w:tcPr>
                <w:p w14:paraId="4611FEDD">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0.0659</w:t>
                  </w:r>
                </w:p>
              </w:tc>
              <w:tc>
                <w:tcPr>
                  <w:tcW w:w="1005" w:type="dxa"/>
                  <w:tcBorders>
                    <w:tl2br w:val="nil"/>
                    <w:tr2bl w:val="nil"/>
                  </w:tcBorders>
                  <w:noWrap w:val="0"/>
                  <w:vAlign w:val="center"/>
                </w:tcPr>
                <w:p w14:paraId="0EAC29EC">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0.199</w:t>
                  </w:r>
                </w:p>
              </w:tc>
              <w:tc>
                <w:tcPr>
                  <w:tcW w:w="990" w:type="dxa"/>
                  <w:tcBorders>
                    <w:tl2br w:val="nil"/>
                    <w:tr2bl w:val="nil"/>
                  </w:tcBorders>
                  <w:noWrap w:val="0"/>
                  <w:vAlign w:val="center"/>
                </w:tcPr>
                <w:p w14:paraId="18ED0385">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0.182</w:t>
                  </w:r>
                </w:p>
              </w:tc>
              <w:tc>
                <w:tcPr>
                  <w:tcW w:w="900" w:type="dxa"/>
                  <w:tcBorders>
                    <w:tl2br w:val="nil"/>
                    <w:tr2bl w:val="nil"/>
                  </w:tcBorders>
                  <w:noWrap w:val="0"/>
                  <w:vAlign w:val="center"/>
                </w:tcPr>
                <w:p w14:paraId="1A1CA0AB">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0.243</w:t>
                  </w:r>
                </w:p>
              </w:tc>
              <w:tc>
                <w:tcPr>
                  <w:tcW w:w="741" w:type="dxa"/>
                  <w:vMerge w:val="restart"/>
                  <w:tcBorders>
                    <w:tl2br w:val="nil"/>
                    <w:tr2bl w:val="nil"/>
                  </w:tcBorders>
                  <w:noWrap w:val="0"/>
                  <w:vAlign w:val="center"/>
                </w:tcPr>
                <w:p w14:paraId="45B2E937">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2.0</w:t>
                  </w:r>
                </w:p>
              </w:tc>
            </w:tr>
            <w:tr w14:paraId="5D591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3E219DA9">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7DC10631">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0229D36A">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第二次</w:t>
                  </w:r>
                </w:p>
              </w:tc>
              <w:tc>
                <w:tcPr>
                  <w:tcW w:w="900" w:type="dxa"/>
                  <w:tcBorders>
                    <w:tl2br w:val="nil"/>
                    <w:tr2bl w:val="nil"/>
                  </w:tcBorders>
                  <w:noWrap w:val="0"/>
                  <w:vAlign w:val="center"/>
                </w:tcPr>
                <w:p w14:paraId="5B4BF674">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0.0884</w:t>
                  </w:r>
                </w:p>
              </w:tc>
              <w:tc>
                <w:tcPr>
                  <w:tcW w:w="1005" w:type="dxa"/>
                  <w:tcBorders>
                    <w:tl2br w:val="nil"/>
                    <w:tr2bl w:val="nil"/>
                  </w:tcBorders>
                  <w:noWrap w:val="0"/>
                  <w:vAlign w:val="center"/>
                </w:tcPr>
                <w:p w14:paraId="05E92DF5">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0.219</w:t>
                  </w:r>
                </w:p>
              </w:tc>
              <w:tc>
                <w:tcPr>
                  <w:tcW w:w="990" w:type="dxa"/>
                  <w:tcBorders>
                    <w:tl2br w:val="nil"/>
                    <w:tr2bl w:val="nil"/>
                  </w:tcBorders>
                  <w:noWrap w:val="0"/>
                  <w:vAlign w:val="center"/>
                </w:tcPr>
                <w:p w14:paraId="31D39BAB">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0.220</w:t>
                  </w:r>
                </w:p>
              </w:tc>
              <w:tc>
                <w:tcPr>
                  <w:tcW w:w="900" w:type="dxa"/>
                  <w:tcBorders>
                    <w:tl2br w:val="nil"/>
                    <w:tr2bl w:val="nil"/>
                  </w:tcBorders>
                  <w:noWrap w:val="0"/>
                  <w:vAlign w:val="center"/>
                </w:tcPr>
                <w:p w14:paraId="22A0C5B8">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0.194</w:t>
                  </w:r>
                </w:p>
              </w:tc>
              <w:tc>
                <w:tcPr>
                  <w:tcW w:w="741" w:type="dxa"/>
                  <w:vMerge w:val="continue"/>
                  <w:tcBorders>
                    <w:tl2br w:val="nil"/>
                    <w:tr2bl w:val="nil"/>
                  </w:tcBorders>
                  <w:noWrap w:val="0"/>
                  <w:vAlign w:val="center"/>
                </w:tcPr>
                <w:p w14:paraId="2F5853E1">
                  <w:pPr>
                    <w:pStyle w:val="46"/>
                    <w:numPr>
                      <w:ilvl w:val="0"/>
                      <w:numId w:val="0"/>
                    </w:numPr>
                    <w:spacing w:line="288" w:lineRule="auto"/>
                    <w:ind w:firstLine="0"/>
                    <w:jc w:val="center"/>
                    <w:rPr>
                      <w:rFonts w:hint="default"/>
                      <w:color w:val="auto"/>
                      <w:sz w:val="21"/>
                      <w:szCs w:val="21"/>
                    </w:rPr>
                  </w:pPr>
                </w:p>
              </w:tc>
            </w:tr>
            <w:tr w14:paraId="56EB5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59B797C5">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58145FD4">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5F653F96">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第三次</w:t>
                  </w:r>
                </w:p>
              </w:tc>
              <w:tc>
                <w:tcPr>
                  <w:tcW w:w="900" w:type="dxa"/>
                  <w:tcBorders>
                    <w:tl2br w:val="nil"/>
                    <w:tr2bl w:val="nil"/>
                  </w:tcBorders>
                  <w:noWrap w:val="0"/>
                  <w:vAlign w:val="center"/>
                </w:tcPr>
                <w:p w14:paraId="0A849F93">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0.108</w:t>
                  </w:r>
                </w:p>
              </w:tc>
              <w:tc>
                <w:tcPr>
                  <w:tcW w:w="1005" w:type="dxa"/>
                  <w:tcBorders>
                    <w:tl2br w:val="nil"/>
                    <w:tr2bl w:val="nil"/>
                  </w:tcBorders>
                  <w:noWrap w:val="0"/>
                  <w:vAlign w:val="center"/>
                </w:tcPr>
                <w:p w14:paraId="562ACF20">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0.254</w:t>
                  </w:r>
                </w:p>
              </w:tc>
              <w:tc>
                <w:tcPr>
                  <w:tcW w:w="990" w:type="dxa"/>
                  <w:tcBorders>
                    <w:tl2br w:val="nil"/>
                    <w:tr2bl w:val="nil"/>
                  </w:tcBorders>
                  <w:noWrap w:val="0"/>
                  <w:vAlign w:val="center"/>
                </w:tcPr>
                <w:p w14:paraId="106128C3">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0.236</w:t>
                  </w:r>
                </w:p>
              </w:tc>
              <w:tc>
                <w:tcPr>
                  <w:tcW w:w="900" w:type="dxa"/>
                  <w:tcBorders>
                    <w:tl2br w:val="nil"/>
                    <w:tr2bl w:val="nil"/>
                  </w:tcBorders>
                  <w:noWrap w:val="0"/>
                  <w:vAlign w:val="center"/>
                </w:tcPr>
                <w:p w14:paraId="655D323A">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0.271</w:t>
                  </w:r>
                </w:p>
              </w:tc>
              <w:tc>
                <w:tcPr>
                  <w:tcW w:w="741" w:type="dxa"/>
                  <w:vMerge w:val="continue"/>
                  <w:tcBorders>
                    <w:tl2br w:val="nil"/>
                    <w:tr2bl w:val="nil"/>
                  </w:tcBorders>
                  <w:noWrap w:val="0"/>
                  <w:vAlign w:val="center"/>
                </w:tcPr>
                <w:p w14:paraId="0DA44EA8">
                  <w:pPr>
                    <w:pStyle w:val="46"/>
                    <w:numPr>
                      <w:ilvl w:val="0"/>
                      <w:numId w:val="0"/>
                    </w:numPr>
                    <w:spacing w:line="288" w:lineRule="auto"/>
                    <w:ind w:firstLine="0"/>
                    <w:jc w:val="center"/>
                    <w:rPr>
                      <w:rFonts w:hint="default"/>
                      <w:color w:val="auto"/>
                      <w:sz w:val="21"/>
                      <w:szCs w:val="21"/>
                    </w:rPr>
                  </w:pPr>
                </w:p>
              </w:tc>
            </w:tr>
            <w:tr w14:paraId="2D1AB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670B1372">
                  <w:pPr>
                    <w:pStyle w:val="46"/>
                    <w:numPr>
                      <w:ilvl w:val="0"/>
                      <w:numId w:val="0"/>
                    </w:numPr>
                    <w:spacing w:line="288" w:lineRule="auto"/>
                    <w:ind w:firstLine="0"/>
                    <w:jc w:val="center"/>
                    <w:rPr>
                      <w:rFonts w:hint="default"/>
                      <w:color w:val="auto"/>
                      <w:sz w:val="21"/>
                      <w:szCs w:val="21"/>
                    </w:rPr>
                  </w:pPr>
                </w:p>
              </w:tc>
              <w:tc>
                <w:tcPr>
                  <w:tcW w:w="1425" w:type="dxa"/>
                  <w:vMerge w:val="restart"/>
                  <w:tcBorders>
                    <w:tl2br w:val="nil"/>
                    <w:tr2bl w:val="nil"/>
                  </w:tcBorders>
                  <w:noWrap w:val="0"/>
                  <w:vAlign w:val="center"/>
                </w:tcPr>
                <w:p w14:paraId="4BD67E5E">
                  <w:pPr>
                    <w:pStyle w:val="46"/>
                    <w:numPr>
                      <w:ilvl w:val="0"/>
                      <w:numId w:val="0"/>
                    </w:numPr>
                    <w:spacing w:line="288"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臭气</w:t>
                  </w:r>
                </w:p>
                <w:p w14:paraId="63B95031">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无量纲</w:t>
                  </w:r>
                </w:p>
              </w:tc>
              <w:tc>
                <w:tcPr>
                  <w:tcW w:w="945" w:type="dxa"/>
                  <w:tcBorders>
                    <w:tl2br w:val="nil"/>
                    <w:tr2bl w:val="nil"/>
                  </w:tcBorders>
                  <w:shd w:val="clear" w:color="auto" w:fill="auto"/>
                  <w:noWrap w:val="0"/>
                  <w:vAlign w:val="center"/>
                </w:tcPr>
                <w:p w14:paraId="108D3835">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第一次</w:t>
                  </w:r>
                </w:p>
              </w:tc>
              <w:tc>
                <w:tcPr>
                  <w:tcW w:w="900" w:type="dxa"/>
                  <w:tcBorders>
                    <w:tl2br w:val="nil"/>
                    <w:tr2bl w:val="nil"/>
                  </w:tcBorders>
                  <w:noWrap w:val="0"/>
                  <w:vAlign w:val="center"/>
                </w:tcPr>
                <w:p w14:paraId="7D53BD01">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＜10</w:t>
                  </w:r>
                </w:p>
              </w:tc>
              <w:tc>
                <w:tcPr>
                  <w:tcW w:w="1005" w:type="dxa"/>
                  <w:tcBorders>
                    <w:tl2br w:val="nil"/>
                    <w:tr2bl w:val="nil"/>
                  </w:tcBorders>
                  <w:noWrap w:val="0"/>
                  <w:vAlign w:val="center"/>
                </w:tcPr>
                <w:p w14:paraId="5CB32CD6">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990" w:type="dxa"/>
                  <w:tcBorders>
                    <w:tl2br w:val="nil"/>
                    <w:tr2bl w:val="nil"/>
                  </w:tcBorders>
                  <w:noWrap w:val="0"/>
                  <w:vAlign w:val="center"/>
                </w:tcPr>
                <w:p w14:paraId="5633FBEA">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900" w:type="dxa"/>
                  <w:tcBorders>
                    <w:tl2br w:val="nil"/>
                    <w:tr2bl w:val="nil"/>
                  </w:tcBorders>
                  <w:noWrap w:val="0"/>
                  <w:vAlign w:val="center"/>
                </w:tcPr>
                <w:p w14:paraId="40F091F0">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741" w:type="dxa"/>
                  <w:vMerge w:val="restart"/>
                  <w:tcBorders>
                    <w:tl2br w:val="nil"/>
                    <w:tr2bl w:val="nil"/>
                  </w:tcBorders>
                  <w:noWrap w:val="0"/>
                  <w:vAlign w:val="center"/>
                </w:tcPr>
                <w:p w14:paraId="3F3CE09F">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20</w:t>
                  </w:r>
                </w:p>
              </w:tc>
            </w:tr>
            <w:tr w14:paraId="18E98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0EE5D574">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09981FA2">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2FEC7DC4">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第二次</w:t>
                  </w:r>
                </w:p>
              </w:tc>
              <w:tc>
                <w:tcPr>
                  <w:tcW w:w="900" w:type="dxa"/>
                  <w:tcBorders>
                    <w:tl2br w:val="nil"/>
                    <w:tr2bl w:val="nil"/>
                  </w:tcBorders>
                  <w:noWrap w:val="0"/>
                  <w:vAlign w:val="center"/>
                </w:tcPr>
                <w:p w14:paraId="0D1F72A9">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1005" w:type="dxa"/>
                  <w:tcBorders>
                    <w:tl2br w:val="nil"/>
                    <w:tr2bl w:val="nil"/>
                  </w:tcBorders>
                  <w:noWrap w:val="0"/>
                  <w:vAlign w:val="center"/>
                </w:tcPr>
                <w:p w14:paraId="15912703">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990" w:type="dxa"/>
                  <w:tcBorders>
                    <w:tl2br w:val="nil"/>
                    <w:tr2bl w:val="nil"/>
                  </w:tcBorders>
                  <w:noWrap w:val="0"/>
                  <w:vAlign w:val="center"/>
                </w:tcPr>
                <w:p w14:paraId="62E4B69A">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900" w:type="dxa"/>
                  <w:tcBorders>
                    <w:tl2br w:val="nil"/>
                    <w:tr2bl w:val="nil"/>
                  </w:tcBorders>
                  <w:noWrap w:val="0"/>
                  <w:vAlign w:val="center"/>
                </w:tcPr>
                <w:p w14:paraId="1FC37C29">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741" w:type="dxa"/>
                  <w:vMerge w:val="continue"/>
                  <w:tcBorders>
                    <w:tl2br w:val="nil"/>
                    <w:tr2bl w:val="nil"/>
                  </w:tcBorders>
                  <w:noWrap w:val="0"/>
                  <w:vAlign w:val="center"/>
                </w:tcPr>
                <w:p w14:paraId="5674A27D">
                  <w:pPr>
                    <w:pStyle w:val="46"/>
                    <w:numPr>
                      <w:ilvl w:val="0"/>
                      <w:numId w:val="0"/>
                    </w:numPr>
                    <w:spacing w:line="288" w:lineRule="auto"/>
                    <w:ind w:firstLine="0"/>
                    <w:jc w:val="center"/>
                    <w:rPr>
                      <w:rFonts w:hint="default"/>
                      <w:color w:val="auto"/>
                      <w:sz w:val="21"/>
                      <w:szCs w:val="21"/>
                    </w:rPr>
                  </w:pPr>
                </w:p>
              </w:tc>
            </w:tr>
            <w:tr w14:paraId="5D0FF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30E31E2F">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1D07FA43">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706BA9D1">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第三次</w:t>
                  </w:r>
                </w:p>
              </w:tc>
              <w:tc>
                <w:tcPr>
                  <w:tcW w:w="900" w:type="dxa"/>
                  <w:tcBorders>
                    <w:tl2br w:val="nil"/>
                    <w:tr2bl w:val="nil"/>
                  </w:tcBorders>
                  <w:noWrap w:val="0"/>
                  <w:vAlign w:val="center"/>
                </w:tcPr>
                <w:p w14:paraId="3B01C876">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1005" w:type="dxa"/>
                  <w:tcBorders>
                    <w:tl2br w:val="nil"/>
                    <w:tr2bl w:val="nil"/>
                  </w:tcBorders>
                  <w:noWrap w:val="0"/>
                  <w:vAlign w:val="center"/>
                </w:tcPr>
                <w:p w14:paraId="47B3A426">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990" w:type="dxa"/>
                  <w:tcBorders>
                    <w:tl2br w:val="nil"/>
                    <w:tr2bl w:val="nil"/>
                  </w:tcBorders>
                  <w:noWrap w:val="0"/>
                  <w:vAlign w:val="center"/>
                </w:tcPr>
                <w:p w14:paraId="7ED2B83A">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900" w:type="dxa"/>
                  <w:tcBorders>
                    <w:tl2br w:val="nil"/>
                    <w:tr2bl w:val="nil"/>
                  </w:tcBorders>
                  <w:noWrap w:val="0"/>
                  <w:vAlign w:val="center"/>
                </w:tcPr>
                <w:p w14:paraId="0DA8101C">
                  <w:pPr>
                    <w:pStyle w:val="46"/>
                    <w:numPr>
                      <w:ilvl w:val="0"/>
                      <w:numId w:val="0"/>
                    </w:numPr>
                    <w:spacing w:line="288" w:lineRule="auto"/>
                    <w:ind w:firstLine="0" w:firstLineChars="0"/>
                    <w:jc w:val="center"/>
                    <w:rPr>
                      <w:rFonts w:hint="default"/>
                      <w:color w:val="auto"/>
                      <w:sz w:val="21"/>
                      <w:szCs w:val="21"/>
                    </w:rPr>
                  </w:pPr>
                  <w:r>
                    <w:rPr>
                      <w:rFonts w:hint="eastAsia" w:eastAsia="宋体"/>
                      <w:color w:val="auto"/>
                      <w:sz w:val="21"/>
                      <w:szCs w:val="21"/>
                      <w:lang w:val="en-US" w:eastAsia="zh-CN"/>
                    </w:rPr>
                    <w:t>＜10</w:t>
                  </w:r>
                </w:p>
              </w:tc>
              <w:tc>
                <w:tcPr>
                  <w:tcW w:w="741" w:type="dxa"/>
                  <w:vMerge w:val="continue"/>
                  <w:tcBorders>
                    <w:tl2br w:val="nil"/>
                    <w:tr2bl w:val="nil"/>
                  </w:tcBorders>
                  <w:noWrap w:val="0"/>
                  <w:vAlign w:val="center"/>
                </w:tcPr>
                <w:p w14:paraId="117EAEB2">
                  <w:pPr>
                    <w:pStyle w:val="46"/>
                    <w:numPr>
                      <w:ilvl w:val="0"/>
                      <w:numId w:val="0"/>
                    </w:numPr>
                    <w:spacing w:line="288" w:lineRule="auto"/>
                    <w:ind w:firstLine="0"/>
                    <w:jc w:val="center"/>
                    <w:rPr>
                      <w:rFonts w:hint="default"/>
                      <w:color w:val="auto"/>
                      <w:sz w:val="21"/>
                      <w:szCs w:val="21"/>
                    </w:rPr>
                  </w:pPr>
                </w:p>
              </w:tc>
            </w:tr>
            <w:tr w14:paraId="57970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restart"/>
                  <w:tcBorders>
                    <w:tl2br w:val="nil"/>
                    <w:tr2bl w:val="nil"/>
                  </w:tcBorders>
                  <w:noWrap w:val="0"/>
                  <w:vAlign w:val="center"/>
                </w:tcPr>
                <w:p w14:paraId="0EC26310">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2023.05.26</w:t>
                  </w:r>
                </w:p>
              </w:tc>
              <w:tc>
                <w:tcPr>
                  <w:tcW w:w="1425" w:type="dxa"/>
                  <w:vMerge w:val="restart"/>
                  <w:tcBorders>
                    <w:tl2br w:val="nil"/>
                    <w:tr2bl w:val="nil"/>
                  </w:tcBorders>
                  <w:shd w:val="clear" w:color="auto" w:fill="auto"/>
                  <w:noWrap w:val="0"/>
                  <w:vAlign w:val="center"/>
                </w:tcPr>
                <w:p w14:paraId="13E571DF">
                  <w:pPr>
                    <w:pStyle w:val="46"/>
                    <w:numPr>
                      <w:ilvl w:val="0"/>
                      <w:numId w:val="0"/>
                    </w:numPr>
                    <w:spacing w:line="288" w:lineRule="auto"/>
                    <w:ind w:firstLine="0"/>
                    <w:jc w:val="center"/>
                    <w:rPr>
                      <w:rFonts w:hint="eastAsia" w:eastAsia="宋体"/>
                      <w:color w:val="auto"/>
                      <w:sz w:val="21"/>
                      <w:szCs w:val="21"/>
                      <w:lang w:val="en-US" w:eastAsia="zh-CN"/>
                    </w:rPr>
                  </w:pPr>
                  <w:r>
                    <w:rPr>
                      <w:rFonts w:hint="eastAsia" w:eastAsia="宋体"/>
                      <w:color w:val="auto"/>
                      <w:sz w:val="21"/>
                      <w:szCs w:val="21"/>
                      <w:lang w:val="en-US" w:eastAsia="zh-CN"/>
                    </w:rPr>
                    <w:t>颗粒物</w:t>
                  </w:r>
                </w:p>
                <w:p w14:paraId="33D6DD22">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Mg/m</w:t>
                  </w:r>
                  <w:r>
                    <w:rPr>
                      <w:rFonts w:hint="eastAsia" w:eastAsia="宋体"/>
                      <w:color w:val="auto"/>
                      <w:sz w:val="21"/>
                      <w:szCs w:val="21"/>
                      <w:vertAlign w:val="superscript"/>
                      <w:lang w:val="en-US" w:eastAsia="zh-CN"/>
                    </w:rPr>
                    <w:t>3</w:t>
                  </w:r>
                </w:p>
                <w:p w14:paraId="7B6518CB">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39381975">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第一次</w:t>
                  </w:r>
                </w:p>
              </w:tc>
              <w:tc>
                <w:tcPr>
                  <w:tcW w:w="900" w:type="dxa"/>
                  <w:tcBorders>
                    <w:tl2br w:val="nil"/>
                    <w:tr2bl w:val="nil"/>
                  </w:tcBorders>
                  <w:noWrap w:val="0"/>
                  <w:vAlign w:val="center"/>
                </w:tcPr>
                <w:p w14:paraId="6C16DC42">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0.156</w:t>
                  </w:r>
                </w:p>
              </w:tc>
              <w:tc>
                <w:tcPr>
                  <w:tcW w:w="1005" w:type="dxa"/>
                  <w:tcBorders>
                    <w:tl2br w:val="nil"/>
                    <w:tr2bl w:val="nil"/>
                  </w:tcBorders>
                  <w:noWrap w:val="0"/>
                  <w:vAlign w:val="center"/>
                </w:tcPr>
                <w:p w14:paraId="5450173E">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0.288</w:t>
                  </w:r>
                </w:p>
              </w:tc>
              <w:tc>
                <w:tcPr>
                  <w:tcW w:w="990" w:type="dxa"/>
                  <w:tcBorders>
                    <w:tl2br w:val="nil"/>
                    <w:tr2bl w:val="nil"/>
                  </w:tcBorders>
                  <w:noWrap w:val="0"/>
                  <w:vAlign w:val="center"/>
                </w:tcPr>
                <w:p w14:paraId="7F937AD6">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0.310</w:t>
                  </w:r>
                </w:p>
              </w:tc>
              <w:tc>
                <w:tcPr>
                  <w:tcW w:w="900" w:type="dxa"/>
                  <w:tcBorders>
                    <w:tl2br w:val="nil"/>
                    <w:tr2bl w:val="nil"/>
                  </w:tcBorders>
                  <w:noWrap w:val="0"/>
                  <w:vAlign w:val="center"/>
                </w:tcPr>
                <w:p w14:paraId="2C7A7AAE">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0.272</w:t>
                  </w:r>
                </w:p>
              </w:tc>
              <w:tc>
                <w:tcPr>
                  <w:tcW w:w="741" w:type="dxa"/>
                  <w:vMerge w:val="restart"/>
                  <w:tcBorders>
                    <w:tl2br w:val="nil"/>
                    <w:tr2bl w:val="nil"/>
                  </w:tcBorders>
                  <w:noWrap w:val="0"/>
                  <w:vAlign w:val="center"/>
                </w:tcPr>
                <w:p w14:paraId="595A297E">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0.5</w:t>
                  </w:r>
                </w:p>
              </w:tc>
            </w:tr>
            <w:tr w14:paraId="643C7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7342C579">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4F9A4E40">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5385084C">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第二次</w:t>
                  </w:r>
                </w:p>
              </w:tc>
              <w:tc>
                <w:tcPr>
                  <w:tcW w:w="900" w:type="dxa"/>
                  <w:tcBorders>
                    <w:tl2br w:val="nil"/>
                    <w:tr2bl w:val="nil"/>
                  </w:tcBorders>
                  <w:noWrap w:val="0"/>
                  <w:vAlign w:val="center"/>
                </w:tcPr>
                <w:p w14:paraId="0C8A864B">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0.143</w:t>
                  </w:r>
                </w:p>
              </w:tc>
              <w:tc>
                <w:tcPr>
                  <w:tcW w:w="1005" w:type="dxa"/>
                  <w:tcBorders>
                    <w:tl2br w:val="nil"/>
                    <w:tr2bl w:val="nil"/>
                  </w:tcBorders>
                  <w:noWrap w:val="0"/>
                  <w:vAlign w:val="center"/>
                </w:tcPr>
                <w:p w14:paraId="41F61E43">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0.269</w:t>
                  </w:r>
                </w:p>
              </w:tc>
              <w:tc>
                <w:tcPr>
                  <w:tcW w:w="990" w:type="dxa"/>
                  <w:tcBorders>
                    <w:tl2br w:val="nil"/>
                    <w:tr2bl w:val="nil"/>
                  </w:tcBorders>
                  <w:noWrap w:val="0"/>
                  <w:vAlign w:val="center"/>
                </w:tcPr>
                <w:p w14:paraId="0E2E6C07">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0.283</w:t>
                  </w:r>
                </w:p>
              </w:tc>
              <w:tc>
                <w:tcPr>
                  <w:tcW w:w="900" w:type="dxa"/>
                  <w:tcBorders>
                    <w:tl2br w:val="nil"/>
                    <w:tr2bl w:val="nil"/>
                  </w:tcBorders>
                  <w:noWrap w:val="0"/>
                  <w:vAlign w:val="center"/>
                </w:tcPr>
                <w:p w14:paraId="2227C031">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0.254</w:t>
                  </w:r>
                </w:p>
              </w:tc>
              <w:tc>
                <w:tcPr>
                  <w:tcW w:w="741" w:type="dxa"/>
                  <w:vMerge w:val="continue"/>
                  <w:tcBorders>
                    <w:tl2br w:val="nil"/>
                    <w:tr2bl w:val="nil"/>
                  </w:tcBorders>
                  <w:noWrap w:val="0"/>
                  <w:vAlign w:val="center"/>
                </w:tcPr>
                <w:p w14:paraId="71A618B5">
                  <w:pPr>
                    <w:pStyle w:val="46"/>
                    <w:numPr>
                      <w:ilvl w:val="0"/>
                      <w:numId w:val="0"/>
                    </w:numPr>
                    <w:spacing w:line="288" w:lineRule="auto"/>
                    <w:ind w:firstLine="0"/>
                    <w:jc w:val="center"/>
                    <w:rPr>
                      <w:rFonts w:hint="default"/>
                      <w:color w:val="auto"/>
                      <w:sz w:val="21"/>
                      <w:szCs w:val="21"/>
                    </w:rPr>
                  </w:pPr>
                </w:p>
              </w:tc>
            </w:tr>
            <w:tr w14:paraId="0D3D6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2CF3DB7F">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23ECB620">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02E6B0E1">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第三次</w:t>
                  </w:r>
                </w:p>
              </w:tc>
              <w:tc>
                <w:tcPr>
                  <w:tcW w:w="900" w:type="dxa"/>
                  <w:tcBorders>
                    <w:tl2br w:val="nil"/>
                    <w:tr2bl w:val="nil"/>
                  </w:tcBorders>
                  <w:noWrap w:val="0"/>
                  <w:vAlign w:val="center"/>
                </w:tcPr>
                <w:p w14:paraId="4D9A6026">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0.162</w:t>
                  </w:r>
                </w:p>
              </w:tc>
              <w:tc>
                <w:tcPr>
                  <w:tcW w:w="1005" w:type="dxa"/>
                  <w:tcBorders>
                    <w:tl2br w:val="nil"/>
                    <w:tr2bl w:val="nil"/>
                  </w:tcBorders>
                  <w:noWrap w:val="0"/>
                  <w:vAlign w:val="center"/>
                </w:tcPr>
                <w:p w14:paraId="5E1CD55B">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0.294</w:t>
                  </w:r>
                </w:p>
              </w:tc>
              <w:tc>
                <w:tcPr>
                  <w:tcW w:w="990" w:type="dxa"/>
                  <w:tcBorders>
                    <w:tl2br w:val="nil"/>
                    <w:tr2bl w:val="nil"/>
                  </w:tcBorders>
                  <w:noWrap w:val="0"/>
                  <w:vAlign w:val="center"/>
                </w:tcPr>
                <w:p w14:paraId="2B4F568B">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0.306</w:t>
                  </w:r>
                </w:p>
              </w:tc>
              <w:tc>
                <w:tcPr>
                  <w:tcW w:w="900" w:type="dxa"/>
                  <w:tcBorders>
                    <w:tl2br w:val="nil"/>
                    <w:tr2bl w:val="nil"/>
                  </w:tcBorders>
                  <w:noWrap w:val="0"/>
                  <w:vAlign w:val="center"/>
                </w:tcPr>
                <w:p w14:paraId="3DA83F1E">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0.277</w:t>
                  </w:r>
                </w:p>
              </w:tc>
              <w:tc>
                <w:tcPr>
                  <w:tcW w:w="741" w:type="dxa"/>
                  <w:vMerge w:val="continue"/>
                  <w:tcBorders>
                    <w:tl2br w:val="nil"/>
                    <w:tr2bl w:val="nil"/>
                  </w:tcBorders>
                  <w:noWrap w:val="0"/>
                  <w:vAlign w:val="center"/>
                </w:tcPr>
                <w:p w14:paraId="5DAD812B">
                  <w:pPr>
                    <w:pStyle w:val="46"/>
                    <w:numPr>
                      <w:ilvl w:val="0"/>
                      <w:numId w:val="0"/>
                    </w:numPr>
                    <w:spacing w:line="288" w:lineRule="auto"/>
                    <w:ind w:firstLine="0"/>
                    <w:jc w:val="center"/>
                    <w:rPr>
                      <w:rFonts w:hint="default"/>
                      <w:color w:val="auto"/>
                      <w:sz w:val="21"/>
                      <w:szCs w:val="21"/>
                    </w:rPr>
                  </w:pPr>
                </w:p>
              </w:tc>
            </w:tr>
            <w:tr w14:paraId="1194C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7779B7A9">
                  <w:pPr>
                    <w:pStyle w:val="46"/>
                    <w:numPr>
                      <w:ilvl w:val="0"/>
                      <w:numId w:val="0"/>
                    </w:numPr>
                    <w:spacing w:line="288" w:lineRule="auto"/>
                    <w:ind w:firstLine="0"/>
                    <w:jc w:val="center"/>
                    <w:rPr>
                      <w:rFonts w:hint="default"/>
                      <w:color w:val="auto"/>
                      <w:sz w:val="21"/>
                      <w:szCs w:val="21"/>
                    </w:rPr>
                  </w:pPr>
                </w:p>
              </w:tc>
              <w:tc>
                <w:tcPr>
                  <w:tcW w:w="1425" w:type="dxa"/>
                  <w:vMerge w:val="restart"/>
                  <w:tcBorders>
                    <w:tl2br w:val="nil"/>
                    <w:tr2bl w:val="nil"/>
                  </w:tcBorders>
                  <w:shd w:val="clear" w:color="auto" w:fill="auto"/>
                  <w:noWrap w:val="0"/>
                  <w:vAlign w:val="center"/>
                </w:tcPr>
                <w:p w14:paraId="5F821DFE">
                  <w:pPr>
                    <w:pStyle w:val="46"/>
                    <w:numPr>
                      <w:ilvl w:val="0"/>
                      <w:numId w:val="0"/>
                    </w:numPr>
                    <w:spacing w:line="288"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挥发性有机</w:t>
                  </w:r>
                </w:p>
                <w:p w14:paraId="375BF80F">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Mg/m</w:t>
                  </w:r>
                  <w:r>
                    <w:rPr>
                      <w:rFonts w:hint="eastAsia" w:eastAsia="宋体"/>
                      <w:color w:val="auto"/>
                      <w:sz w:val="21"/>
                      <w:szCs w:val="21"/>
                      <w:vertAlign w:val="superscript"/>
                      <w:lang w:val="en-US" w:eastAsia="zh-CN"/>
                    </w:rPr>
                    <w:t>3</w:t>
                  </w:r>
                </w:p>
                <w:p w14:paraId="393D6ACD">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261E390C">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第一次</w:t>
                  </w:r>
                </w:p>
              </w:tc>
              <w:tc>
                <w:tcPr>
                  <w:tcW w:w="900" w:type="dxa"/>
                  <w:tcBorders>
                    <w:tl2br w:val="nil"/>
                    <w:tr2bl w:val="nil"/>
                  </w:tcBorders>
                  <w:noWrap w:val="0"/>
                  <w:vAlign w:val="center"/>
                </w:tcPr>
                <w:p w14:paraId="0085D35D">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0.124</w:t>
                  </w:r>
                </w:p>
              </w:tc>
              <w:tc>
                <w:tcPr>
                  <w:tcW w:w="1005" w:type="dxa"/>
                  <w:tcBorders>
                    <w:tl2br w:val="nil"/>
                    <w:tr2bl w:val="nil"/>
                  </w:tcBorders>
                  <w:noWrap w:val="0"/>
                  <w:vAlign w:val="center"/>
                </w:tcPr>
                <w:p w14:paraId="6CB2AACF">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0.264</w:t>
                  </w:r>
                </w:p>
              </w:tc>
              <w:tc>
                <w:tcPr>
                  <w:tcW w:w="990" w:type="dxa"/>
                  <w:tcBorders>
                    <w:tl2br w:val="nil"/>
                    <w:tr2bl w:val="nil"/>
                  </w:tcBorders>
                  <w:noWrap w:val="0"/>
                  <w:vAlign w:val="center"/>
                </w:tcPr>
                <w:p w14:paraId="14BE0FE0">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0.309</w:t>
                  </w:r>
                </w:p>
              </w:tc>
              <w:tc>
                <w:tcPr>
                  <w:tcW w:w="900" w:type="dxa"/>
                  <w:tcBorders>
                    <w:tl2br w:val="nil"/>
                    <w:tr2bl w:val="nil"/>
                  </w:tcBorders>
                  <w:noWrap w:val="0"/>
                  <w:vAlign w:val="center"/>
                </w:tcPr>
                <w:p w14:paraId="629A5B4C">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0.308</w:t>
                  </w:r>
                </w:p>
              </w:tc>
              <w:tc>
                <w:tcPr>
                  <w:tcW w:w="741" w:type="dxa"/>
                  <w:vMerge w:val="restart"/>
                  <w:tcBorders>
                    <w:tl2br w:val="nil"/>
                    <w:tr2bl w:val="nil"/>
                  </w:tcBorders>
                  <w:noWrap w:val="0"/>
                  <w:vAlign w:val="center"/>
                </w:tcPr>
                <w:p w14:paraId="2CE7CA0A">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2.0</w:t>
                  </w:r>
                </w:p>
              </w:tc>
            </w:tr>
            <w:tr w14:paraId="411D0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7738B6E1">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4BF449E7">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73FC3490">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第二次</w:t>
                  </w:r>
                </w:p>
              </w:tc>
              <w:tc>
                <w:tcPr>
                  <w:tcW w:w="900" w:type="dxa"/>
                  <w:tcBorders>
                    <w:tl2br w:val="nil"/>
                    <w:tr2bl w:val="nil"/>
                  </w:tcBorders>
                  <w:noWrap w:val="0"/>
                  <w:vAlign w:val="center"/>
                </w:tcPr>
                <w:p w14:paraId="2577EEAB">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0.121</w:t>
                  </w:r>
                </w:p>
              </w:tc>
              <w:tc>
                <w:tcPr>
                  <w:tcW w:w="1005" w:type="dxa"/>
                  <w:tcBorders>
                    <w:tl2br w:val="nil"/>
                    <w:tr2bl w:val="nil"/>
                  </w:tcBorders>
                  <w:noWrap w:val="0"/>
                  <w:vAlign w:val="center"/>
                </w:tcPr>
                <w:p w14:paraId="0B034F53">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0.265</w:t>
                  </w:r>
                </w:p>
              </w:tc>
              <w:tc>
                <w:tcPr>
                  <w:tcW w:w="990" w:type="dxa"/>
                  <w:tcBorders>
                    <w:tl2br w:val="nil"/>
                    <w:tr2bl w:val="nil"/>
                  </w:tcBorders>
                  <w:noWrap w:val="0"/>
                  <w:vAlign w:val="center"/>
                </w:tcPr>
                <w:p w14:paraId="1252233C">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0.379</w:t>
                  </w:r>
                </w:p>
              </w:tc>
              <w:tc>
                <w:tcPr>
                  <w:tcW w:w="900" w:type="dxa"/>
                  <w:tcBorders>
                    <w:tl2br w:val="nil"/>
                    <w:tr2bl w:val="nil"/>
                  </w:tcBorders>
                  <w:noWrap w:val="0"/>
                  <w:vAlign w:val="center"/>
                </w:tcPr>
                <w:p w14:paraId="688B37A5">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0.291</w:t>
                  </w:r>
                </w:p>
              </w:tc>
              <w:tc>
                <w:tcPr>
                  <w:tcW w:w="741" w:type="dxa"/>
                  <w:vMerge w:val="continue"/>
                  <w:tcBorders>
                    <w:tl2br w:val="nil"/>
                    <w:tr2bl w:val="nil"/>
                  </w:tcBorders>
                  <w:noWrap w:val="0"/>
                  <w:vAlign w:val="center"/>
                </w:tcPr>
                <w:p w14:paraId="4A7254A3">
                  <w:pPr>
                    <w:pStyle w:val="46"/>
                    <w:numPr>
                      <w:ilvl w:val="0"/>
                      <w:numId w:val="0"/>
                    </w:numPr>
                    <w:spacing w:line="288" w:lineRule="auto"/>
                    <w:ind w:firstLine="0"/>
                    <w:jc w:val="center"/>
                    <w:rPr>
                      <w:rFonts w:hint="default"/>
                      <w:color w:val="auto"/>
                      <w:sz w:val="21"/>
                      <w:szCs w:val="21"/>
                    </w:rPr>
                  </w:pPr>
                </w:p>
              </w:tc>
            </w:tr>
            <w:tr w14:paraId="578B4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262271FF">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08234A4C">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03C34ED2">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第三次</w:t>
                  </w:r>
                </w:p>
              </w:tc>
              <w:tc>
                <w:tcPr>
                  <w:tcW w:w="900" w:type="dxa"/>
                  <w:tcBorders>
                    <w:tl2br w:val="nil"/>
                    <w:tr2bl w:val="nil"/>
                  </w:tcBorders>
                  <w:noWrap w:val="0"/>
                  <w:vAlign w:val="center"/>
                </w:tcPr>
                <w:p w14:paraId="6AB7142C">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0.148</w:t>
                  </w:r>
                </w:p>
              </w:tc>
              <w:tc>
                <w:tcPr>
                  <w:tcW w:w="1005" w:type="dxa"/>
                  <w:tcBorders>
                    <w:tl2br w:val="nil"/>
                    <w:tr2bl w:val="nil"/>
                  </w:tcBorders>
                  <w:noWrap w:val="0"/>
                  <w:vAlign w:val="center"/>
                </w:tcPr>
                <w:p w14:paraId="491FDAFF">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0.273</w:t>
                  </w:r>
                </w:p>
              </w:tc>
              <w:tc>
                <w:tcPr>
                  <w:tcW w:w="990" w:type="dxa"/>
                  <w:tcBorders>
                    <w:tl2br w:val="nil"/>
                    <w:tr2bl w:val="nil"/>
                  </w:tcBorders>
                  <w:noWrap w:val="0"/>
                  <w:vAlign w:val="center"/>
                </w:tcPr>
                <w:p w14:paraId="5F16F7E0">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0.238</w:t>
                  </w:r>
                </w:p>
              </w:tc>
              <w:tc>
                <w:tcPr>
                  <w:tcW w:w="900" w:type="dxa"/>
                  <w:tcBorders>
                    <w:tl2br w:val="nil"/>
                    <w:tr2bl w:val="nil"/>
                  </w:tcBorders>
                  <w:noWrap w:val="0"/>
                  <w:vAlign w:val="center"/>
                </w:tcPr>
                <w:p w14:paraId="54CB9629">
                  <w:pPr>
                    <w:pStyle w:val="46"/>
                    <w:numPr>
                      <w:ilvl w:val="0"/>
                      <w:numId w:val="0"/>
                    </w:numPr>
                    <w:spacing w:line="288"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0.280</w:t>
                  </w:r>
                </w:p>
              </w:tc>
              <w:tc>
                <w:tcPr>
                  <w:tcW w:w="741" w:type="dxa"/>
                  <w:vMerge w:val="continue"/>
                  <w:tcBorders>
                    <w:tl2br w:val="nil"/>
                    <w:tr2bl w:val="nil"/>
                  </w:tcBorders>
                  <w:noWrap w:val="0"/>
                  <w:vAlign w:val="center"/>
                </w:tcPr>
                <w:p w14:paraId="0F42CEAB">
                  <w:pPr>
                    <w:pStyle w:val="46"/>
                    <w:numPr>
                      <w:ilvl w:val="0"/>
                      <w:numId w:val="0"/>
                    </w:numPr>
                    <w:spacing w:line="288" w:lineRule="auto"/>
                    <w:ind w:firstLine="0"/>
                    <w:jc w:val="center"/>
                    <w:rPr>
                      <w:rFonts w:hint="default"/>
                      <w:color w:val="auto"/>
                      <w:sz w:val="21"/>
                      <w:szCs w:val="21"/>
                    </w:rPr>
                  </w:pPr>
                </w:p>
              </w:tc>
            </w:tr>
            <w:tr w14:paraId="1AFC9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1AC0029C">
                  <w:pPr>
                    <w:pStyle w:val="46"/>
                    <w:numPr>
                      <w:ilvl w:val="0"/>
                      <w:numId w:val="0"/>
                    </w:numPr>
                    <w:spacing w:line="288" w:lineRule="auto"/>
                    <w:ind w:firstLine="0"/>
                    <w:jc w:val="center"/>
                    <w:rPr>
                      <w:rFonts w:hint="default"/>
                      <w:color w:val="auto"/>
                      <w:sz w:val="21"/>
                      <w:szCs w:val="21"/>
                    </w:rPr>
                  </w:pPr>
                </w:p>
              </w:tc>
              <w:tc>
                <w:tcPr>
                  <w:tcW w:w="1425" w:type="dxa"/>
                  <w:vMerge w:val="restart"/>
                  <w:tcBorders>
                    <w:tl2br w:val="nil"/>
                    <w:tr2bl w:val="nil"/>
                  </w:tcBorders>
                  <w:shd w:val="clear" w:color="auto" w:fill="auto"/>
                  <w:noWrap w:val="0"/>
                  <w:vAlign w:val="center"/>
                </w:tcPr>
                <w:p w14:paraId="05E3E4B2">
                  <w:pPr>
                    <w:pStyle w:val="46"/>
                    <w:numPr>
                      <w:ilvl w:val="0"/>
                      <w:numId w:val="0"/>
                    </w:numPr>
                    <w:spacing w:line="288" w:lineRule="auto"/>
                    <w:ind w:firstLine="0" w:firstLineChars="0"/>
                    <w:jc w:val="center"/>
                    <w:rPr>
                      <w:rFonts w:hint="eastAsia" w:eastAsia="宋体"/>
                      <w:color w:val="auto"/>
                      <w:sz w:val="21"/>
                      <w:szCs w:val="21"/>
                      <w:lang w:val="en-US" w:eastAsia="zh-CN"/>
                    </w:rPr>
                  </w:pPr>
                  <w:r>
                    <w:rPr>
                      <w:rFonts w:hint="eastAsia" w:eastAsia="宋体"/>
                      <w:color w:val="auto"/>
                      <w:sz w:val="21"/>
                      <w:szCs w:val="21"/>
                      <w:lang w:val="en-US" w:eastAsia="zh-CN"/>
                    </w:rPr>
                    <w:t>臭气</w:t>
                  </w:r>
                </w:p>
                <w:p w14:paraId="2210FED3">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无量纲</w:t>
                  </w:r>
                </w:p>
              </w:tc>
              <w:tc>
                <w:tcPr>
                  <w:tcW w:w="945" w:type="dxa"/>
                  <w:tcBorders>
                    <w:tl2br w:val="nil"/>
                    <w:tr2bl w:val="nil"/>
                  </w:tcBorders>
                  <w:shd w:val="clear" w:color="auto" w:fill="auto"/>
                  <w:noWrap w:val="0"/>
                  <w:vAlign w:val="center"/>
                </w:tcPr>
                <w:p w14:paraId="2FD3E3D8">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第一次</w:t>
                  </w:r>
                </w:p>
              </w:tc>
              <w:tc>
                <w:tcPr>
                  <w:tcW w:w="900" w:type="dxa"/>
                  <w:tcBorders>
                    <w:tl2br w:val="nil"/>
                    <w:tr2bl w:val="nil"/>
                  </w:tcBorders>
                  <w:shd w:val="clear" w:color="auto" w:fill="auto"/>
                  <w:noWrap w:val="0"/>
                  <w:vAlign w:val="center"/>
                </w:tcPr>
                <w:p w14:paraId="47A5E1DB">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＜10</w:t>
                  </w:r>
                </w:p>
              </w:tc>
              <w:tc>
                <w:tcPr>
                  <w:tcW w:w="1005" w:type="dxa"/>
                  <w:tcBorders>
                    <w:tl2br w:val="nil"/>
                    <w:tr2bl w:val="nil"/>
                  </w:tcBorders>
                  <w:shd w:val="clear" w:color="auto" w:fill="auto"/>
                  <w:noWrap w:val="0"/>
                  <w:vAlign w:val="center"/>
                </w:tcPr>
                <w:p w14:paraId="12D41BD8">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990" w:type="dxa"/>
                  <w:tcBorders>
                    <w:tl2br w:val="nil"/>
                    <w:tr2bl w:val="nil"/>
                  </w:tcBorders>
                  <w:shd w:val="clear" w:color="auto" w:fill="auto"/>
                  <w:noWrap w:val="0"/>
                  <w:vAlign w:val="center"/>
                </w:tcPr>
                <w:p w14:paraId="4CBAF8D6">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900" w:type="dxa"/>
                  <w:tcBorders>
                    <w:tl2br w:val="nil"/>
                    <w:tr2bl w:val="nil"/>
                  </w:tcBorders>
                  <w:shd w:val="clear" w:color="auto" w:fill="auto"/>
                  <w:noWrap w:val="0"/>
                  <w:vAlign w:val="center"/>
                </w:tcPr>
                <w:p w14:paraId="7D1383ED">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741" w:type="dxa"/>
                  <w:vMerge w:val="restart"/>
                  <w:tcBorders>
                    <w:tl2br w:val="nil"/>
                    <w:tr2bl w:val="nil"/>
                  </w:tcBorders>
                  <w:noWrap w:val="0"/>
                  <w:vAlign w:val="center"/>
                </w:tcPr>
                <w:p w14:paraId="6CD6D4C7">
                  <w:pPr>
                    <w:pStyle w:val="46"/>
                    <w:numPr>
                      <w:ilvl w:val="0"/>
                      <w:numId w:val="0"/>
                    </w:numPr>
                    <w:spacing w:line="288" w:lineRule="auto"/>
                    <w:ind w:firstLine="0"/>
                    <w:jc w:val="center"/>
                    <w:rPr>
                      <w:rFonts w:hint="default" w:eastAsia="宋体"/>
                      <w:color w:val="auto"/>
                      <w:sz w:val="21"/>
                      <w:szCs w:val="21"/>
                      <w:lang w:val="en-US" w:eastAsia="zh-CN"/>
                    </w:rPr>
                  </w:pPr>
                  <w:r>
                    <w:rPr>
                      <w:rFonts w:hint="eastAsia" w:eastAsia="宋体"/>
                      <w:color w:val="auto"/>
                      <w:sz w:val="21"/>
                      <w:szCs w:val="21"/>
                      <w:lang w:val="en-US" w:eastAsia="zh-CN"/>
                    </w:rPr>
                    <w:t>20</w:t>
                  </w:r>
                </w:p>
              </w:tc>
            </w:tr>
            <w:tr w14:paraId="5A303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544B31B3">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6EE368B0">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4B3E381F">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第二次</w:t>
                  </w:r>
                </w:p>
              </w:tc>
              <w:tc>
                <w:tcPr>
                  <w:tcW w:w="900" w:type="dxa"/>
                  <w:tcBorders>
                    <w:tl2br w:val="nil"/>
                    <w:tr2bl w:val="nil"/>
                  </w:tcBorders>
                  <w:shd w:val="clear" w:color="auto" w:fill="auto"/>
                  <w:noWrap w:val="0"/>
                  <w:vAlign w:val="center"/>
                </w:tcPr>
                <w:p w14:paraId="24E720F5">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1005" w:type="dxa"/>
                  <w:tcBorders>
                    <w:tl2br w:val="nil"/>
                    <w:tr2bl w:val="nil"/>
                  </w:tcBorders>
                  <w:shd w:val="clear" w:color="auto" w:fill="auto"/>
                  <w:noWrap w:val="0"/>
                  <w:vAlign w:val="center"/>
                </w:tcPr>
                <w:p w14:paraId="0F7DD7F8">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990" w:type="dxa"/>
                  <w:tcBorders>
                    <w:tl2br w:val="nil"/>
                    <w:tr2bl w:val="nil"/>
                  </w:tcBorders>
                  <w:shd w:val="clear" w:color="auto" w:fill="auto"/>
                  <w:noWrap w:val="0"/>
                  <w:vAlign w:val="center"/>
                </w:tcPr>
                <w:p w14:paraId="7318F4A2">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900" w:type="dxa"/>
                  <w:tcBorders>
                    <w:tl2br w:val="nil"/>
                    <w:tr2bl w:val="nil"/>
                  </w:tcBorders>
                  <w:shd w:val="clear" w:color="auto" w:fill="auto"/>
                  <w:noWrap w:val="0"/>
                  <w:vAlign w:val="center"/>
                </w:tcPr>
                <w:p w14:paraId="7E65D5C0">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741" w:type="dxa"/>
                  <w:vMerge w:val="continue"/>
                  <w:tcBorders>
                    <w:tl2br w:val="nil"/>
                    <w:tr2bl w:val="nil"/>
                  </w:tcBorders>
                  <w:noWrap w:val="0"/>
                  <w:vAlign w:val="center"/>
                </w:tcPr>
                <w:p w14:paraId="65077B7D">
                  <w:pPr>
                    <w:pStyle w:val="46"/>
                    <w:numPr>
                      <w:ilvl w:val="0"/>
                      <w:numId w:val="0"/>
                    </w:numPr>
                    <w:spacing w:line="288" w:lineRule="auto"/>
                    <w:ind w:firstLine="0"/>
                    <w:jc w:val="center"/>
                    <w:rPr>
                      <w:rFonts w:hint="default"/>
                      <w:color w:val="auto"/>
                      <w:sz w:val="21"/>
                      <w:szCs w:val="21"/>
                    </w:rPr>
                  </w:pPr>
                </w:p>
              </w:tc>
            </w:tr>
            <w:tr w14:paraId="7E42F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8" w:type="dxa"/>
                  <w:vMerge w:val="continue"/>
                  <w:tcBorders>
                    <w:tl2br w:val="nil"/>
                    <w:tr2bl w:val="nil"/>
                  </w:tcBorders>
                  <w:noWrap w:val="0"/>
                  <w:vAlign w:val="center"/>
                </w:tcPr>
                <w:p w14:paraId="7B3D8AF9">
                  <w:pPr>
                    <w:pStyle w:val="46"/>
                    <w:numPr>
                      <w:ilvl w:val="0"/>
                      <w:numId w:val="0"/>
                    </w:numPr>
                    <w:spacing w:line="288" w:lineRule="auto"/>
                    <w:ind w:firstLine="0"/>
                    <w:jc w:val="center"/>
                    <w:rPr>
                      <w:rFonts w:hint="default"/>
                      <w:color w:val="auto"/>
                      <w:sz w:val="21"/>
                      <w:szCs w:val="21"/>
                    </w:rPr>
                  </w:pPr>
                </w:p>
              </w:tc>
              <w:tc>
                <w:tcPr>
                  <w:tcW w:w="1425" w:type="dxa"/>
                  <w:vMerge w:val="continue"/>
                  <w:tcBorders>
                    <w:tl2br w:val="nil"/>
                    <w:tr2bl w:val="nil"/>
                  </w:tcBorders>
                  <w:noWrap w:val="0"/>
                  <w:vAlign w:val="center"/>
                </w:tcPr>
                <w:p w14:paraId="157FDE85">
                  <w:pPr>
                    <w:pStyle w:val="46"/>
                    <w:numPr>
                      <w:ilvl w:val="0"/>
                      <w:numId w:val="0"/>
                    </w:numPr>
                    <w:spacing w:line="288" w:lineRule="auto"/>
                    <w:ind w:firstLine="0" w:firstLineChars="0"/>
                    <w:jc w:val="center"/>
                    <w:rPr>
                      <w:rFonts w:hint="default"/>
                      <w:color w:val="auto"/>
                      <w:sz w:val="21"/>
                      <w:szCs w:val="21"/>
                    </w:rPr>
                  </w:pPr>
                </w:p>
              </w:tc>
              <w:tc>
                <w:tcPr>
                  <w:tcW w:w="945" w:type="dxa"/>
                  <w:tcBorders>
                    <w:tl2br w:val="nil"/>
                    <w:tr2bl w:val="nil"/>
                  </w:tcBorders>
                  <w:shd w:val="clear" w:color="auto" w:fill="auto"/>
                  <w:noWrap w:val="0"/>
                  <w:vAlign w:val="center"/>
                </w:tcPr>
                <w:p w14:paraId="52A30BC8">
                  <w:pPr>
                    <w:pStyle w:val="46"/>
                    <w:numPr>
                      <w:ilvl w:val="0"/>
                      <w:numId w:val="0"/>
                    </w:numPr>
                    <w:spacing w:line="288" w:lineRule="auto"/>
                    <w:ind w:left="0" w:leftChars="0" w:firstLine="0" w:firstLineChars="0"/>
                    <w:jc w:val="center"/>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第三次</w:t>
                  </w:r>
                </w:p>
              </w:tc>
              <w:tc>
                <w:tcPr>
                  <w:tcW w:w="900" w:type="dxa"/>
                  <w:tcBorders>
                    <w:tl2br w:val="nil"/>
                    <w:tr2bl w:val="nil"/>
                  </w:tcBorders>
                  <w:shd w:val="clear" w:color="auto" w:fill="auto"/>
                  <w:noWrap w:val="0"/>
                  <w:vAlign w:val="center"/>
                </w:tcPr>
                <w:p w14:paraId="0A34B846">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1005" w:type="dxa"/>
                  <w:tcBorders>
                    <w:tl2br w:val="nil"/>
                    <w:tr2bl w:val="nil"/>
                  </w:tcBorders>
                  <w:shd w:val="clear" w:color="auto" w:fill="auto"/>
                  <w:noWrap w:val="0"/>
                  <w:vAlign w:val="center"/>
                </w:tcPr>
                <w:p w14:paraId="70A44924">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990" w:type="dxa"/>
                  <w:tcBorders>
                    <w:tl2br w:val="nil"/>
                    <w:tr2bl w:val="nil"/>
                  </w:tcBorders>
                  <w:shd w:val="clear" w:color="auto" w:fill="auto"/>
                  <w:noWrap w:val="0"/>
                  <w:vAlign w:val="center"/>
                </w:tcPr>
                <w:p w14:paraId="533AB3C2">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900" w:type="dxa"/>
                  <w:tcBorders>
                    <w:tl2br w:val="nil"/>
                    <w:tr2bl w:val="nil"/>
                  </w:tcBorders>
                  <w:shd w:val="clear" w:color="auto" w:fill="auto"/>
                  <w:noWrap w:val="0"/>
                  <w:vAlign w:val="center"/>
                </w:tcPr>
                <w:p w14:paraId="4D8E1ECB">
                  <w:pPr>
                    <w:pStyle w:val="46"/>
                    <w:numPr>
                      <w:ilvl w:val="0"/>
                      <w:numId w:val="0"/>
                    </w:numPr>
                    <w:spacing w:line="288" w:lineRule="auto"/>
                    <w:ind w:left="0" w:leftChars="0" w:firstLine="0" w:firstLineChars="0"/>
                    <w:jc w:val="center"/>
                    <w:rPr>
                      <w:rFonts w:hint="default" w:ascii="宋体" w:hAnsi="宋体" w:eastAsia="Times New Roman" w:cs="Times New Roman"/>
                      <w:color w:val="auto"/>
                      <w:kern w:val="0"/>
                      <w:sz w:val="21"/>
                      <w:szCs w:val="21"/>
                      <w:lang w:val="en-US" w:eastAsia="zh-CN" w:bidi="ar-SA"/>
                    </w:rPr>
                  </w:pPr>
                  <w:r>
                    <w:rPr>
                      <w:rFonts w:hint="eastAsia" w:eastAsia="宋体"/>
                      <w:color w:val="auto"/>
                      <w:sz w:val="21"/>
                      <w:szCs w:val="21"/>
                      <w:lang w:val="en-US" w:eastAsia="zh-CN"/>
                    </w:rPr>
                    <w:t>＜10</w:t>
                  </w:r>
                </w:p>
              </w:tc>
              <w:tc>
                <w:tcPr>
                  <w:tcW w:w="741" w:type="dxa"/>
                  <w:vMerge w:val="continue"/>
                  <w:tcBorders>
                    <w:tl2br w:val="nil"/>
                    <w:tr2bl w:val="nil"/>
                  </w:tcBorders>
                  <w:noWrap w:val="0"/>
                  <w:vAlign w:val="center"/>
                </w:tcPr>
                <w:p w14:paraId="41F58919">
                  <w:pPr>
                    <w:pStyle w:val="46"/>
                    <w:numPr>
                      <w:ilvl w:val="0"/>
                      <w:numId w:val="0"/>
                    </w:numPr>
                    <w:spacing w:line="288" w:lineRule="auto"/>
                    <w:ind w:firstLine="0"/>
                    <w:jc w:val="center"/>
                    <w:rPr>
                      <w:rFonts w:hint="default"/>
                      <w:color w:val="auto"/>
                      <w:sz w:val="21"/>
                      <w:szCs w:val="21"/>
                    </w:rPr>
                  </w:pPr>
                </w:p>
              </w:tc>
            </w:tr>
          </w:tbl>
          <w:p w14:paraId="46A87131">
            <w:pPr>
              <w:pStyle w:val="46"/>
              <w:spacing w:beforeLines="0" w:afterLines="0"/>
              <w:jc w:val="both"/>
              <w:rPr>
                <w:rFonts w:hint="eastAsia"/>
                <w:color w:val="auto"/>
                <w:sz w:val="24"/>
                <w:szCs w:val="20"/>
              </w:rPr>
            </w:pPr>
            <w:r>
              <w:rPr>
                <w:rFonts w:hint="eastAsia"/>
                <w:color w:val="auto"/>
                <w:sz w:val="24"/>
                <w:szCs w:val="20"/>
              </w:rPr>
              <w:t>由上表监测结果可知，项目无有组织VOCs最大排放浓度为 0.379mg/m³，满足《江西省地方标准：挥发性有机物排放标准第 4 部分：塑料制品业》（DB36/1101.4-2019）要求；无组织颗粒物最大排放浓度为0.310mg/m³，满足《大气污染物综合排放标准》（DB31/933-2015）要求。</w:t>
            </w:r>
          </w:p>
          <w:p w14:paraId="6B82BB8C">
            <w:pPr>
              <w:pStyle w:val="46"/>
              <w:numPr>
                <w:ilvl w:val="0"/>
                <w:numId w:val="10"/>
              </w:numPr>
              <w:spacing w:beforeLines="0" w:afterLines="0"/>
              <w:ind w:firstLine="480"/>
              <w:jc w:val="both"/>
              <w:rPr>
                <w:rFonts w:hint="eastAsia"/>
                <w:color w:val="auto"/>
                <w:sz w:val="24"/>
                <w:szCs w:val="20"/>
              </w:rPr>
            </w:pPr>
            <w:r>
              <w:rPr>
                <w:rFonts w:hint="eastAsia"/>
                <w:color w:val="auto"/>
                <w:sz w:val="24"/>
                <w:szCs w:val="20"/>
              </w:rPr>
              <w:t>现有项目</w:t>
            </w:r>
            <w:r>
              <w:rPr>
                <w:rFonts w:hint="eastAsia" w:eastAsia="宋体"/>
                <w:color w:val="auto"/>
                <w:sz w:val="24"/>
                <w:szCs w:val="20"/>
                <w:lang w:val="en-US" w:eastAsia="zh-CN"/>
              </w:rPr>
              <w:t>生活污水</w:t>
            </w:r>
            <w:r>
              <w:rPr>
                <w:rFonts w:hint="eastAsia"/>
                <w:color w:val="auto"/>
                <w:sz w:val="24"/>
                <w:szCs w:val="20"/>
              </w:rPr>
              <w:t>监测点及位监测因子见</w:t>
            </w:r>
            <w:r>
              <w:rPr>
                <w:rFonts w:hint="eastAsia" w:eastAsia="宋体"/>
                <w:color w:val="auto"/>
                <w:sz w:val="24"/>
                <w:szCs w:val="20"/>
                <w:lang w:val="en-US" w:eastAsia="zh-CN"/>
              </w:rPr>
              <w:t>下</w:t>
            </w:r>
            <w:r>
              <w:rPr>
                <w:rFonts w:hint="eastAsia"/>
                <w:color w:val="auto"/>
                <w:sz w:val="24"/>
                <w:szCs w:val="20"/>
              </w:rPr>
              <w:t>表</w:t>
            </w:r>
            <w:r>
              <w:rPr>
                <w:rFonts w:hint="eastAsia" w:eastAsia="宋体"/>
                <w:color w:val="auto"/>
                <w:sz w:val="24"/>
                <w:szCs w:val="20"/>
                <w:lang w:eastAsia="zh-CN"/>
              </w:rPr>
              <w:t>。</w:t>
            </w:r>
          </w:p>
          <w:p w14:paraId="7C45AEC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Chars="0" w:firstLine="0"/>
              <w:jc w:val="center"/>
              <w:textAlignment w:val="auto"/>
              <w:rPr>
                <w:rFonts w:hint="default" w:eastAsia="宋体"/>
                <w:color w:val="auto"/>
                <w:sz w:val="21"/>
                <w:szCs w:val="21"/>
                <w:lang w:val="en-US" w:eastAsia="zh-CN"/>
              </w:rPr>
            </w:pPr>
            <w:r>
              <w:rPr>
                <w:rFonts w:hint="eastAsia" w:ascii="宋体" w:eastAsia="宋体"/>
                <w:b/>
                <w:color w:val="auto"/>
                <w:sz w:val="21"/>
                <w:szCs w:val="21"/>
              </w:rPr>
              <w:t>表2-1</w:t>
            </w:r>
            <w:r>
              <w:rPr>
                <w:rFonts w:hint="eastAsia" w:eastAsia="宋体"/>
                <w:b/>
                <w:color w:val="auto"/>
                <w:sz w:val="21"/>
                <w:szCs w:val="21"/>
                <w:lang w:val="en-US" w:eastAsia="zh-CN"/>
              </w:rPr>
              <w:t>6</w:t>
            </w:r>
            <w:r>
              <w:rPr>
                <w:rFonts w:hint="default"/>
                <w:b/>
                <w:color w:val="auto"/>
                <w:sz w:val="21"/>
                <w:szCs w:val="21"/>
              </w:rPr>
              <w:t xml:space="preserve">    </w:t>
            </w:r>
            <w:r>
              <w:rPr>
                <w:rFonts w:hint="eastAsia" w:ascii="宋体" w:eastAsia="宋体"/>
                <w:b/>
                <w:color w:val="auto"/>
                <w:sz w:val="21"/>
                <w:szCs w:val="21"/>
              </w:rPr>
              <w:t>现有项目</w:t>
            </w:r>
            <w:r>
              <w:rPr>
                <w:rFonts w:hint="eastAsia" w:ascii="宋体" w:eastAsia="宋体"/>
                <w:b/>
                <w:color w:val="auto"/>
                <w:sz w:val="21"/>
                <w:szCs w:val="21"/>
                <w:lang w:val="en-US" w:eastAsia="zh-CN"/>
              </w:rPr>
              <w:t>生活污水</w:t>
            </w:r>
            <w:r>
              <w:rPr>
                <w:rFonts w:hint="eastAsia" w:ascii="宋体" w:eastAsia="宋体"/>
                <w:b/>
                <w:color w:val="auto"/>
                <w:sz w:val="21"/>
                <w:szCs w:val="21"/>
                <w:lang w:eastAsia="zh-CN"/>
              </w:rPr>
              <w:t>监测点</w:t>
            </w:r>
            <w:r>
              <w:rPr>
                <w:rFonts w:hint="eastAsia" w:ascii="宋体" w:eastAsia="宋体"/>
                <w:b/>
                <w:color w:val="auto"/>
                <w:sz w:val="21"/>
                <w:szCs w:val="21"/>
                <w:lang w:val="en-US" w:eastAsia="zh-CN"/>
              </w:rPr>
              <w:t>位</w:t>
            </w:r>
            <w:r>
              <w:rPr>
                <w:rFonts w:hint="eastAsia" w:ascii="宋体" w:eastAsia="宋体"/>
                <w:b/>
                <w:color w:val="auto"/>
                <w:sz w:val="21"/>
                <w:szCs w:val="21"/>
                <w:lang w:eastAsia="zh-CN"/>
              </w:rPr>
              <w:t>及</w:t>
            </w:r>
            <w:r>
              <w:rPr>
                <w:rFonts w:hint="eastAsia" w:ascii="宋体" w:eastAsia="宋体"/>
                <w:b/>
                <w:color w:val="auto"/>
                <w:sz w:val="21"/>
                <w:szCs w:val="21"/>
                <w:lang w:val="en-US" w:eastAsia="zh-CN"/>
              </w:rPr>
              <w:t>监测因子情况表</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13"/>
              <w:gridCol w:w="2325"/>
              <w:gridCol w:w="2486"/>
            </w:tblGrid>
            <w:tr w14:paraId="221C5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3" w:type="dxa"/>
                  <w:tcBorders>
                    <w:tl2br w:val="nil"/>
                    <w:tr2bl w:val="nil"/>
                  </w:tcBorders>
                  <w:noWrap w:val="0"/>
                  <w:vAlign w:val="center"/>
                </w:tcPr>
                <w:p w14:paraId="657F9A01">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color w:val="auto"/>
                      <w:sz w:val="21"/>
                      <w:szCs w:val="21"/>
                    </w:rPr>
                    <w:t>监测点</w:t>
                  </w:r>
                  <w:r>
                    <w:rPr>
                      <w:rFonts w:hint="eastAsia" w:eastAsia="宋体"/>
                      <w:color w:val="auto"/>
                      <w:sz w:val="21"/>
                      <w:szCs w:val="21"/>
                      <w:lang w:val="en-US" w:eastAsia="zh-CN"/>
                    </w:rPr>
                    <w:t>位</w:t>
                  </w:r>
                </w:p>
              </w:tc>
              <w:tc>
                <w:tcPr>
                  <w:tcW w:w="2325" w:type="dxa"/>
                  <w:tcBorders>
                    <w:tl2br w:val="nil"/>
                    <w:tr2bl w:val="nil"/>
                  </w:tcBorders>
                  <w:noWrap w:val="0"/>
                  <w:vAlign w:val="center"/>
                </w:tcPr>
                <w:p w14:paraId="50A9003C">
                  <w:pPr>
                    <w:pStyle w:val="46"/>
                    <w:numPr>
                      <w:ilvl w:val="0"/>
                      <w:numId w:val="0"/>
                    </w:numPr>
                    <w:spacing w:beforeLines="0" w:afterLines="0"/>
                    <w:ind w:firstLine="0"/>
                    <w:jc w:val="center"/>
                    <w:rPr>
                      <w:rFonts w:hint="eastAsia"/>
                      <w:color w:val="auto"/>
                      <w:sz w:val="21"/>
                      <w:szCs w:val="21"/>
                    </w:rPr>
                  </w:pPr>
                  <w:r>
                    <w:rPr>
                      <w:rFonts w:hint="eastAsia"/>
                      <w:color w:val="auto"/>
                      <w:sz w:val="21"/>
                      <w:szCs w:val="21"/>
                    </w:rPr>
                    <w:t>监测项目</w:t>
                  </w:r>
                </w:p>
              </w:tc>
              <w:tc>
                <w:tcPr>
                  <w:tcW w:w="2486" w:type="dxa"/>
                  <w:tcBorders>
                    <w:tl2br w:val="nil"/>
                    <w:tr2bl w:val="nil"/>
                  </w:tcBorders>
                  <w:noWrap w:val="0"/>
                  <w:vAlign w:val="center"/>
                </w:tcPr>
                <w:p w14:paraId="0B110A50">
                  <w:pPr>
                    <w:pStyle w:val="46"/>
                    <w:numPr>
                      <w:ilvl w:val="0"/>
                      <w:numId w:val="0"/>
                    </w:numPr>
                    <w:spacing w:beforeLines="0" w:afterLines="0"/>
                    <w:ind w:firstLine="0"/>
                    <w:jc w:val="center"/>
                    <w:rPr>
                      <w:rFonts w:hint="eastAsia"/>
                      <w:color w:val="auto"/>
                      <w:sz w:val="21"/>
                      <w:szCs w:val="21"/>
                    </w:rPr>
                  </w:pPr>
                  <w:r>
                    <w:rPr>
                      <w:rFonts w:hint="eastAsia" w:eastAsia="宋体"/>
                      <w:color w:val="auto"/>
                      <w:sz w:val="21"/>
                      <w:szCs w:val="21"/>
                      <w:lang w:val="en-US" w:eastAsia="zh-CN"/>
                    </w:rPr>
                    <w:t>采样</w:t>
                  </w:r>
                  <w:r>
                    <w:rPr>
                      <w:rFonts w:hint="eastAsia"/>
                      <w:color w:val="auto"/>
                      <w:sz w:val="21"/>
                      <w:szCs w:val="21"/>
                    </w:rPr>
                    <w:t>频次</w:t>
                  </w:r>
                </w:p>
              </w:tc>
            </w:tr>
            <w:tr w14:paraId="2BBA4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13" w:type="dxa"/>
                  <w:tcBorders>
                    <w:tl2br w:val="nil"/>
                    <w:tr2bl w:val="nil"/>
                  </w:tcBorders>
                  <w:noWrap w:val="0"/>
                  <w:vAlign w:val="center"/>
                </w:tcPr>
                <w:p w14:paraId="7C341E2C">
                  <w:pPr>
                    <w:pStyle w:val="46"/>
                    <w:numPr>
                      <w:ilvl w:val="0"/>
                      <w:numId w:val="0"/>
                    </w:numPr>
                    <w:spacing w:beforeLines="0" w:afterLines="0"/>
                    <w:ind w:firstLine="0"/>
                    <w:jc w:val="center"/>
                    <w:rPr>
                      <w:rFonts w:hint="eastAsia"/>
                      <w:color w:val="auto"/>
                      <w:sz w:val="21"/>
                      <w:szCs w:val="21"/>
                    </w:rPr>
                  </w:pPr>
                  <w:r>
                    <w:rPr>
                      <w:rFonts w:hint="eastAsia" w:eastAsia="宋体"/>
                      <w:color w:val="auto"/>
                      <w:sz w:val="21"/>
                      <w:szCs w:val="21"/>
                      <w:lang w:val="en-US" w:eastAsia="zh-CN"/>
                    </w:rPr>
                    <w:t>生活污水</w:t>
                  </w:r>
                </w:p>
              </w:tc>
              <w:tc>
                <w:tcPr>
                  <w:tcW w:w="2325" w:type="dxa"/>
                  <w:tcBorders>
                    <w:tl2br w:val="nil"/>
                    <w:tr2bl w:val="nil"/>
                  </w:tcBorders>
                  <w:noWrap w:val="0"/>
                  <w:vAlign w:val="center"/>
                </w:tcPr>
                <w:p w14:paraId="0A074DCD">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pH、COD、BOD</w:t>
                  </w:r>
                  <w:r>
                    <w:rPr>
                      <w:rFonts w:hint="eastAsia" w:eastAsia="宋体"/>
                      <w:color w:val="auto"/>
                      <w:sz w:val="21"/>
                      <w:szCs w:val="21"/>
                      <w:vertAlign w:val="subscript"/>
                      <w:lang w:val="en-US" w:eastAsia="zh-CN"/>
                    </w:rPr>
                    <w:t>5</w:t>
                  </w:r>
                  <w:r>
                    <w:rPr>
                      <w:rFonts w:hint="eastAsia" w:eastAsia="宋体"/>
                      <w:color w:val="auto"/>
                      <w:sz w:val="21"/>
                      <w:szCs w:val="21"/>
                      <w:lang w:val="en-US" w:eastAsia="zh-CN"/>
                    </w:rPr>
                    <w:t>、SS、NH</w:t>
                  </w:r>
                  <w:r>
                    <w:rPr>
                      <w:rFonts w:hint="eastAsia" w:eastAsia="宋体"/>
                      <w:color w:val="auto"/>
                      <w:sz w:val="21"/>
                      <w:szCs w:val="21"/>
                      <w:vertAlign w:val="subscript"/>
                      <w:lang w:val="en-US" w:eastAsia="zh-CN"/>
                    </w:rPr>
                    <w:t>3</w:t>
                  </w:r>
                  <w:r>
                    <w:rPr>
                      <w:rFonts w:hint="eastAsia" w:eastAsia="宋体"/>
                      <w:color w:val="auto"/>
                      <w:sz w:val="21"/>
                      <w:szCs w:val="21"/>
                      <w:lang w:val="en-US" w:eastAsia="zh-CN"/>
                    </w:rPr>
                    <w:t>-N</w:t>
                  </w:r>
                </w:p>
              </w:tc>
              <w:tc>
                <w:tcPr>
                  <w:tcW w:w="2486" w:type="dxa"/>
                  <w:tcBorders>
                    <w:tl2br w:val="nil"/>
                    <w:tr2bl w:val="nil"/>
                  </w:tcBorders>
                  <w:noWrap w:val="0"/>
                  <w:vAlign w:val="center"/>
                </w:tcPr>
                <w:p w14:paraId="6E692DCC">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2天，4次/天</w:t>
                  </w:r>
                </w:p>
              </w:tc>
            </w:tr>
          </w:tbl>
          <w:p w14:paraId="61750B3E">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color w:val="auto"/>
                <w:sz w:val="21"/>
                <w:szCs w:val="21"/>
                <w:lang w:val="en-US" w:eastAsia="zh-CN"/>
              </w:rPr>
            </w:pPr>
            <w:r>
              <w:rPr>
                <w:rFonts w:hint="eastAsia" w:ascii="宋体" w:eastAsia="宋体"/>
                <w:b/>
                <w:color w:val="auto"/>
                <w:sz w:val="21"/>
                <w:szCs w:val="21"/>
              </w:rPr>
              <w:t>表2-1</w:t>
            </w:r>
            <w:r>
              <w:rPr>
                <w:rFonts w:hint="eastAsia" w:eastAsia="宋体"/>
                <w:b/>
                <w:color w:val="auto"/>
                <w:sz w:val="21"/>
                <w:szCs w:val="21"/>
                <w:lang w:val="en-US" w:eastAsia="zh-CN"/>
              </w:rPr>
              <w:t>7</w:t>
            </w:r>
            <w:r>
              <w:rPr>
                <w:rFonts w:hint="default"/>
                <w:b/>
                <w:color w:val="auto"/>
                <w:sz w:val="21"/>
                <w:szCs w:val="21"/>
              </w:rPr>
              <w:t xml:space="preserve">    </w:t>
            </w:r>
            <w:r>
              <w:rPr>
                <w:rFonts w:hint="eastAsia" w:ascii="宋体" w:eastAsia="宋体"/>
                <w:b/>
                <w:color w:val="auto"/>
                <w:sz w:val="21"/>
                <w:szCs w:val="21"/>
              </w:rPr>
              <w:t>现有项目</w:t>
            </w:r>
            <w:r>
              <w:rPr>
                <w:rFonts w:hint="eastAsia" w:ascii="宋体" w:eastAsia="宋体"/>
                <w:b/>
                <w:color w:val="auto"/>
                <w:sz w:val="21"/>
                <w:szCs w:val="21"/>
                <w:lang w:val="en-US" w:eastAsia="zh-CN"/>
              </w:rPr>
              <w:t>生活污水监测结果</w:t>
            </w:r>
          </w:p>
          <w:tbl>
            <w:tblPr>
              <w:tblStyle w:val="22"/>
              <w:tblW w:w="752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461"/>
              <w:gridCol w:w="1075"/>
              <w:gridCol w:w="1075"/>
              <w:gridCol w:w="1075"/>
              <w:gridCol w:w="1075"/>
              <w:gridCol w:w="1075"/>
            </w:tblGrid>
            <w:tr w14:paraId="51FE4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9" w:type="dxa"/>
                  <w:gridSpan w:val="2"/>
                  <w:tcBorders>
                    <w:tl2br w:val="nil"/>
                    <w:tr2bl w:val="nil"/>
                  </w:tcBorders>
                  <w:vAlign w:val="center"/>
                </w:tcPr>
                <w:p w14:paraId="4573BF6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采样频次</w:t>
                  </w:r>
                </w:p>
              </w:tc>
              <w:tc>
                <w:tcPr>
                  <w:tcW w:w="1075" w:type="dxa"/>
                  <w:tcBorders>
                    <w:tl2br w:val="nil"/>
                    <w:tr2bl w:val="nil"/>
                  </w:tcBorders>
                  <w:vAlign w:val="center"/>
                </w:tcPr>
                <w:p w14:paraId="2AE4FD5E">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第一次</w:t>
                  </w:r>
                </w:p>
              </w:tc>
              <w:tc>
                <w:tcPr>
                  <w:tcW w:w="1075" w:type="dxa"/>
                  <w:tcBorders>
                    <w:tl2br w:val="nil"/>
                    <w:tr2bl w:val="nil"/>
                  </w:tcBorders>
                  <w:vAlign w:val="center"/>
                </w:tcPr>
                <w:p w14:paraId="6FA0B211">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第二次</w:t>
                  </w:r>
                </w:p>
              </w:tc>
              <w:tc>
                <w:tcPr>
                  <w:tcW w:w="1075" w:type="dxa"/>
                  <w:tcBorders>
                    <w:tl2br w:val="nil"/>
                    <w:tr2bl w:val="nil"/>
                  </w:tcBorders>
                  <w:vAlign w:val="center"/>
                </w:tcPr>
                <w:p w14:paraId="29311E4B">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第三次</w:t>
                  </w:r>
                </w:p>
              </w:tc>
              <w:tc>
                <w:tcPr>
                  <w:tcW w:w="1075" w:type="dxa"/>
                  <w:tcBorders>
                    <w:tl2br w:val="nil"/>
                    <w:tr2bl w:val="nil"/>
                  </w:tcBorders>
                  <w:vAlign w:val="center"/>
                </w:tcPr>
                <w:p w14:paraId="668C61B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第四次</w:t>
                  </w:r>
                </w:p>
              </w:tc>
              <w:tc>
                <w:tcPr>
                  <w:tcW w:w="1075" w:type="dxa"/>
                  <w:vMerge w:val="restart"/>
                  <w:tcBorders>
                    <w:tl2br w:val="nil"/>
                    <w:tr2bl w:val="nil"/>
                  </w:tcBorders>
                  <w:vAlign w:val="center"/>
                </w:tcPr>
                <w:p w14:paraId="7E546B8C">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星火工业园区污水处理厂接管标准</w:t>
                  </w:r>
                </w:p>
              </w:tc>
            </w:tr>
            <w:tr w14:paraId="4BFB7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9" w:type="dxa"/>
                  <w:gridSpan w:val="2"/>
                  <w:tcBorders>
                    <w:tl2br w:val="nil"/>
                    <w:tr2bl w:val="nil"/>
                  </w:tcBorders>
                  <w:vAlign w:val="center"/>
                </w:tcPr>
                <w:p w14:paraId="47ED147B">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样品编号</w:t>
                  </w:r>
                </w:p>
              </w:tc>
              <w:tc>
                <w:tcPr>
                  <w:tcW w:w="1075" w:type="dxa"/>
                  <w:tcBorders>
                    <w:tl2br w:val="nil"/>
                    <w:tr2bl w:val="nil"/>
                  </w:tcBorders>
                  <w:vAlign w:val="center"/>
                </w:tcPr>
                <w:p w14:paraId="62A015A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E23050072W01</w:t>
                  </w:r>
                </w:p>
              </w:tc>
              <w:tc>
                <w:tcPr>
                  <w:tcW w:w="1075" w:type="dxa"/>
                  <w:tcBorders>
                    <w:tl2br w:val="nil"/>
                    <w:tr2bl w:val="nil"/>
                  </w:tcBorders>
                  <w:shd w:val="clear" w:color="auto" w:fill="auto"/>
                  <w:vAlign w:val="center"/>
                </w:tcPr>
                <w:p w14:paraId="7636CE2E">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E23050072W02</w:t>
                  </w:r>
                </w:p>
              </w:tc>
              <w:tc>
                <w:tcPr>
                  <w:tcW w:w="1075" w:type="dxa"/>
                  <w:tcBorders>
                    <w:tl2br w:val="nil"/>
                    <w:tr2bl w:val="nil"/>
                  </w:tcBorders>
                  <w:shd w:val="clear" w:color="auto" w:fill="auto"/>
                  <w:vAlign w:val="center"/>
                </w:tcPr>
                <w:p w14:paraId="0306A719">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E23050072W03</w:t>
                  </w:r>
                </w:p>
              </w:tc>
              <w:tc>
                <w:tcPr>
                  <w:tcW w:w="1075" w:type="dxa"/>
                  <w:tcBorders>
                    <w:tl2br w:val="nil"/>
                    <w:tr2bl w:val="nil"/>
                  </w:tcBorders>
                  <w:shd w:val="clear" w:color="auto" w:fill="auto"/>
                  <w:vAlign w:val="center"/>
                </w:tcPr>
                <w:p w14:paraId="60013C03">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E23050072W04</w:t>
                  </w:r>
                </w:p>
              </w:tc>
              <w:tc>
                <w:tcPr>
                  <w:tcW w:w="1075" w:type="dxa"/>
                  <w:vMerge w:val="continue"/>
                  <w:tcBorders>
                    <w:tl2br w:val="nil"/>
                    <w:tr2bl w:val="nil"/>
                  </w:tcBorders>
                  <w:vAlign w:val="center"/>
                </w:tcPr>
                <w:p w14:paraId="6CC2C913">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r>
            <w:tr w14:paraId="43EBB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49" w:type="dxa"/>
                  <w:gridSpan w:val="2"/>
                  <w:tcBorders>
                    <w:tl2br w:val="nil"/>
                    <w:tr2bl w:val="nil"/>
                  </w:tcBorders>
                  <w:vAlign w:val="center"/>
                </w:tcPr>
                <w:p w14:paraId="2CA99543">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样品性状</w:t>
                  </w:r>
                </w:p>
              </w:tc>
              <w:tc>
                <w:tcPr>
                  <w:tcW w:w="1075" w:type="dxa"/>
                  <w:tcBorders>
                    <w:tl2br w:val="nil"/>
                    <w:tr2bl w:val="nil"/>
                  </w:tcBorders>
                  <w:vAlign w:val="center"/>
                </w:tcPr>
                <w:p w14:paraId="127CFF77">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无色、微臭、微浊</w:t>
                  </w:r>
                </w:p>
              </w:tc>
              <w:tc>
                <w:tcPr>
                  <w:tcW w:w="1075" w:type="dxa"/>
                  <w:tcBorders>
                    <w:tl2br w:val="nil"/>
                    <w:tr2bl w:val="nil"/>
                  </w:tcBorders>
                  <w:shd w:val="clear" w:color="auto" w:fill="auto"/>
                  <w:vAlign w:val="center"/>
                </w:tcPr>
                <w:p w14:paraId="4D860D03">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无色、微臭、微浊</w:t>
                  </w:r>
                </w:p>
              </w:tc>
              <w:tc>
                <w:tcPr>
                  <w:tcW w:w="1075" w:type="dxa"/>
                  <w:tcBorders>
                    <w:tl2br w:val="nil"/>
                    <w:tr2bl w:val="nil"/>
                  </w:tcBorders>
                  <w:shd w:val="clear" w:color="auto" w:fill="auto"/>
                  <w:vAlign w:val="center"/>
                </w:tcPr>
                <w:p w14:paraId="3993447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无色、微臭、微浊</w:t>
                  </w:r>
                </w:p>
              </w:tc>
              <w:tc>
                <w:tcPr>
                  <w:tcW w:w="1075" w:type="dxa"/>
                  <w:tcBorders>
                    <w:tl2br w:val="nil"/>
                    <w:tr2bl w:val="nil"/>
                  </w:tcBorders>
                  <w:shd w:val="clear" w:color="auto" w:fill="auto"/>
                  <w:vAlign w:val="center"/>
                </w:tcPr>
                <w:p w14:paraId="77914FB1">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无色、微臭、微浊</w:t>
                  </w:r>
                </w:p>
              </w:tc>
              <w:tc>
                <w:tcPr>
                  <w:tcW w:w="1075" w:type="dxa"/>
                  <w:vMerge w:val="continue"/>
                  <w:tcBorders>
                    <w:tl2br w:val="nil"/>
                    <w:tr2bl w:val="nil"/>
                  </w:tcBorders>
                  <w:vAlign w:val="center"/>
                </w:tcPr>
                <w:p w14:paraId="4E488202">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r>
            <w:tr w14:paraId="33488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restart"/>
                  <w:tcBorders>
                    <w:tl2br w:val="nil"/>
                    <w:tr2bl w:val="nil"/>
                  </w:tcBorders>
                  <w:vAlign w:val="center"/>
                </w:tcPr>
                <w:p w14:paraId="6A464417">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2023.05.25</w:t>
                  </w:r>
                </w:p>
              </w:tc>
              <w:tc>
                <w:tcPr>
                  <w:tcW w:w="1461" w:type="dxa"/>
                  <w:tcBorders>
                    <w:tl2br w:val="nil"/>
                    <w:tr2bl w:val="nil"/>
                  </w:tcBorders>
                  <w:vAlign w:val="center"/>
                </w:tcPr>
                <w:p w14:paraId="577F75D9">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PH（无量纲）</w:t>
                  </w:r>
                </w:p>
              </w:tc>
              <w:tc>
                <w:tcPr>
                  <w:tcW w:w="1075" w:type="dxa"/>
                  <w:tcBorders>
                    <w:tl2br w:val="nil"/>
                    <w:tr2bl w:val="nil"/>
                  </w:tcBorders>
                  <w:vAlign w:val="center"/>
                </w:tcPr>
                <w:p w14:paraId="267D0A67">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6.7</w:t>
                  </w:r>
                </w:p>
              </w:tc>
              <w:tc>
                <w:tcPr>
                  <w:tcW w:w="1075" w:type="dxa"/>
                  <w:tcBorders>
                    <w:tl2br w:val="nil"/>
                    <w:tr2bl w:val="nil"/>
                  </w:tcBorders>
                  <w:vAlign w:val="center"/>
                </w:tcPr>
                <w:p w14:paraId="1381C593">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6.6</w:t>
                  </w:r>
                </w:p>
              </w:tc>
              <w:tc>
                <w:tcPr>
                  <w:tcW w:w="1075" w:type="dxa"/>
                  <w:tcBorders>
                    <w:tl2br w:val="nil"/>
                    <w:tr2bl w:val="nil"/>
                  </w:tcBorders>
                  <w:vAlign w:val="center"/>
                </w:tcPr>
                <w:p w14:paraId="691B4329">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6.6</w:t>
                  </w:r>
                </w:p>
              </w:tc>
              <w:tc>
                <w:tcPr>
                  <w:tcW w:w="1075" w:type="dxa"/>
                  <w:tcBorders>
                    <w:tl2br w:val="nil"/>
                    <w:tr2bl w:val="nil"/>
                  </w:tcBorders>
                  <w:vAlign w:val="center"/>
                </w:tcPr>
                <w:p w14:paraId="020B8C2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6.8</w:t>
                  </w:r>
                </w:p>
              </w:tc>
              <w:tc>
                <w:tcPr>
                  <w:tcW w:w="1075" w:type="dxa"/>
                  <w:tcBorders>
                    <w:tl2br w:val="nil"/>
                    <w:tr2bl w:val="nil"/>
                  </w:tcBorders>
                  <w:vAlign w:val="center"/>
                </w:tcPr>
                <w:p w14:paraId="730BC93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6-9</w:t>
                  </w:r>
                </w:p>
              </w:tc>
            </w:tr>
            <w:tr w14:paraId="78F61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5AC88C8E">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vAlign w:val="center"/>
                </w:tcPr>
                <w:p w14:paraId="6DF7AA1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悬浮物mg/L</w:t>
                  </w:r>
                </w:p>
              </w:tc>
              <w:tc>
                <w:tcPr>
                  <w:tcW w:w="1075" w:type="dxa"/>
                  <w:tcBorders>
                    <w:tl2br w:val="nil"/>
                    <w:tr2bl w:val="nil"/>
                  </w:tcBorders>
                  <w:vAlign w:val="center"/>
                </w:tcPr>
                <w:p w14:paraId="581A344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18</w:t>
                  </w:r>
                </w:p>
              </w:tc>
              <w:tc>
                <w:tcPr>
                  <w:tcW w:w="1075" w:type="dxa"/>
                  <w:tcBorders>
                    <w:tl2br w:val="nil"/>
                    <w:tr2bl w:val="nil"/>
                  </w:tcBorders>
                  <w:vAlign w:val="center"/>
                </w:tcPr>
                <w:p w14:paraId="217F134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w:t>
                  </w:r>
                </w:p>
              </w:tc>
              <w:tc>
                <w:tcPr>
                  <w:tcW w:w="1075" w:type="dxa"/>
                  <w:tcBorders>
                    <w:tl2br w:val="nil"/>
                    <w:tr2bl w:val="nil"/>
                  </w:tcBorders>
                  <w:vAlign w:val="center"/>
                </w:tcPr>
                <w:p w14:paraId="20872FB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15</w:t>
                  </w:r>
                </w:p>
              </w:tc>
              <w:tc>
                <w:tcPr>
                  <w:tcW w:w="1075" w:type="dxa"/>
                  <w:tcBorders>
                    <w:tl2br w:val="nil"/>
                    <w:tr2bl w:val="nil"/>
                  </w:tcBorders>
                  <w:vAlign w:val="center"/>
                </w:tcPr>
                <w:p w14:paraId="452308F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w:t>
                  </w:r>
                </w:p>
              </w:tc>
              <w:tc>
                <w:tcPr>
                  <w:tcW w:w="1075" w:type="dxa"/>
                  <w:tcBorders>
                    <w:tl2br w:val="nil"/>
                    <w:tr2bl w:val="nil"/>
                  </w:tcBorders>
                  <w:vAlign w:val="center"/>
                </w:tcPr>
                <w:p w14:paraId="1E66D641">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400</w:t>
                  </w:r>
                </w:p>
              </w:tc>
            </w:tr>
            <w:tr w14:paraId="3FBAC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1F35BEF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vAlign w:val="center"/>
                </w:tcPr>
                <w:p w14:paraId="310193CA">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CODCrmg/L</w:t>
                  </w:r>
                </w:p>
              </w:tc>
              <w:tc>
                <w:tcPr>
                  <w:tcW w:w="1075" w:type="dxa"/>
                  <w:tcBorders>
                    <w:tl2br w:val="nil"/>
                    <w:tr2bl w:val="nil"/>
                  </w:tcBorders>
                  <w:vAlign w:val="center"/>
                </w:tcPr>
                <w:p w14:paraId="0DA065C9">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119</w:t>
                  </w:r>
                </w:p>
              </w:tc>
              <w:tc>
                <w:tcPr>
                  <w:tcW w:w="1075" w:type="dxa"/>
                  <w:tcBorders>
                    <w:tl2br w:val="nil"/>
                    <w:tr2bl w:val="nil"/>
                  </w:tcBorders>
                  <w:vAlign w:val="center"/>
                </w:tcPr>
                <w:p w14:paraId="7187F508">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94</w:t>
                  </w:r>
                </w:p>
              </w:tc>
              <w:tc>
                <w:tcPr>
                  <w:tcW w:w="1075" w:type="dxa"/>
                  <w:tcBorders>
                    <w:tl2br w:val="nil"/>
                    <w:tr2bl w:val="nil"/>
                  </w:tcBorders>
                  <w:vAlign w:val="center"/>
                </w:tcPr>
                <w:p w14:paraId="1EF3732C">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122</w:t>
                  </w:r>
                </w:p>
              </w:tc>
              <w:tc>
                <w:tcPr>
                  <w:tcW w:w="1075" w:type="dxa"/>
                  <w:tcBorders>
                    <w:tl2br w:val="nil"/>
                    <w:tr2bl w:val="nil"/>
                  </w:tcBorders>
                  <w:vAlign w:val="center"/>
                </w:tcPr>
                <w:p w14:paraId="3535FE8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104</w:t>
                  </w:r>
                </w:p>
              </w:tc>
              <w:tc>
                <w:tcPr>
                  <w:tcW w:w="1075" w:type="dxa"/>
                  <w:tcBorders>
                    <w:tl2br w:val="nil"/>
                    <w:tr2bl w:val="nil"/>
                  </w:tcBorders>
                  <w:vAlign w:val="center"/>
                </w:tcPr>
                <w:p w14:paraId="1719352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500</w:t>
                  </w:r>
                </w:p>
              </w:tc>
            </w:tr>
            <w:tr w14:paraId="5800D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5A81CA29">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vAlign w:val="center"/>
                </w:tcPr>
                <w:p w14:paraId="623A8E6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BOD5mg/L</w:t>
                  </w:r>
                </w:p>
              </w:tc>
              <w:tc>
                <w:tcPr>
                  <w:tcW w:w="1075" w:type="dxa"/>
                  <w:tcBorders>
                    <w:tl2br w:val="nil"/>
                    <w:tr2bl w:val="nil"/>
                  </w:tcBorders>
                  <w:vAlign w:val="center"/>
                </w:tcPr>
                <w:p w14:paraId="177D21D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41.5</w:t>
                  </w:r>
                </w:p>
              </w:tc>
              <w:tc>
                <w:tcPr>
                  <w:tcW w:w="1075" w:type="dxa"/>
                  <w:tcBorders>
                    <w:tl2br w:val="nil"/>
                    <w:tr2bl w:val="nil"/>
                  </w:tcBorders>
                  <w:vAlign w:val="center"/>
                </w:tcPr>
                <w:p w14:paraId="5F74CDEA">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31.2</w:t>
                  </w:r>
                </w:p>
              </w:tc>
              <w:tc>
                <w:tcPr>
                  <w:tcW w:w="1075" w:type="dxa"/>
                  <w:tcBorders>
                    <w:tl2br w:val="nil"/>
                    <w:tr2bl w:val="nil"/>
                  </w:tcBorders>
                  <w:vAlign w:val="center"/>
                </w:tcPr>
                <w:p w14:paraId="6D84F0CF">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40.5</w:t>
                  </w:r>
                </w:p>
              </w:tc>
              <w:tc>
                <w:tcPr>
                  <w:tcW w:w="1075" w:type="dxa"/>
                  <w:tcBorders>
                    <w:tl2br w:val="nil"/>
                    <w:tr2bl w:val="nil"/>
                  </w:tcBorders>
                  <w:vAlign w:val="center"/>
                </w:tcPr>
                <w:p w14:paraId="71C3C9B2">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34.8</w:t>
                  </w:r>
                </w:p>
              </w:tc>
              <w:tc>
                <w:tcPr>
                  <w:tcW w:w="1075" w:type="dxa"/>
                  <w:tcBorders>
                    <w:tl2br w:val="nil"/>
                    <w:tr2bl w:val="nil"/>
                  </w:tcBorders>
                  <w:vAlign w:val="center"/>
                </w:tcPr>
                <w:p w14:paraId="67D2D41C">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300</w:t>
                  </w:r>
                </w:p>
              </w:tc>
            </w:tr>
            <w:tr w14:paraId="6D98B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2143D2AE">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vAlign w:val="center"/>
                </w:tcPr>
                <w:p w14:paraId="5459895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氨氮mg/L</w:t>
                  </w:r>
                </w:p>
              </w:tc>
              <w:tc>
                <w:tcPr>
                  <w:tcW w:w="1075" w:type="dxa"/>
                  <w:tcBorders>
                    <w:tl2br w:val="nil"/>
                    <w:tr2bl w:val="nil"/>
                  </w:tcBorders>
                  <w:vAlign w:val="center"/>
                </w:tcPr>
                <w:p w14:paraId="14916CAC">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17.1</w:t>
                  </w:r>
                </w:p>
              </w:tc>
              <w:tc>
                <w:tcPr>
                  <w:tcW w:w="1075" w:type="dxa"/>
                  <w:tcBorders>
                    <w:tl2br w:val="nil"/>
                    <w:tr2bl w:val="nil"/>
                  </w:tcBorders>
                  <w:vAlign w:val="center"/>
                </w:tcPr>
                <w:p w14:paraId="6222927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13.9</w:t>
                  </w:r>
                </w:p>
              </w:tc>
              <w:tc>
                <w:tcPr>
                  <w:tcW w:w="1075" w:type="dxa"/>
                  <w:tcBorders>
                    <w:tl2br w:val="nil"/>
                    <w:tr2bl w:val="nil"/>
                  </w:tcBorders>
                  <w:vAlign w:val="center"/>
                </w:tcPr>
                <w:p w14:paraId="514D6EE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15.8</w:t>
                  </w:r>
                </w:p>
              </w:tc>
              <w:tc>
                <w:tcPr>
                  <w:tcW w:w="1075" w:type="dxa"/>
                  <w:tcBorders>
                    <w:tl2br w:val="nil"/>
                    <w:tr2bl w:val="nil"/>
                  </w:tcBorders>
                  <w:vAlign w:val="center"/>
                </w:tcPr>
                <w:p w14:paraId="4F525752">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19.1</w:t>
                  </w:r>
                </w:p>
              </w:tc>
              <w:tc>
                <w:tcPr>
                  <w:tcW w:w="1075" w:type="dxa"/>
                  <w:tcBorders>
                    <w:tl2br w:val="nil"/>
                    <w:tr2bl w:val="nil"/>
                  </w:tcBorders>
                  <w:vAlign w:val="center"/>
                </w:tcPr>
                <w:p w14:paraId="400E08A0">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50</w:t>
                  </w:r>
                </w:p>
              </w:tc>
            </w:tr>
            <w:tr w14:paraId="333BB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restart"/>
                  <w:tcBorders>
                    <w:tl2br w:val="nil"/>
                    <w:tr2bl w:val="nil"/>
                  </w:tcBorders>
                  <w:vAlign w:val="center"/>
                </w:tcPr>
                <w:p w14:paraId="62B3A6F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2023.05.26</w:t>
                  </w:r>
                </w:p>
              </w:tc>
              <w:tc>
                <w:tcPr>
                  <w:tcW w:w="1461" w:type="dxa"/>
                  <w:tcBorders>
                    <w:tl2br w:val="nil"/>
                    <w:tr2bl w:val="nil"/>
                  </w:tcBorders>
                  <w:shd w:val="clear" w:color="auto" w:fill="auto"/>
                  <w:vAlign w:val="center"/>
                </w:tcPr>
                <w:p w14:paraId="2323F402">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PH（无量纲）</w:t>
                  </w:r>
                </w:p>
              </w:tc>
              <w:tc>
                <w:tcPr>
                  <w:tcW w:w="1075" w:type="dxa"/>
                  <w:tcBorders>
                    <w:tl2br w:val="nil"/>
                    <w:tr2bl w:val="nil"/>
                  </w:tcBorders>
                  <w:vAlign w:val="center"/>
                </w:tcPr>
                <w:p w14:paraId="3AE2AC5F">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6.9</w:t>
                  </w:r>
                </w:p>
              </w:tc>
              <w:tc>
                <w:tcPr>
                  <w:tcW w:w="1075" w:type="dxa"/>
                  <w:tcBorders>
                    <w:tl2br w:val="nil"/>
                    <w:tr2bl w:val="nil"/>
                  </w:tcBorders>
                  <w:vAlign w:val="center"/>
                </w:tcPr>
                <w:p w14:paraId="3275B2E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6.7</w:t>
                  </w:r>
                </w:p>
              </w:tc>
              <w:tc>
                <w:tcPr>
                  <w:tcW w:w="1075" w:type="dxa"/>
                  <w:tcBorders>
                    <w:tl2br w:val="nil"/>
                    <w:tr2bl w:val="nil"/>
                  </w:tcBorders>
                  <w:vAlign w:val="center"/>
                </w:tcPr>
                <w:p w14:paraId="12469F67">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6.6</w:t>
                  </w:r>
                </w:p>
              </w:tc>
              <w:tc>
                <w:tcPr>
                  <w:tcW w:w="1075" w:type="dxa"/>
                  <w:tcBorders>
                    <w:tl2br w:val="nil"/>
                    <w:tr2bl w:val="nil"/>
                  </w:tcBorders>
                  <w:vAlign w:val="center"/>
                </w:tcPr>
                <w:p w14:paraId="1EDCEEB8">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6.5</w:t>
                  </w:r>
                </w:p>
              </w:tc>
              <w:tc>
                <w:tcPr>
                  <w:tcW w:w="1075" w:type="dxa"/>
                  <w:tcBorders>
                    <w:tl2br w:val="nil"/>
                    <w:tr2bl w:val="nil"/>
                  </w:tcBorders>
                  <w:shd w:val="clear" w:color="auto" w:fill="auto"/>
                  <w:vAlign w:val="center"/>
                </w:tcPr>
                <w:p w14:paraId="1F957DF1">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6-9</w:t>
                  </w:r>
                </w:p>
              </w:tc>
            </w:tr>
            <w:tr w14:paraId="1C273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13346696">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shd w:val="clear" w:color="auto" w:fill="auto"/>
                  <w:vAlign w:val="center"/>
                </w:tcPr>
                <w:p w14:paraId="1A375A2A">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悬浮物mg/L</w:t>
                  </w:r>
                </w:p>
              </w:tc>
              <w:tc>
                <w:tcPr>
                  <w:tcW w:w="1075" w:type="dxa"/>
                  <w:tcBorders>
                    <w:tl2br w:val="nil"/>
                    <w:tr2bl w:val="nil"/>
                  </w:tcBorders>
                  <w:vAlign w:val="center"/>
                </w:tcPr>
                <w:p w14:paraId="5FE1653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19</w:t>
                  </w:r>
                </w:p>
              </w:tc>
              <w:tc>
                <w:tcPr>
                  <w:tcW w:w="1075" w:type="dxa"/>
                  <w:tcBorders>
                    <w:tl2br w:val="nil"/>
                    <w:tr2bl w:val="nil"/>
                  </w:tcBorders>
                  <w:vAlign w:val="center"/>
                </w:tcPr>
                <w:p w14:paraId="0C144FCF">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14</w:t>
                  </w:r>
                </w:p>
              </w:tc>
              <w:tc>
                <w:tcPr>
                  <w:tcW w:w="1075" w:type="dxa"/>
                  <w:tcBorders>
                    <w:tl2br w:val="nil"/>
                    <w:tr2bl w:val="nil"/>
                  </w:tcBorders>
                  <w:vAlign w:val="center"/>
                </w:tcPr>
                <w:p w14:paraId="13B0496E">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17</w:t>
                  </w:r>
                </w:p>
              </w:tc>
              <w:tc>
                <w:tcPr>
                  <w:tcW w:w="1075" w:type="dxa"/>
                  <w:tcBorders>
                    <w:tl2br w:val="nil"/>
                    <w:tr2bl w:val="nil"/>
                  </w:tcBorders>
                  <w:vAlign w:val="center"/>
                </w:tcPr>
                <w:p w14:paraId="5282A746">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18</w:t>
                  </w:r>
                </w:p>
              </w:tc>
              <w:tc>
                <w:tcPr>
                  <w:tcW w:w="1075" w:type="dxa"/>
                  <w:tcBorders>
                    <w:tl2br w:val="nil"/>
                    <w:tr2bl w:val="nil"/>
                  </w:tcBorders>
                  <w:shd w:val="clear" w:color="auto" w:fill="auto"/>
                  <w:vAlign w:val="center"/>
                </w:tcPr>
                <w:p w14:paraId="3C795991">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400</w:t>
                  </w:r>
                </w:p>
              </w:tc>
            </w:tr>
            <w:tr w14:paraId="2DCBF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57B09F9E">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shd w:val="clear" w:color="auto" w:fill="auto"/>
                  <w:vAlign w:val="center"/>
                </w:tcPr>
                <w:p w14:paraId="64EA3A6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CODCrmg/L</w:t>
                  </w:r>
                </w:p>
              </w:tc>
              <w:tc>
                <w:tcPr>
                  <w:tcW w:w="1075" w:type="dxa"/>
                  <w:tcBorders>
                    <w:tl2br w:val="nil"/>
                    <w:tr2bl w:val="nil"/>
                  </w:tcBorders>
                  <w:vAlign w:val="center"/>
                </w:tcPr>
                <w:p w14:paraId="5E4552E6">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120</w:t>
                  </w:r>
                </w:p>
              </w:tc>
              <w:tc>
                <w:tcPr>
                  <w:tcW w:w="1075" w:type="dxa"/>
                  <w:tcBorders>
                    <w:tl2br w:val="nil"/>
                    <w:tr2bl w:val="nil"/>
                  </w:tcBorders>
                  <w:vAlign w:val="center"/>
                </w:tcPr>
                <w:p w14:paraId="4CAD259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113</w:t>
                  </w:r>
                </w:p>
              </w:tc>
              <w:tc>
                <w:tcPr>
                  <w:tcW w:w="1075" w:type="dxa"/>
                  <w:tcBorders>
                    <w:tl2br w:val="nil"/>
                    <w:tr2bl w:val="nil"/>
                  </w:tcBorders>
                  <w:vAlign w:val="center"/>
                </w:tcPr>
                <w:p w14:paraId="2BBC0A96">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98</w:t>
                  </w:r>
                </w:p>
              </w:tc>
              <w:tc>
                <w:tcPr>
                  <w:tcW w:w="1075" w:type="dxa"/>
                  <w:tcBorders>
                    <w:tl2br w:val="nil"/>
                    <w:tr2bl w:val="nil"/>
                  </w:tcBorders>
                  <w:vAlign w:val="center"/>
                </w:tcPr>
                <w:p w14:paraId="1FE92586">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98</w:t>
                  </w:r>
                </w:p>
              </w:tc>
              <w:tc>
                <w:tcPr>
                  <w:tcW w:w="1075" w:type="dxa"/>
                  <w:tcBorders>
                    <w:tl2br w:val="nil"/>
                    <w:tr2bl w:val="nil"/>
                  </w:tcBorders>
                  <w:shd w:val="clear" w:color="auto" w:fill="auto"/>
                  <w:vAlign w:val="center"/>
                </w:tcPr>
                <w:p w14:paraId="7BE0BD22">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500</w:t>
                  </w:r>
                </w:p>
              </w:tc>
            </w:tr>
            <w:tr w14:paraId="3635F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205CAE2A">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shd w:val="clear" w:color="auto" w:fill="auto"/>
                  <w:vAlign w:val="center"/>
                </w:tcPr>
                <w:p w14:paraId="1B64F251">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BOD5mg/L</w:t>
                  </w:r>
                </w:p>
              </w:tc>
              <w:tc>
                <w:tcPr>
                  <w:tcW w:w="1075" w:type="dxa"/>
                  <w:tcBorders>
                    <w:tl2br w:val="nil"/>
                    <w:tr2bl w:val="nil"/>
                  </w:tcBorders>
                  <w:vAlign w:val="center"/>
                </w:tcPr>
                <w:p w14:paraId="2FCB2A6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40.9</w:t>
                  </w:r>
                </w:p>
              </w:tc>
              <w:tc>
                <w:tcPr>
                  <w:tcW w:w="1075" w:type="dxa"/>
                  <w:tcBorders>
                    <w:tl2br w:val="nil"/>
                    <w:tr2bl w:val="nil"/>
                  </w:tcBorders>
                  <w:vAlign w:val="center"/>
                </w:tcPr>
                <w:p w14:paraId="0C332D9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32.2</w:t>
                  </w:r>
                </w:p>
              </w:tc>
              <w:tc>
                <w:tcPr>
                  <w:tcW w:w="1075" w:type="dxa"/>
                  <w:tcBorders>
                    <w:tl2br w:val="nil"/>
                    <w:tr2bl w:val="nil"/>
                  </w:tcBorders>
                  <w:vAlign w:val="center"/>
                </w:tcPr>
                <w:p w14:paraId="2395A41A">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38.2</w:t>
                  </w:r>
                </w:p>
              </w:tc>
              <w:tc>
                <w:tcPr>
                  <w:tcW w:w="1075" w:type="dxa"/>
                  <w:tcBorders>
                    <w:tl2br w:val="nil"/>
                    <w:tr2bl w:val="nil"/>
                  </w:tcBorders>
                  <w:vAlign w:val="center"/>
                </w:tcPr>
                <w:p w14:paraId="03EA8AE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33.2</w:t>
                  </w:r>
                </w:p>
              </w:tc>
              <w:tc>
                <w:tcPr>
                  <w:tcW w:w="1075" w:type="dxa"/>
                  <w:tcBorders>
                    <w:tl2br w:val="nil"/>
                    <w:tr2bl w:val="nil"/>
                  </w:tcBorders>
                  <w:shd w:val="clear" w:color="auto" w:fill="auto"/>
                  <w:vAlign w:val="center"/>
                </w:tcPr>
                <w:p w14:paraId="29794C16">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300</w:t>
                  </w:r>
                </w:p>
              </w:tc>
            </w:tr>
            <w:tr w14:paraId="569CB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tl2br w:val="nil"/>
                    <w:tr2bl w:val="nil"/>
                  </w:tcBorders>
                  <w:vAlign w:val="center"/>
                </w:tcPr>
                <w:p w14:paraId="1C2F98CF">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eastAsia="宋体"/>
                      <w:b w:val="0"/>
                      <w:bCs/>
                      <w:color w:val="auto"/>
                      <w:sz w:val="21"/>
                      <w:szCs w:val="21"/>
                      <w:vertAlign w:val="baseline"/>
                      <w:lang w:val="en-US" w:eastAsia="zh-CN"/>
                    </w:rPr>
                  </w:pPr>
                </w:p>
              </w:tc>
              <w:tc>
                <w:tcPr>
                  <w:tcW w:w="1461" w:type="dxa"/>
                  <w:tcBorders>
                    <w:tl2br w:val="nil"/>
                    <w:tr2bl w:val="nil"/>
                  </w:tcBorders>
                  <w:shd w:val="clear" w:color="auto" w:fill="auto"/>
                  <w:vAlign w:val="center"/>
                </w:tcPr>
                <w:p w14:paraId="60250519">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氨氮mg/L</w:t>
                  </w:r>
                </w:p>
              </w:tc>
              <w:tc>
                <w:tcPr>
                  <w:tcW w:w="1075" w:type="dxa"/>
                  <w:tcBorders>
                    <w:tl2br w:val="nil"/>
                    <w:tr2bl w:val="nil"/>
                  </w:tcBorders>
                  <w:vAlign w:val="center"/>
                </w:tcPr>
                <w:p w14:paraId="42F5B4C7">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13.4</w:t>
                  </w:r>
                </w:p>
              </w:tc>
              <w:tc>
                <w:tcPr>
                  <w:tcW w:w="1075" w:type="dxa"/>
                  <w:tcBorders>
                    <w:tl2br w:val="nil"/>
                    <w:tr2bl w:val="nil"/>
                  </w:tcBorders>
                  <w:vAlign w:val="center"/>
                </w:tcPr>
                <w:p w14:paraId="3C790BA1">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12.1</w:t>
                  </w:r>
                </w:p>
              </w:tc>
              <w:tc>
                <w:tcPr>
                  <w:tcW w:w="1075" w:type="dxa"/>
                  <w:tcBorders>
                    <w:tl2br w:val="nil"/>
                    <w:tr2bl w:val="nil"/>
                  </w:tcBorders>
                  <w:vAlign w:val="center"/>
                </w:tcPr>
                <w:p w14:paraId="7DB3603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18.0</w:t>
                  </w:r>
                </w:p>
              </w:tc>
              <w:tc>
                <w:tcPr>
                  <w:tcW w:w="1075" w:type="dxa"/>
                  <w:tcBorders>
                    <w:tl2br w:val="nil"/>
                    <w:tr2bl w:val="nil"/>
                  </w:tcBorders>
                  <w:vAlign w:val="center"/>
                </w:tcPr>
                <w:p w14:paraId="2E007B44">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jc w:val="center"/>
                    <w:textAlignment w:val="auto"/>
                    <w:rPr>
                      <w:rFonts w:hint="default" w:ascii="宋体" w:eastAsia="宋体"/>
                      <w:b w:val="0"/>
                      <w:bCs/>
                      <w:color w:val="auto"/>
                      <w:sz w:val="21"/>
                      <w:szCs w:val="21"/>
                      <w:vertAlign w:val="baseline"/>
                      <w:lang w:val="en-US" w:eastAsia="zh-CN"/>
                    </w:rPr>
                  </w:pPr>
                  <w:r>
                    <w:rPr>
                      <w:rFonts w:hint="eastAsia" w:ascii="宋体" w:eastAsia="宋体"/>
                      <w:b w:val="0"/>
                      <w:bCs/>
                      <w:color w:val="auto"/>
                      <w:sz w:val="21"/>
                      <w:szCs w:val="21"/>
                      <w:vertAlign w:val="baseline"/>
                      <w:lang w:val="en-US" w:eastAsia="zh-CN"/>
                    </w:rPr>
                    <w:t>15.1</w:t>
                  </w:r>
                </w:p>
              </w:tc>
              <w:tc>
                <w:tcPr>
                  <w:tcW w:w="1075" w:type="dxa"/>
                  <w:tcBorders>
                    <w:tl2br w:val="nil"/>
                    <w:tr2bl w:val="nil"/>
                  </w:tcBorders>
                  <w:shd w:val="clear" w:color="auto" w:fill="auto"/>
                  <w:vAlign w:val="center"/>
                </w:tcPr>
                <w:p w14:paraId="04A06DE8">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宋体" w:hAnsi="宋体" w:eastAsia="宋体" w:cs="Times New Roman"/>
                      <w:b w:val="0"/>
                      <w:bCs/>
                      <w:color w:val="auto"/>
                      <w:kern w:val="0"/>
                      <w:sz w:val="21"/>
                      <w:szCs w:val="21"/>
                      <w:vertAlign w:val="baseline"/>
                      <w:lang w:val="en-US" w:eastAsia="zh-CN" w:bidi="ar-SA"/>
                    </w:rPr>
                  </w:pPr>
                  <w:r>
                    <w:rPr>
                      <w:rFonts w:hint="eastAsia" w:ascii="宋体" w:eastAsia="宋体"/>
                      <w:b w:val="0"/>
                      <w:bCs/>
                      <w:color w:val="auto"/>
                      <w:sz w:val="21"/>
                      <w:szCs w:val="21"/>
                      <w:vertAlign w:val="baseline"/>
                      <w:lang w:val="en-US" w:eastAsia="zh-CN"/>
                    </w:rPr>
                    <w:t>50</w:t>
                  </w:r>
                </w:p>
              </w:tc>
            </w:tr>
          </w:tbl>
          <w:p w14:paraId="7571825A">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jc w:val="left"/>
              <w:textAlignment w:val="auto"/>
              <w:rPr>
                <w:rFonts w:hint="default" w:ascii="宋体" w:eastAsia="宋体"/>
                <w:b w:val="0"/>
                <w:bCs/>
                <w:color w:val="auto"/>
                <w:sz w:val="24"/>
                <w:szCs w:val="24"/>
                <w:lang w:val="en-US" w:eastAsia="zh-CN"/>
              </w:rPr>
            </w:pPr>
            <w:r>
              <w:rPr>
                <w:rFonts w:hint="eastAsia" w:ascii="宋体" w:eastAsia="宋体"/>
                <w:b w:val="0"/>
                <w:bCs/>
                <w:color w:val="auto"/>
                <w:sz w:val="24"/>
                <w:szCs w:val="24"/>
                <w:lang w:val="en-US" w:eastAsia="zh-CN"/>
              </w:rPr>
              <w:t>项目生产废水经“预处理+物化沉淀”（格栅+调节池+初沉池+絮凝沉淀池+二沉池+回用水池）处理后回用于生产不外排，生活污水经厂区内化粪池处理达到星火工业园区污水处理厂接管标准后进入园区污水处理厂。</w:t>
            </w:r>
          </w:p>
          <w:p w14:paraId="2719FD89">
            <w:pPr>
              <w:pStyle w:val="46"/>
              <w:numPr>
                <w:ilvl w:val="0"/>
                <w:numId w:val="0"/>
              </w:numPr>
              <w:spacing w:beforeLines="0" w:afterLines="0"/>
              <w:ind w:leftChars="200" w:firstLine="0"/>
              <w:jc w:val="both"/>
              <w:rPr>
                <w:rFonts w:hint="eastAsia"/>
                <w:color w:val="auto"/>
                <w:sz w:val="24"/>
                <w:szCs w:val="20"/>
              </w:rPr>
            </w:pPr>
            <w:r>
              <w:rPr>
                <w:rFonts w:hint="eastAsia"/>
                <w:color w:val="auto"/>
                <w:sz w:val="24"/>
                <w:szCs w:val="20"/>
              </w:rPr>
              <w:t>（</w:t>
            </w:r>
            <w:r>
              <w:rPr>
                <w:rFonts w:hint="eastAsia" w:eastAsia="宋体"/>
                <w:color w:val="auto"/>
                <w:sz w:val="24"/>
                <w:szCs w:val="20"/>
                <w:lang w:val="en-US" w:eastAsia="zh-CN"/>
              </w:rPr>
              <w:t>4</w:t>
            </w:r>
            <w:r>
              <w:rPr>
                <w:rFonts w:hint="eastAsia"/>
                <w:color w:val="auto"/>
                <w:sz w:val="24"/>
                <w:szCs w:val="20"/>
              </w:rPr>
              <w:t>）现有项目噪声产排情况</w:t>
            </w:r>
          </w:p>
          <w:p w14:paraId="47B2595C">
            <w:pPr>
              <w:spacing w:beforeLines="0" w:afterLines="0" w:line="360" w:lineRule="auto"/>
              <w:ind w:left="105" w:leftChars="50" w:firstLine="496" w:firstLineChars="200"/>
              <w:rPr>
                <w:rFonts w:hint="eastAsia" w:ascii="宋体" w:eastAsia="宋体"/>
                <w:color w:val="auto"/>
                <w:spacing w:val="4"/>
                <w:kern w:val="18"/>
                <w:sz w:val="24"/>
                <w:szCs w:val="24"/>
                <w:lang w:eastAsia="zh-CN"/>
              </w:rPr>
            </w:pPr>
            <w:r>
              <w:rPr>
                <w:rFonts w:hint="eastAsia" w:ascii="宋体" w:eastAsia="宋体"/>
                <w:color w:val="auto"/>
                <w:spacing w:val="4"/>
                <w:kern w:val="18"/>
                <w:sz w:val="24"/>
                <w:szCs w:val="24"/>
              </w:rPr>
              <w:t>项目厂界噪声监测点及位监测因子见</w:t>
            </w:r>
            <w:r>
              <w:rPr>
                <w:rFonts w:hint="eastAsia" w:ascii="宋体" w:eastAsia="宋体"/>
                <w:color w:val="auto"/>
                <w:spacing w:val="4"/>
                <w:kern w:val="18"/>
                <w:sz w:val="24"/>
                <w:szCs w:val="24"/>
                <w:lang w:val="en-US" w:eastAsia="zh-CN"/>
              </w:rPr>
              <w:t>下</w:t>
            </w:r>
            <w:r>
              <w:rPr>
                <w:rFonts w:hint="eastAsia" w:ascii="宋体" w:eastAsia="宋体"/>
                <w:color w:val="auto"/>
                <w:spacing w:val="4"/>
                <w:kern w:val="18"/>
                <w:sz w:val="24"/>
                <w:szCs w:val="24"/>
              </w:rPr>
              <w:t>表</w:t>
            </w:r>
            <w:r>
              <w:rPr>
                <w:rFonts w:hint="eastAsia" w:ascii="宋体" w:eastAsia="宋体"/>
                <w:color w:val="auto"/>
                <w:spacing w:val="4"/>
                <w:kern w:val="18"/>
                <w:sz w:val="24"/>
                <w:szCs w:val="24"/>
                <w:lang w:eastAsia="zh-CN"/>
              </w:rPr>
              <w:t>。</w:t>
            </w:r>
          </w:p>
          <w:p w14:paraId="66872E15">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Chars="0" w:firstLine="0"/>
              <w:jc w:val="center"/>
              <w:textAlignment w:val="auto"/>
              <w:rPr>
                <w:rFonts w:hint="default" w:eastAsia="宋体"/>
                <w:color w:val="auto"/>
                <w:sz w:val="21"/>
                <w:szCs w:val="21"/>
                <w:lang w:val="en-US" w:eastAsia="zh-CN"/>
              </w:rPr>
            </w:pPr>
            <w:r>
              <w:rPr>
                <w:rFonts w:hint="eastAsia" w:ascii="宋体" w:eastAsia="宋体"/>
                <w:b/>
                <w:color w:val="auto"/>
                <w:sz w:val="21"/>
                <w:szCs w:val="21"/>
              </w:rPr>
              <w:t>表2-1</w:t>
            </w:r>
            <w:r>
              <w:rPr>
                <w:rFonts w:hint="eastAsia" w:eastAsia="宋体"/>
                <w:b/>
                <w:color w:val="auto"/>
                <w:sz w:val="21"/>
                <w:szCs w:val="21"/>
                <w:lang w:val="en-US" w:eastAsia="zh-CN"/>
              </w:rPr>
              <w:t>8</w:t>
            </w:r>
            <w:r>
              <w:rPr>
                <w:rFonts w:hint="default"/>
                <w:b/>
                <w:color w:val="auto"/>
                <w:sz w:val="21"/>
                <w:szCs w:val="21"/>
              </w:rPr>
              <w:t xml:space="preserve">    </w:t>
            </w:r>
            <w:r>
              <w:rPr>
                <w:rFonts w:hint="eastAsia" w:ascii="宋体" w:eastAsia="宋体"/>
                <w:b/>
                <w:color w:val="auto"/>
                <w:sz w:val="21"/>
                <w:szCs w:val="21"/>
                <w:lang w:val="en-US" w:eastAsia="zh-CN"/>
              </w:rPr>
              <w:t>噪声</w:t>
            </w:r>
            <w:r>
              <w:rPr>
                <w:rFonts w:hint="eastAsia" w:ascii="宋体" w:eastAsia="宋体"/>
                <w:b/>
                <w:color w:val="auto"/>
                <w:sz w:val="21"/>
                <w:szCs w:val="21"/>
                <w:lang w:eastAsia="zh-CN"/>
              </w:rPr>
              <w:t>监测点</w:t>
            </w:r>
            <w:r>
              <w:rPr>
                <w:rFonts w:hint="eastAsia" w:ascii="宋体" w:eastAsia="宋体"/>
                <w:b/>
                <w:color w:val="auto"/>
                <w:sz w:val="21"/>
                <w:szCs w:val="21"/>
                <w:lang w:val="en-US" w:eastAsia="zh-CN"/>
              </w:rPr>
              <w:t>位</w:t>
            </w:r>
            <w:r>
              <w:rPr>
                <w:rFonts w:hint="eastAsia" w:ascii="宋体" w:eastAsia="宋体"/>
                <w:b/>
                <w:color w:val="auto"/>
                <w:sz w:val="21"/>
                <w:szCs w:val="21"/>
                <w:lang w:eastAsia="zh-CN"/>
              </w:rPr>
              <w:t>及</w:t>
            </w:r>
            <w:r>
              <w:rPr>
                <w:rFonts w:hint="eastAsia" w:ascii="宋体" w:eastAsia="宋体"/>
                <w:b/>
                <w:color w:val="auto"/>
                <w:sz w:val="21"/>
                <w:szCs w:val="21"/>
                <w:lang w:val="en-US" w:eastAsia="zh-CN"/>
              </w:rPr>
              <w:t>监测因子情况表</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340"/>
              <w:gridCol w:w="1991"/>
              <w:gridCol w:w="1991"/>
            </w:tblGrid>
            <w:tr w14:paraId="352B7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6FC556D5">
                  <w:pPr>
                    <w:pStyle w:val="46"/>
                    <w:numPr>
                      <w:ilvl w:val="0"/>
                      <w:numId w:val="0"/>
                    </w:numPr>
                    <w:spacing w:beforeLines="0" w:afterLines="0"/>
                    <w:ind w:firstLine="0"/>
                    <w:jc w:val="center"/>
                    <w:rPr>
                      <w:rFonts w:hint="eastAsia"/>
                      <w:color w:val="auto"/>
                      <w:sz w:val="21"/>
                      <w:szCs w:val="21"/>
                    </w:rPr>
                  </w:pPr>
                  <w:r>
                    <w:rPr>
                      <w:rFonts w:hint="eastAsia"/>
                      <w:color w:val="auto"/>
                      <w:sz w:val="21"/>
                      <w:szCs w:val="21"/>
                    </w:rPr>
                    <w:t>监测点</w:t>
                  </w:r>
                </w:p>
              </w:tc>
              <w:tc>
                <w:tcPr>
                  <w:tcW w:w="2340" w:type="dxa"/>
                  <w:tcBorders>
                    <w:tl2br w:val="nil"/>
                    <w:tr2bl w:val="nil"/>
                  </w:tcBorders>
                  <w:noWrap w:val="0"/>
                  <w:vAlign w:val="center"/>
                </w:tcPr>
                <w:p w14:paraId="4917BF29">
                  <w:pPr>
                    <w:pStyle w:val="46"/>
                    <w:numPr>
                      <w:ilvl w:val="0"/>
                      <w:numId w:val="0"/>
                    </w:numPr>
                    <w:spacing w:beforeLines="0" w:afterLines="0"/>
                    <w:ind w:firstLine="0"/>
                    <w:jc w:val="center"/>
                    <w:rPr>
                      <w:rFonts w:hint="eastAsia"/>
                      <w:color w:val="auto"/>
                      <w:sz w:val="21"/>
                      <w:szCs w:val="21"/>
                    </w:rPr>
                  </w:pPr>
                  <w:r>
                    <w:rPr>
                      <w:rFonts w:hint="eastAsia"/>
                      <w:color w:val="auto"/>
                      <w:sz w:val="21"/>
                      <w:szCs w:val="21"/>
                    </w:rPr>
                    <w:t>监测项目</w:t>
                  </w:r>
                </w:p>
              </w:tc>
              <w:tc>
                <w:tcPr>
                  <w:tcW w:w="1991" w:type="dxa"/>
                  <w:tcBorders>
                    <w:tl2br w:val="nil"/>
                    <w:tr2bl w:val="nil"/>
                  </w:tcBorders>
                  <w:noWrap w:val="0"/>
                  <w:vAlign w:val="center"/>
                </w:tcPr>
                <w:p w14:paraId="08A54760">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检查项目</w:t>
                  </w:r>
                </w:p>
              </w:tc>
              <w:tc>
                <w:tcPr>
                  <w:tcW w:w="1991" w:type="dxa"/>
                  <w:tcBorders>
                    <w:tl2br w:val="nil"/>
                    <w:tr2bl w:val="nil"/>
                  </w:tcBorders>
                  <w:noWrap w:val="0"/>
                  <w:vAlign w:val="center"/>
                </w:tcPr>
                <w:p w14:paraId="56ABF83C">
                  <w:pPr>
                    <w:pStyle w:val="46"/>
                    <w:numPr>
                      <w:ilvl w:val="0"/>
                      <w:numId w:val="0"/>
                    </w:numPr>
                    <w:spacing w:beforeLines="0" w:afterLines="0"/>
                    <w:ind w:firstLine="0"/>
                    <w:jc w:val="center"/>
                    <w:rPr>
                      <w:rFonts w:hint="eastAsia"/>
                      <w:color w:val="auto"/>
                      <w:sz w:val="21"/>
                      <w:szCs w:val="21"/>
                    </w:rPr>
                  </w:pPr>
                  <w:r>
                    <w:rPr>
                      <w:rFonts w:hint="eastAsia" w:eastAsia="宋体"/>
                      <w:color w:val="auto"/>
                      <w:sz w:val="21"/>
                      <w:szCs w:val="21"/>
                      <w:lang w:val="en-US" w:eastAsia="zh-CN"/>
                    </w:rPr>
                    <w:t>采样</w:t>
                  </w:r>
                  <w:r>
                    <w:rPr>
                      <w:rFonts w:hint="eastAsia"/>
                      <w:color w:val="auto"/>
                      <w:sz w:val="21"/>
                      <w:szCs w:val="21"/>
                    </w:rPr>
                    <w:t>频次</w:t>
                  </w:r>
                </w:p>
              </w:tc>
            </w:tr>
            <w:tr w14:paraId="6C486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032DE37D">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N1</w:t>
                  </w:r>
                </w:p>
              </w:tc>
              <w:tc>
                <w:tcPr>
                  <w:tcW w:w="2340" w:type="dxa"/>
                  <w:tcBorders>
                    <w:tl2br w:val="nil"/>
                    <w:tr2bl w:val="nil"/>
                  </w:tcBorders>
                  <w:noWrap w:val="0"/>
                  <w:vAlign w:val="center"/>
                </w:tcPr>
                <w:p w14:paraId="07B2EE98">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东厂界外1m东面</w:t>
                  </w:r>
                </w:p>
              </w:tc>
              <w:tc>
                <w:tcPr>
                  <w:tcW w:w="1991" w:type="dxa"/>
                  <w:vMerge w:val="restart"/>
                  <w:tcBorders>
                    <w:tl2br w:val="nil"/>
                    <w:tr2bl w:val="nil"/>
                  </w:tcBorders>
                  <w:noWrap w:val="0"/>
                  <w:vAlign w:val="center"/>
                </w:tcPr>
                <w:p w14:paraId="181BAA84">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等效连续噪声级LAeq</w:t>
                  </w:r>
                </w:p>
              </w:tc>
              <w:tc>
                <w:tcPr>
                  <w:tcW w:w="1991" w:type="dxa"/>
                  <w:vMerge w:val="restart"/>
                  <w:tcBorders>
                    <w:tl2br w:val="nil"/>
                    <w:tr2bl w:val="nil"/>
                  </w:tcBorders>
                  <w:noWrap w:val="0"/>
                  <w:vAlign w:val="center"/>
                </w:tcPr>
                <w:p w14:paraId="27B71E06">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昼夜间各监测1次，2天</w:t>
                  </w:r>
                </w:p>
              </w:tc>
            </w:tr>
            <w:tr w14:paraId="42EC0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13584356">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N2</w:t>
                  </w:r>
                </w:p>
              </w:tc>
              <w:tc>
                <w:tcPr>
                  <w:tcW w:w="2340" w:type="dxa"/>
                  <w:tcBorders>
                    <w:tl2br w:val="nil"/>
                    <w:tr2bl w:val="nil"/>
                  </w:tcBorders>
                  <w:noWrap w:val="0"/>
                  <w:vAlign w:val="center"/>
                </w:tcPr>
                <w:p w14:paraId="6C6C15EC">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南厂界外1m东面</w:t>
                  </w:r>
                </w:p>
              </w:tc>
              <w:tc>
                <w:tcPr>
                  <w:tcW w:w="1991" w:type="dxa"/>
                  <w:vMerge w:val="continue"/>
                  <w:tcBorders>
                    <w:tl2br w:val="nil"/>
                    <w:tr2bl w:val="nil"/>
                  </w:tcBorders>
                  <w:noWrap w:val="0"/>
                  <w:vAlign w:val="center"/>
                </w:tcPr>
                <w:p w14:paraId="78074E74">
                  <w:pPr>
                    <w:pStyle w:val="46"/>
                    <w:numPr>
                      <w:ilvl w:val="0"/>
                      <w:numId w:val="0"/>
                    </w:numPr>
                    <w:spacing w:beforeLines="0" w:afterLines="0"/>
                    <w:ind w:firstLine="0"/>
                    <w:jc w:val="center"/>
                    <w:rPr>
                      <w:rFonts w:hint="eastAsia" w:eastAsia="宋体"/>
                      <w:color w:val="auto"/>
                      <w:sz w:val="21"/>
                      <w:szCs w:val="21"/>
                      <w:lang w:val="en-US" w:eastAsia="zh-CN"/>
                    </w:rPr>
                  </w:pPr>
                </w:p>
              </w:tc>
              <w:tc>
                <w:tcPr>
                  <w:tcW w:w="1991" w:type="dxa"/>
                  <w:vMerge w:val="continue"/>
                  <w:tcBorders>
                    <w:tl2br w:val="nil"/>
                    <w:tr2bl w:val="nil"/>
                  </w:tcBorders>
                  <w:noWrap w:val="0"/>
                  <w:vAlign w:val="center"/>
                </w:tcPr>
                <w:p w14:paraId="4E47D523">
                  <w:pPr>
                    <w:pStyle w:val="46"/>
                    <w:numPr>
                      <w:ilvl w:val="0"/>
                      <w:numId w:val="0"/>
                    </w:numPr>
                    <w:spacing w:beforeLines="0" w:afterLines="0"/>
                    <w:ind w:firstLine="0"/>
                    <w:jc w:val="center"/>
                    <w:rPr>
                      <w:rFonts w:hint="eastAsia" w:eastAsia="宋体"/>
                      <w:color w:val="auto"/>
                      <w:sz w:val="21"/>
                      <w:szCs w:val="21"/>
                      <w:lang w:val="en-US" w:eastAsia="zh-CN"/>
                    </w:rPr>
                  </w:pPr>
                </w:p>
              </w:tc>
            </w:tr>
            <w:tr w14:paraId="776D6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2B2F6728">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N3</w:t>
                  </w:r>
                </w:p>
              </w:tc>
              <w:tc>
                <w:tcPr>
                  <w:tcW w:w="2340" w:type="dxa"/>
                  <w:tcBorders>
                    <w:tl2br w:val="nil"/>
                    <w:tr2bl w:val="nil"/>
                  </w:tcBorders>
                  <w:noWrap w:val="0"/>
                  <w:vAlign w:val="center"/>
                </w:tcPr>
                <w:p w14:paraId="0C1A63A3">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西厂界外1m东面</w:t>
                  </w:r>
                </w:p>
              </w:tc>
              <w:tc>
                <w:tcPr>
                  <w:tcW w:w="1991" w:type="dxa"/>
                  <w:vMerge w:val="continue"/>
                  <w:tcBorders>
                    <w:tl2br w:val="nil"/>
                    <w:tr2bl w:val="nil"/>
                  </w:tcBorders>
                  <w:noWrap w:val="0"/>
                  <w:vAlign w:val="center"/>
                </w:tcPr>
                <w:p w14:paraId="629F4A51">
                  <w:pPr>
                    <w:pStyle w:val="46"/>
                    <w:numPr>
                      <w:ilvl w:val="0"/>
                      <w:numId w:val="0"/>
                    </w:numPr>
                    <w:spacing w:beforeLines="0" w:afterLines="0"/>
                    <w:ind w:firstLine="0"/>
                    <w:jc w:val="center"/>
                    <w:rPr>
                      <w:rFonts w:hint="eastAsia" w:eastAsia="宋体"/>
                      <w:color w:val="auto"/>
                      <w:sz w:val="21"/>
                      <w:szCs w:val="21"/>
                      <w:lang w:val="en-US" w:eastAsia="zh-CN"/>
                    </w:rPr>
                  </w:pPr>
                </w:p>
              </w:tc>
              <w:tc>
                <w:tcPr>
                  <w:tcW w:w="1991" w:type="dxa"/>
                  <w:vMerge w:val="continue"/>
                  <w:tcBorders>
                    <w:tl2br w:val="nil"/>
                    <w:tr2bl w:val="nil"/>
                  </w:tcBorders>
                  <w:noWrap w:val="0"/>
                  <w:vAlign w:val="center"/>
                </w:tcPr>
                <w:p w14:paraId="2A1D9CA1">
                  <w:pPr>
                    <w:pStyle w:val="46"/>
                    <w:numPr>
                      <w:ilvl w:val="0"/>
                      <w:numId w:val="0"/>
                    </w:numPr>
                    <w:spacing w:beforeLines="0" w:afterLines="0"/>
                    <w:ind w:firstLine="0"/>
                    <w:jc w:val="center"/>
                    <w:rPr>
                      <w:rFonts w:hint="eastAsia" w:eastAsia="宋体"/>
                      <w:color w:val="auto"/>
                      <w:sz w:val="21"/>
                      <w:szCs w:val="21"/>
                      <w:lang w:val="en-US" w:eastAsia="zh-CN"/>
                    </w:rPr>
                  </w:pPr>
                </w:p>
              </w:tc>
            </w:tr>
            <w:tr w14:paraId="2133E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2" w:type="dxa"/>
                  <w:tcBorders>
                    <w:tl2br w:val="nil"/>
                    <w:tr2bl w:val="nil"/>
                  </w:tcBorders>
                  <w:noWrap w:val="0"/>
                  <w:vAlign w:val="center"/>
                </w:tcPr>
                <w:p w14:paraId="63668A73">
                  <w:pPr>
                    <w:pStyle w:val="46"/>
                    <w:numPr>
                      <w:ilvl w:val="0"/>
                      <w:numId w:val="0"/>
                    </w:numPr>
                    <w:spacing w:beforeLines="0" w:afterLines="0"/>
                    <w:ind w:firstLine="0"/>
                    <w:jc w:val="center"/>
                    <w:rPr>
                      <w:rFonts w:hint="eastAsia" w:eastAsia="宋体"/>
                      <w:color w:val="auto"/>
                      <w:sz w:val="21"/>
                      <w:szCs w:val="21"/>
                      <w:lang w:val="en-US" w:eastAsia="zh-CN"/>
                    </w:rPr>
                  </w:pPr>
                  <w:r>
                    <w:rPr>
                      <w:rFonts w:hint="eastAsia" w:eastAsia="宋体"/>
                      <w:color w:val="auto"/>
                      <w:sz w:val="21"/>
                      <w:szCs w:val="21"/>
                      <w:lang w:val="en-US" w:eastAsia="zh-CN"/>
                    </w:rPr>
                    <w:t>N4</w:t>
                  </w:r>
                </w:p>
              </w:tc>
              <w:tc>
                <w:tcPr>
                  <w:tcW w:w="2340" w:type="dxa"/>
                  <w:tcBorders>
                    <w:tl2br w:val="nil"/>
                    <w:tr2bl w:val="nil"/>
                  </w:tcBorders>
                  <w:noWrap w:val="0"/>
                  <w:vAlign w:val="center"/>
                </w:tcPr>
                <w:p w14:paraId="4DD569B5">
                  <w:pPr>
                    <w:pStyle w:val="46"/>
                    <w:numPr>
                      <w:ilvl w:val="0"/>
                      <w:numId w:val="0"/>
                    </w:numPr>
                    <w:spacing w:beforeLines="0" w:afterLines="0"/>
                    <w:ind w:firstLine="0"/>
                    <w:jc w:val="center"/>
                    <w:rPr>
                      <w:rFonts w:hint="default" w:eastAsia="宋体"/>
                      <w:color w:val="auto"/>
                      <w:sz w:val="21"/>
                      <w:szCs w:val="21"/>
                      <w:lang w:val="en-US" w:eastAsia="zh-CN"/>
                    </w:rPr>
                  </w:pPr>
                  <w:r>
                    <w:rPr>
                      <w:rFonts w:hint="eastAsia" w:eastAsia="宋体"/>
                      <w:color w:val="auto"/>
                      <w:sz w:val="21"/>
                      <w:szCs w:val="21"/>
                      <w:lang w:val="en-US" w:eastAsia="zh-CN"/>
                    </w:rPr>
                    <w:t>北厂界外1m东面</w:t>
                  </w:r>
                </w:p>
              </w:tc>
              <w:tc>
                <w:tcPr>
                  <w:tcW w:w="1991" w:type="dxa"/>
                  <w:vMerge w:val="continue"/>
                  <w:tcBorders>
                    <w:tl2br w:val="nil"/>
                    <w:tr2bl w:val="nil"/>
                  </w:tcBorders>
                  <w:noWrap w:val="0"/>
                  <w:vAlign w:val="center"/>
                </w:tcPr>
                <w:p w14:paraId="14B1ADD2">
                  <w:pPr>
                    <w:pStyle w:val="46"/>
                    <w:numPr>
                      <w:ilvl w:val="0"/>
                      <w:numId w:val="0"/>
                    </w:numPr>
                    <w:spacing w:beforeLines="0" w:afterLines="0"/>
                    <w:ind w:firstLine="0"/>
                    <w:jc w:val="center"/>
                    <w:rPr>
                      <w:rFonts w:hint="eastAsia" w:eastAsia="宋体"/>
                      <w:color w:val="auto"/>
                      <w:sz w:val="21"/>
                      <w:szCs w:val="21"/>
                      <w:lang w:val="en-US" w:eastAsia="zh-CN"/>
                    </w:rPr>
                  </w:pPr>
                </w:p>
              </w:tc>
              <w:tc>
                <w:tcPr>
                  <w:tcW w:w="1991" w:type="dxa"/>
                  <w:vMerge w:val="continue"/>
                  <w:tcBorders>
                    <w:tl2br w:val="nil"/>
                    <w:tr2bl w:val="nil"/>
                  </w:tcBorders>
                  <w:noWrap w:val="0"/>
                  <w:vAlign w:val="center"/>
                </w:tcPr>
                <w:p w14:paraId="59393EF3">
                  <w:pPr>
                    <w:pStyle w:val="46"/>
                    <w:numPr>
                      <w:ilvl w:val="0"/>
                      <w:numId w:val="0"/>
                    </w:numPr>
                    <w:spacing w:beforeLines="0" w:afterLines="0"/>
                    <w:ind w:firstLine="0"/>
                    <w:jc w:val="center"/>
                    <w:rPr>
                      <w:rFonts w:hint="eastAsia" w:eastAsia="宋体"/>
                      <w:color w:val="auto"/>
                      <w:sz w:val="21"/>
                      <w:szCs w:val="21"/>
                      <w:lang w:val="en-US" w:eastAsia="zh-CN"/>
                    </w:rPr>
                  </w:pPr>
                </w:p>
              </w:tc>
            </w:tr>
          </w:tbl>
          <w:p w14:paraId="212049F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Chars="0" w:firstLine="0"/>
              <w:jc w:val="center"/>
              <w:textAlignment w:val="auto"/>
              <w:rPr>
                <w:rFonts w:hint="default" w:eastAsia="宋体"/>
                <w:color w:val="auto"/>
                <w:sz w:val="21"/>
                <w:szCs w:val="21"/>
                <w:lang w:val="en-US" w:eastAsia="zh-CN"/>
              </w:rPr>
            </w:pPr>
            <w:r>
              <w:rPr>
                <w:rFonts w:hint="eastAsia" w:ascii="宋体" w:eastAsia="宋体"/>
                <w:b/>
                <w:color w:val="auto"/>
                <w:sz w:val="21"/>
                <w:szCs w:val="21"/>
              </w:rPr>
              <w:t>表2-1</w:t>
            </w:r>
            <w:r>
              <w:rPr>
                <w:rFonts w:hint="eastAsia" w:eastAsia="宋体"/>
                <w:b/>
                <w:color w:val="auto"/>
                <w:sz w:val="21"/>
                <w:szCs w:val="21"/>
                <w:lang w:val="en-US" w:eastAsia="zh-CN"/>
              </w:rPr>
              <w:t>9</w:t>
            </w:r>
            <w:r>
              <w:rPr>
                <w:rFonts w:hint="default"/>
                <w:b/>
                <w:color w:val="auto"/>
                <w:sz w:val="21"/>
                <w:szCs w:val="21"/>
              </w:rPr>
              <w:t xml:space="preserve">   </w:t>
            </w:r>
            <w:r>
              <w:rPr>
                <w:rFonts w:hint="eastAsia" w:eastAsia="宋体"/>
                <w:b/>
                <w:color w:val="auto"/>
                <w:sz w:val="21"/>
                <w:szCs w:val="21"/>
                <w:lang w:val="en-US" w:eastAsia="zh-CN"/>
              </w:rPr>
              <w:t>厂界</w:t>
            </w:r>
            <w:r>
              <w:rPr>
                <w:rFonts w:hint="default"/>
                <w:b/>
                <w:color w:val="auto"/>
                <w:sz w:val="21"/>
                <w:szCs w:val="21"/>
              </w:rPr>
              <w:t xml:space="preserve"> </w:t>
            </w:r>
            <w:r>
              <w:rPr>
                <w:rFonts w:hint="eastAsia" w:ascii="宋体" w:eastAsia="宋体"/>
                <w:b/>
                <w:color w:val="auto"/>
                <w:sz w:val="21"/>
                <w:szCs w:val="21"/>
                <w:lang w:val="en-US" w:eastAsia="zh-CN"/>
              </w:rPr>
              <w:t>噪声</w:t>
            </w:r>
            <w:r>
              <w:rPr>
                <w:rFonts w:hint="eastAsia" w:ascii="宋体" w:eastAsia="宋体"/>
                <w:b/>
                <w:color w:val="auto"/>
                <w:sz w:val="21"/>
                <w:szCs w:val="21"/>
                <w:lang w:eastAsia="zh-CN"/>
              </w:rPr>
              <w:t>监测</w:t>
            </w:r>
            <w:r>
              <w:rPr>
                <w:rFonts w:hint="eastAsia" w:ascii="宋体" w:eastAsia="宋体"/>
                <w:b/>
                <w:color w:val="auto"/>
                <w:sz w:val="21"/>
                <w:szCs w:val="21"/>
                <w:lang w:val="en-US" w:eastAsia="zh-CN"/>
              </w:rPr>
              <w:t>结果</w:t>
            </w:r>
          </w:p>
          <w:tbl>
            <w:tblPr>
              <w:tblStyle w:val="22"/>
              <w:tblW w:w="7524"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628"/>
              <w:gridCol w:w="1830"/>
              <w:gridCol w:w="870"/>
              <w:gridCol w:w="1380"/>
              <w:gridCol w:w="825"/>
              <w:gridCol w:w="1125"/>
              <w:gridCol w:w="866"/>
            </w:tblGrid>
            <w:tr w14:paraId="2746518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2458" w:type="dxa"/>
                  <w:gridSpan w:val="2"/>
                  <w:tcBorders>
                    <w:tl2br w:val="nil"/>
                    <w:tr2bl w:val="nil"/>
                  </w:tcBorders>
                  <w:vAlign w:val="center"/>
                </w:tcPr>
                <w:p w14:paraId="3A409AAD">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执行标准</w:t>
                  </w:r>
                </w:p>
              </w:tc>
              <w:tc>
                <w:tcPr>
                  <w:tcW w:w="4200" w:type="dxa"/>
                  <w:gridSpan w:val="4"/>
                  <w:tcBorders>
                    <w:tl2br w:val="nil"/>
                    <w:tr2bl w:val="nil"/>
                  </w:tcBorders>
                  <w:vAlign w:val="center"/>
                </w:tcPr>
                <w:p w14:paraId="73BC24BE">
                  <w:pPr>
                    <w:pStyle w:val="13"/>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工业企业厂界环境噪声排放标准GB12348-2008中3类昼间排放限值65dB(A)，夜间排放限值55dB(A)。</w:t>
                  </w:r>
                </w:p>
              </w:tc>
              <w:tc>
                <w:tcPr>
                  <w:tcW w:w="866" w:type="dxa"/>
                  <w:vMerge w:val="restart"/>
                  <w:tcBorders>
                    <w:tl2br w:val="nil"/>
                    <w:tr2bl w:val="nil"/>
                  </w:tcBorders>
                  <w:vAlign w:val="center"/>
                </w:tcPr>
                <w:p w14:paraId="11A0CD8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标准Leq</w:t>
                  </w:r>
                </w:p>
                <w:p w14:paraId="587DB6CA">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dB(A)</w:t>
                  </w:r>
                </w:p>
              </w:tc>
            </w:tr>
            <w:tr w14:paraId="763465B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2458" w:type="dxa"/>
                  <w:gridSpan w:val="2"/>
                  <w:tcBorders>
                    <w:tl2br w:val="nil"/>
                    <w:tr2bl w:val="nil"/>
                  </w:tcBorders>
                  <w:vAlign w:val="center"/>
                </w:tcPr>
                <w:p w14:paraId="46D1F9D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检测点名称</w:t>
                  </w:r>
                </w:p>
              </w:tc>
              <w:tc>
                <w:tcPr>
                  <w:tcW w:w="870" w:type="dxa"/>
                  <w:tcBorders>
                    <w:tl2br w:val="nil"/>
                    <w:tr2bl w:val="nil"/>
                  </w:tcBorders>
                  <w:vAlign w:val="center"/>
                </w:tcPr>
                <w:p w14:paraId="3F3DACBC">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检测点编号</w:t>
                  </w:r>
                </w:p>
              </w:tc>
              <w:tc>
                <w:tcPr>
                  <w:tcW w:w="1380" w:type="dxa"/>
                  <w:tcBorders>
                    <w:tl2br w:val="nil"/>
                    <w:tr2bl w:val="nil"/>
                  </w:tcBorders>
                  <w:vAlign w:val="center"/>
                </w:tcPr>
                <w:p w14:paraId="38CB5DB9">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主要噪声源</w:t>
                  </w:r>
                </w:p>
              </w:tc>
              <w:tc>
                <w:tcPr>
                  <w:tcW w:w="825" w:type="dxa"/>
                  <w:tcBorders>
                    <w:tl2br w:val="nil"/>
                    <w:tr2bl w:val="nil"/>
                  </w:tcBorders>
                  <w:vAlign w:val="center"/>
                </w:tcPr>
                <w:p w14:paraId="1A5A6D0D">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时间</w:t>
                  </w:r>
                </w:p>
              </w:tc>
              <w:tc>
                <w:tcPr>
                  <w:tcW w:w="1125" w:type="dxa"/>
                  <w:tcBorders>
                    <w:tl2br w:val="nil"/>
                    <w:tr2bl w:val="nil"/>
                  </w:tcBorders>
                  <w:vAlign w:val="center"/>
                </w:tcPr>
                <w:p w14:paraId="2D663BD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Leq</w:t>
                  </w:r>
                </w:p>
                <w:p w14:paraId="69C40BF6">
                  <w:pPr>
                    <w:pStyle w:val="1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color w:val="auto"/>
                      <w:lang w:val="en-US" w:eastAsia="zh-CN"/>
                    </w:rPr>
                  </w:pPr>
                  <w:r>
                    <w:rPr>
                      <w:rFonts w:hint="eastAsia"/>
                      <w:color w:val="auto"/>
                      <w:sz w:val="21"/>
                      <w:szCs w:val="21"/>
                      <w:vertAlign w:val="baseline"/>
                      <w:lang w:val="en-US" w:eastAsia="zh-CN"/>
                    </w:rPr>
                    <w:t>dB(A)</w:t>
                  </w:r>
                </w:p>
              </w:tc>
              <w:tc>
                <w:tcPr>
                  <w:tcW w:w="866" w:type="dxa"/>
                  <w:vMerge w:val="continue"/>
                  <w:tcBorders>
                    <w:tl2br w:val="nil"/>
                    <w:tr2bl w:val="nil"/>
                  </w:tcBorders>
                  <w:vAlign w:val="center"/>
                </w:tcPr>
                <w:p w14:paraId="77134FE3">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p>
              </w:tc>
            </w:tr>
            <w:tr w14:paraId="6C1C065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4" w:hRule="atLeast"/>
              </w:trPr>
              <w:tc>
                <w:tcPr>
                  <w:tcW w:w="628" w:type="dxa"/>
                  <w:vMerge w:val="restart"/>
                  <w:tcBorders>
                    <w:tl2br w:val="nil"/>
                    <w:tr2bl w:val="nil"/>
                  </w:tcBorders>
                  <w:vAlign w:val="center"/>
                </w:tcPr>
                <w:p w14:paraId="634F54A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2023.05.25</w:t>
                  </w:r>
                </w:p>
              </w:tc>
              <w:tc>
                <w:tcPr>
                  <w:tcW w:w="1830" w:type="dxa"/>
                  <w:vMerge w:val="restart"/>
                  <w:tcBorders>
                    <w:tl2br w:val="nil"/>
                    <w:tr2bl w:val="nil"/>
                  </w:tcBorders>
                  <w:shd w:val="clear" w:color="auto" w:fill="auto"/>
                  <w:vAlign w:val="center"/>
                </w:tcPr>
                <w:p w14:paraId="14856867">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东厂界外1m东面</w:t>
                  </w:r>
                </w:p>
              </w:tc>
              <w:tc>
                <w:tcPr>
                  <w:tcW w:w="870" w:type="dxa"/>
                  <w:vMerge w:val="restart"/>
                  <w:tcBorders>
                    <w:tl2br w:val="nil"/>
                    <w:tr2bl w:val="nil"/>
                  </w:tcBorders>
                  <w:shd w:val="clear" w:color="auto" w:fill="auto"/>
                  <w:vAlign w:val="center"/>
                </w:tcPr>
                <w:p w14:paraId="75C37B2C">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N1</w:t>
                  </w:r>
                </w:p>
              </w:tc>
              <w:tc>
                <w:tcPr>
                  <w:tcW w:w="1380" w:type="dxa"/>
                  <w:tcBorders>
                    <w:tl2br w:val="nil"/>
                    <w:tr2bl w:val="nil"/>
                  </w:tcBorders>
                  <w:vAlign w:val="center"/>
                </w:tcPr>
                <w:p w14:paraId="56410D6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vAlign w:val="center"/>
                </w:tcPr>
                <w:p w14:paraId="507334D0">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42D0E160">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57.2</w:t>
                  </w:r>
                </w:p>
              </w:tc>
              <w:tc>
                <w:tcPr>
                  <w:tcW w:w="866" w:type="dxa"/>
                  <w:tcBorders>
                    <w:tl2br w:val="nil"/>
                    <w:tr2bl w:val="nil"/>
                  </w:tcBorders>
                  <w:vAlign w:val="center"/>
                </w:tcPr>
                <w:p w14:paraId="7A6744FC">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65</w:t>
                  </w:r>
                </w:p>
              </w:tc>
            </w:tr>
            <w:tr w14:paraId="7E23F78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10" w:hRule="atLeast"/>
              </w:trPr>
              <w:tc>
                <w:tcPr>
                  <w:tcW w:w="628" w:type="dxa"/>
                  <w:vMerge w:val="continue"/>
                  <w:tcBorders>
                    <w:tl2br w:val="nil"/>
                    <w:tr2bl w:val="nil"/>
                  </w:tcBorders>
                  <w:vAlign w:val="center"/>
                </w:tcPr>
                <w:p w14:paraId="13D6EBC5">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1915C66C">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709C6A16">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shd w:val="clear" w:color="auto" w:fill="auto"/>
                  <w:vAlign w:val="center"/>
                </w:tcPr>
                <w:p w14:paraId="56AFAB03">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2BCC8B0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21199FE8">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43.6</w:t>
                  </w:r>
                </w:p>
              </w:tc>
              <w:tc>
                <w:tcPr>
                  <w:tcW w:w="866" w:type="dxa"/>
                  <w:tcBorders>
                    <w:tl2br w:val="nil"/>
                    <w:tr2bl w:val="nil"/>
                  </w:tcBorders>
                  <w:vAlign w:val="center"/>
                </w:tcPr>
                <w:p w14:paraId="1E9A6149">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r w14:paraId="5C00628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8" w:hRule="atLeast"/>
              </w:trPr>
              <w:tc>
                <w:tcPr>
                  <w:tcW w:w="628" w:type="dxa"/>
                  <w:vMerge w:val="continue"/>
                  <w:tcBorders>
                    <w:tl2br w:val="nil"/>
                    <w:tr2bl w:val="nil"/>
                  </w:tcBorders>
                  <w:vAlign w:val="center"/>
                </w:tcPr>
                <w:p w14:paraId="5092D25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restart"/>
                  <w:tcBorders>
                    <w:tl2br w:val="nil"/>
                    <w:tr2bl w:val="nil"/>
                  </w:tcBorders>
                  <w:shd w:val="clear" w:color="auto" w:fill="auto"/>
                  <w:vAlign w:val="center"/>
                </w:tcPr>
                <w:p w14:paraId="76E84419">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南厂界外1m东面</w:t>
                  </w:r>
                </w:p>
              </w:tc>
              <w:tc>
                <w:tcPr>
                  <w:tcW w:w="870" w:type="dxa"/>
                  <w:vMerge w:val="restart"/>
                  <w:tcBorders>
                    <w:tl2br w:val="nil"/>
                    <w:tr2bl w:val="nil"/>
                  </w:tcBorders>
                  <w:shd w:val="clear" w:color="auto" w:fill="auto"/>
                  <w:vAlign w:val="center"/>
                </w:tcPr>
                <w:p w14:paraId="132D9EB6">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N2</w:t>
                  </w:r>
                </w:p>
              </w:tc>
              <w:tc>
                <w:tcPr>
                  <w:tcW w:w="1380" w:type="dxa"/>
                  <w:tcBorders>
                    <w:tl2br w:val="nil"/>
                    <w:tr2bl w:val="nil"/>
                  </w:tcBorders>
                  <w:vAlign w:val="center"/>
                </w:tcPr>
                <w:p w14:paraId="39ACEED4">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1CEA2D21">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6687574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56.6</w:t>
                  </w:r>
                </w:p>
              </w:tc>
              <w:tc>
                <w:tcPr>
                  <w:tcW w:w="866" w:type="dxa"/>
                  <w:tcBorders>
                    <w:tl2br w:val="nil"/>
                    <w:tr2bl w:val="nil"/>
                  </w:tcBorders>
                  <w:vAlign w:val="center"/>
                </w:tcPr>
                <w:p w14:paraId="1E63F1B3">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65</w:t>
                  </w:r>
                </w:p>
              </w:tc>
            </w:tr>
            <w:tr w14:paraId="42B6771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6" w:hRule="atLeast"/>
              </w:trPr>
              <w:tc>
                <w:tcPr>
                  <w:tcW w:w="628" w:type="dxa"/>
                  <w:vMerge w:val="continue"/>
                  <w:tcBorders>
                    <w:tl2br w:val="nil"/>
                    <w:tr2bl w:val="nil"/>
                  </w:tcBorders>
                  <w:vAlign w:val="center"/>
                </w:tcPr>
                <w:p w14:paraId="7D354335">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13A6105E">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1D71E24A">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vAlign w:val="center"/>
                </w:tcPr>
                <w:p w14:paraId="41FFD50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5006305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5A3CB35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45.5</w:t>
                  </w:r>
                </w:p>
              </w:tc>
              <w:tc>
                <w:tcPr>
                  <w:tcW w:w="866" w:type="dxa"/>
                  <w:tcBorders>
                    <w:tl2br w:val="nil"/>
                    <w:tr2bl w:val="nil"/>
                  </w:tcBorders>
                  <w:vAlign w:val="center"/>
                </w:tcPr>
                <w:p w14:paraId="4861A564">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r w14:paraId="676DFB5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43" w:hRule="atLeast"/>
              </w:trPr>
              <w:tc>
                <w:tcPr>
                  <w:tcW w:w="628" w:type="dxa"/>
                  <w:vMerge w:val="continue"/>
                  <w:tcBorders>
                    <w:tl2br w:val="nil"/>
                    <w:tr2bl w:val="nil"/>
                  </w:tcBorders>
                  <w:vAlign w:val="center"/>
                </w:tcPr>
                <w:p w14:paraId="31089F8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restart"/>
                  <w:tcBorders>
                    <w:tl2br w:val="nil"/>
                    <w:tr2bl w:val="nil"/>
                  </w:tcBorders>
                  <w:shd w:val="clear" w:color="auto" w:fill="auto"/>
                  <w:vAlign w:val="center"/>
                </w:tcPr>
                <w:p w14:paraId="2B7A5544">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西厂界外1m东面</w:t>
                  </w:r>
                </w:p>
              </w:tc>
              <w:tc>
                <w:tcPr>
                  <w:tcW w:w="870" w:type="dxa"/>
                  <w:vMerge w:val="restart"/>
                  <w:tcBorders>
                    <w:tl2br w:val="nil"/>
                    <w:tr2bl w:val="nil"/>
                  </w:tcBorders>
                  <w:shd w:val="clear" w:color="auto" w:fill="auto"/>
                  <w:vAlign w:val="center"/>
                </w:tcPr>
                <w:p w14:paraId="50C7D76D">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N3</w:t>
                  </w:r>
                </w:p>
              </w:tc>
              <w:tc>
                <w:tcPr>
                  <w:tcW w:w="1380" w:type="dxa"/>
                  <w:tcBorders>
                    <w:tl2br w:val="nil"/>
                    <w:tr2bl w:val="nil"/>
                  </w:tcBorders>
                  <w:shd w:val="clear" w:color="auto" w:fill="auto"/>
                  <w:vAlign w:val="center"/>
                </w:tcPr>
                <w:p w14:paraId="089294CA">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06AB9EB4">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5904907D">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61.4</w:t>
                  </w:r>
                </w:p>
              </w:tc>
              <w:tc>
                <w:tcPr>
                  <w:tcW w:w="866" w:type="dxa"/>
                  <w:tcBorders>
                    <w:tl2br w:val="nil"/>
                    <w:tr2bl w:val="nil"/>
                  </w:tcBorders>
                  <w:shd w:val="clear" w:color="auto" w:fill="auto"/>
                  <w:vAlign w:val="center"/>
                </w:tcPr>
                <w:p w14:paraId="5790BBAF">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65</w:t>
                  </w:r>
                </w:p>
              </w:tc>
            </w:tr>
            <w:tr w14:paraId="137212F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91" w:hRule="atLeast"/>
              </w:trPr>
              <w:tc>
                <w:tcPr>
                  <w:tcW w:w="628" w:type="dxa"/>
                  <w:vMerge w:val="continue"/>
                  <w:tcBorders>
                    <w:tl2br w:val="nil"/>
                    <w:tr2bl w:val="nil"/>
                  </w:tcBorders>
                  <w:vAlign w:val="center"/>
                </w:tcPr>
                <w:p w14:paraId="054FB5B0">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76B1735C">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51AF9D3A">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shd w:val="clear" w:color="auto" w:fill="auto"/>
                  <w:vAlign w:val="center"/>
                </w:tcPr>
                <w:p w14:paraId="4C2EF78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1BA4D5C1">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64CDB03D">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43.7</w:t>
                  </w:r>
                </w:p>
              </w:tc>
              <w:tc>
                <w:tcPr>
                  <w:tcW w:w="866" w:type="dxa"/>
                  <w:tcBorders>
                    <w:tl2br w:val="nil"/>
                    <w:tr2bl w:val="nil"/>
                  </w:tcBorders>
                  <w:shd w:val="clear" w:color="auto" w:fill="auto"/>
                  <w:vAlign w:val="center"/>
                </w:tcPr>
                <w:p w14:paraId="3914D526">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r w14:paraId="55C1C34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8" w:hRule="atLeast"/>
              </w:trPr>
              <w:tc>
                <w:tcPr>
                  <w:tcW w:w="628" w:type="dxa"/>
                  <w:vMerge w:val="continue"/>
                  <w:tcBorders>
                    <w:tl2br w:val="nil"/>
                    <w:tr2bl w:val="nil"/>
                  </w:tcBorders>
                  <w:vAlign w:val="center"/>
                </w:tcPr>
                <w:p w14:paraId="1A584E4A">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restart"/>
                  <w:tcBorders>
                    <w:tl2br w:val="nil"/>
                    <w:tr2bl w:val="nil"/>
                  </w:tcBorders>
                  <w:shd w:val="clear" w:color="auto" w:fill="auto"/>
                  <w:vAlign w:val="center"/>
                </w:tcPr>
                <w:p w14:paraId="214A5745">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北厂界外1m东面</w:t>
                  </w:r>
                </w:p>
              </w:tc>
              <w:tc>
                <w:tcPr>
                  <w:tcW w:w="870" w:type="dxa"/>
                  <w:vMerge w:val="restart"/>
                  <w:tcBorders>
                    <w:tl2br w:val="nil"/>
                    <w:tr2bl w:val="nil"/>
                  </w:tcBorders>
                  <w:shd w:val="clear" w:color="auto" w:fill="auto"/>
                  <w:vAlign w:val="center"/>
                </w:tcPr>
                <w:p w14:paraId="7320CC20">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N4</w:t>
                  </w:r>
                </w:p>
              </w:tc>
              <w:tc>
                <w:tcPr>
                  <w:tcW w:w="1380" w:type="dxa"/>
                  <w:tcBorders>
                    <w:tl2br w:val="nil"/>
                    <w:tr2bl w:val="nil"/>
                  </w:tcBorders>
                  <w:shd w:val="clear" w:color="auto" w:fill="auto"/>
                  <w:vAlign w:val="center"/>
                </w:tcPr>
                <w:p w14:paraId="443E6A9F">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7A159810">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3DDA384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58.3</w:t>
                  </w:r>
                </w:p>
              </w:tc>
              <w:tc>
                <w:tcPr>
                  <w:tcW w:w="866" w:type="dxa"/>
                  <w:tcBorders>
                    <w:tl2br w:val="nil"/>
                    <w:tr2bl w:val="nil"/>
                  </w:tcBorders>
                  <w:shd w:val="clear" w:color="auto" w:fill="auto"/>
                  <w:vAlign w:val="center"/>
                </w:tcPr>
                <w:p w14:paraId="041ABA3D">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65</w:t>
                  </w:r>
                </w:p>
              </w:tc>
            </w:tr>
            <w:tr w14:paraId="60308F0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6" w:hRule="atLeast"/>
              </w:trPr>
              <w:tc>
                <w:tcPr>
                  <w:tcW w:w="628" w:type="dxa"/>
                  <w:vMerge w:val="continue"/>
                  <w:tcBorders>
                    <w:tl2br w:val="nil"/>
                    <w:tr2bl w:val="nil"/>
                  </w:tcBorders>
                  <w:vAlign w:val="center"/>
                </w:tcPr>
                <w:p w14:paraId="08AB941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6E34079E">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4070D09B">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shd w:val="clear" w:color="auto" w:fill="auto"/>
                  <w:vAlign w:val="center"/>
                </w:tcPr>
                <w:p w14:paraId="3322A6D0">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242AB7D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730C86AF">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47.4</w:t>
                  </w:r>
                </w:p>
              </w:tc>
              <w:tc>
                <w:tcPr>
                  <w:tcW w:w="866" w:type="dxa"/>
                  <w:tcBorders>
                    <w:tl2br w:val="nil"/>
                    <w:tr2bl w:val="nil"/>
                  </w:tcBorders>
                  <w:shd w:val="clear" w:color="auto" w:fill="auto"/>
                  <w:vAlign w:val="center"/>
                </w:tcPr>
                <w:p w14:paraId="08C7474C">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r w14:paraId="706FB15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98" w:hRule="atLeast"/>
              </w:trPr>
              <w:tc>
                <w:tcPr>
                  <w:tcW w:w="628" w:type="dxa"/>
                  <w:vMerge w:val="restart"/>
                  <w:tcBorders>
                    <w:tl2br w:val="nil"/>
                    <w:tr2bl w:val="nil"/>
                  </w:tcBorders>
                  <w:vAlign w:val="center"/>
                </w:tcPr>
                <w:p w14:paraId="3B4AAA85">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2023.05.26</w:t>
                  </w:r>
                </w:p>
              </w:tc>
              <w:tc>
                <w:tcPr>
                  <w:tcW w:w="1830" w:type="dxa"/>
                  <w:vMerge w:val="restart"/>
                  <w:tcBorders>
                    <w:tl2br w:val="nil"/>
                    <w:tr2bl w:val="nil"/>
                  </w:tcBorders>
                  <w:shd w:val="clear" w:color="auto" w:fill="auto"/>
                  <w:vAlign w:val="center"/>
                </w:tcPr>
                <w:p w14:paraId="1B3CFBED">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东厂界外1m东面</w:t>
                  </w:r>
                </w:p>
              </w:tc>
              <w:tc>
                <w:tcPr>
                  <w:tcW w:w="870" w:type="dxa"/>
                  <w:vMerge w:val="restart"/>
                  <w:tcBorders>
                    <w:tl2br w:val="nil"/>
                    <w:tr2bl w:val="nil"/>
                  </w:tcBorders>
                  <w:shd w:val="clear" w:color="auto" w:fill="auto"/>
                  <w:vAlign w:val="center"/>
                </w:tcPr>
                <w:p w14:paraId="2D1418BC">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N1</w:t>
                  </w:r>
                </w:p>
              </w:tc>
              <w:tc>
                <w:tcPr>
                  <w:tcW w:w="1380" w:type="dxa"/>
                  <w:tcBorders>
                    <w:tl2br w:val="nil"/>
                    <w:tr2bl w:val="nil"/>
                  </w:tcBorders>
                  <w:shd w:val="clear" w:color="auto" w:fill="auto"/>
                  <w:vAlign w:val="center"/>
                </w:tcPr>
                <w:p w14:paraId="3C4E51E1">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2347508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3B725658">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56.8</w:t>
                  </w:r>
                </w:p>
              </w:tc>
              <w:tc>
                <w:tcPr>
                  <w:tcW w:w="866" w:type="dxa"/>
                  <w:tcBorders>
                    <w:tl2br w:val="nil"/>
                    <w:tr2bl w:val="nil"/>
                  </w:tcBorders>
                  <w:shd w:val="clear" w:color="auto" w:fill="auto"/>
                  <w:vAlign w:val="center"/>
                </w:tcPr>
                <w:p w14:paraId="39419ADF">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65</w:t>
                  </w:r>
                </w:p>
              </w:tc>
            </w:tr>
            <w:tr w14:paraId="3FFDDA1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6" w:hRule="atLeast"/>
              </w:trPr>
              <w:tc>
                <w:tcPr>
                  <w:tcW w:w="628" w:type="dxa"/>
                  <w:vMerge w:val="continue"/>
                  <w:tcBorders>
                    <w:tl2br w:val="nil"/>
                    <w:tr2bl w:val="nil"/>
                  </w:tcBorders>
                  <w:vAlign w:val="center"/>
                </w:tcPr>
                <w:p w14:paraId="6E894820">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1D0E1F76">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0C52FA84">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shd w:val="clear" w:color="auto" w:fill="auto"/>
                  <w:vAlign w:val="center"/>
                </w:tcPr>
                <w:p w14:paraId="730F490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7169D83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3CB3CCA4">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44.1</w:t>
                  </w:r>
                </w:p>
              </w:tc>
              <w:tc>
                <w:tcPr>
                  <w:tcW w:w="866" w:type="dxa"/>
                  <w:tcBorders>
                    <w:tl2br w:val="nil"/>
                    <w:tr2bl w:val="nil"/>
                  </w:tcBorders>
                  <w:shd w:val="clear" w:color="auto" w:fill="auto"/>
                  <w:vAlign w:val="center"/>
                </w:tcPr>
                <w:p w14:paraId="14B7033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r w14:paraId="728C91D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28" w:hRule="atLeast"/>
              </w:trPr>
              <w:tc>
                <w:tcPr>
                  <w:tcW w:w="628" w:type="dxa"/>
                  <w:vMerge w:val="continue"/>
                  <w:tcBorders>
                    <w:tl2br w:val="nil"/>
                    <w:tr2bl w:val="nil"/>
                  </w:tcBorders>
                  <w:vAlign w:val="center"/>
                </w:tcPr>
                <w:p w14:paraId="4FF13231">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restart"/>
                  <w:tcBorders>
                    <w:tl2br w:val="nil"/>
                    <w:tr2bl w:val="nil"/>
                  </w:tcBorders>
                  <w:shd w:val="clear" w:color="auto" w:fill="auto"/>
                  <w:vAlign w:val="center"/>
                </w:tcPr>
                <w:p w14:paraId="41FC1296">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南厂界外1m东面</w:t>
                  </w:r>
                </w:p>
              </w:tc>
              <w:tc>
                <w:tcPr>
                  <w:tcW w:w="870" w:type="dxa"/>
                  <w:vMerge w:val="restart"/>
                  <w:tcBorders>
                    <w:tl2br w:val="nil"/>
                    <w:tr2bl w:val="nil"/>
                  </w:tcBorders>
                  <w:shd w:val="clear" w:color="auto" w:fill="auto"/>
                  <w:vAlign w:val="center"/>
                </w:tcPr>
                <w:p w14:paraId="5B1D5D64">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N2</w:t>
                  </w:r>
                </w:p>
              </w:tc>
              <w:tc>
                <w:tcPr>
                  <w:tcW w:w="1380" w:type="dxa"/>
                  <w:tcBorders>
                    <w:tl2br w:val="nil"/>
                    <w:tr2bl w:val="nil"/>
                  </w:tcBorders>
                  <w:shd w:val="clear" w:color="auto" w:fill="auto"/>
                  <w:vAlign w:val="center"/>
                </w:tcPr>
                <w:p w14:paraId="244CDD63">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2570D9C9">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278800BC">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57.4</w:t>
                  </w:r>
                </w:p>
              </w:tc>
              <w:tc>
                <w:tcPr>
                  <w:tcW w:w="866" w:type="dxa"/>
                  <w:tcBorders>
                    <w:tl2br w:val="nil"/>
                    <w:tr2bl w:val="nil"/>
                  </w:tcBorders>
                  <w:shd w:val="clear" w:color="auto" w:fill="auto"/>
                  <w:vAlign w:val="center"/>
                </w:tcPr>
                <w:p w14:paraId="7381BDCA">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65</w:t>
                  </w:r>
                </w:p>
              </w:tc>
            </w:tr>
            <w:tr w14:paraId="6A7D950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06" w:hRule="atLeast"/>
              </w:trPr>
              <w:tc>
                <w:tcPr>
                  <w:tcW w:w="628" w:type="dxa"/>
                  <w:vMerge w:val="continue"/>
                  <w:tcBorders>
                    <w:tl2br w:val="nil"/>
                    <w:tr2bl w:val="nil"/>
                  </w:tcBorders>
                  <w:vAlign w:val="center"/>
                </w:tcPr>
                <w:p w14:paraId="4261BCB4">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66A07E2B">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7C08A8B5">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shd w:val="clear" w:color="auto" w:fill="auto"/>
                  <w:vAlign w:val="center"/>
                </w:tcPr>
                <w:p w14:paraId="0E844182">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4F46E653">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4D01D714">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44.6</w:t>
                  </w:r>
                </w:p>
              </w:tc>
              <w:tc>
                <w:tcPr>
                  <w:tcW w:w="866" w:type="dxa"/>
                  <w:tcBorders>
                    <w:tl2br w:val="nil"/>
                    <w:tr2bl w:val="nil"/>
                  </w:tcBorders>
                  <w:shd w:val="clear" w:color="auto" w:fill="auto"/>
                  <w:vAlign w:val="center"/>
                </w:tcPr>
                <w:p w14:paraId="18AC0427">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r w14:paraId="72EF1E8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13" w:hRule="atLeast"/>
              </w:trPr>
              <w:tc>
                <w:tcPr>
                  <w:tcW w:w="628" w:type="dxa"/>
                  <w:vMerge w:val="continue"/>
                  <w:tcBorders>
                    <w:tl2br w:val="nil"/>
                    <w:tr2bl w:val="nil"/>
                  </w:tcBorders>
                  <w:vAlign w:val="center"/>
                </w:tcPr>
                <w:p w14:paraId="400D7AF6">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restart"/>
                  <w:tcBorders>
                    <w:tl2br w:val="nil"/>
                    <w:tr2bl w:val="nil"/>
                  </w:tcBorders>
                  <w:shd w:val="clear" w:color="auto" w:fill="auto"/>
                  <w:vAlign w:val="center"/>
                </w:tcPr>
                <w:p w14:paraId="61F2F52A">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西厂界外1m东面</w:t>
                  </w:r>
                </w:p>
              </w:tc>
              <w:tc>
                <w:tcPr>
                  <w:tcW w:w="870" w:type="dxa"/>
                  <w:vMerge w:val="restart"/>
                  <w:tcBorders>
                    <w:tl2br w:val="nil"/>
                    <w:tr2bl w:val="nil"/>
                  </w:tcBorders>
                  <w:shd w:val="clear" w:color="auto" w:fill="auto"/>
                  <w:vAlign w:val="center"/>
                </w:tcPr>
                <w:p w14:paraId="615BAE90">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N3</w:t>
                  </w:r>
                </w:p>
              </w:tc>
              <w:tc>
                <w:tcPr>
                  <w:tcW w:w="1380" w:type="dxa"/>
                  <w:tcBorders>
                    <w:tl2br w:val="nil"/>
                    <w:tr2bl w:val="nil"/>
                  </w:tcBorders>
                  <w:shd w:val="clear" w:color="auto" w:fill="auto"/>
                  <w:vAlign w:val="center"/>
                </w:tcPr>
                <w:p w14:paraId="59B9DC0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71B22EE1">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6A408D3C">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60.7</w:t>
                  </w:r>
                </w:p>
              </w:tc>
              <w:tc>
                <w:tcPr>
                  <w:tcW w:w="866" w:type="dxa"/>
                  <w:tcBorders>
                    <w:tl2br w:val="nil"/>
                    <w:tr2bl w:val="nil"/>
                  </w:tcBorders>
                  <w:shd w:val="clear" w:color="auto" w:fill="auto"/>
                  <w:vAlign w:val="center"/>
                </w:tcPr>
                <w:p w14:paraId="232906D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65</w:t>
                  </w:r>
                </w:p>
              </w:tc>
            </w:tr>
            <w:tr w14:paraId="7E0A508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21" w:hRule="atLeast"/>
              </w:trPr>
              <w:tc>
                <w:tcPr>
                  <w:tcW w:w="628" w:type="dxa"/>
                  <w:vMerge w:val="continue"/>
                  <w:tcBorders>
                    <w:tl2br w:val="nil"/>
                    <w:tr2bl w:val="nil"/>
                  </w:tcBorders>
                  <w:vAlign w:val="center"/>
                </w:tcPr>
                <w:p w14:paraId="7F47FB93">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7B54220C">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5CD7729E">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shd w:val="clear" w:color="auto" w:fill="auto"/>
                  <w:vAlign w:val="center"/>
                </w:tcPr>
                <w:p w14:paraId="38B76C58">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3FD0146A">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7E577E07">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43.2</w:t>
                  </w:r>
                </w:p>
              </w:tc>
              <w:tc>
                <w:tcPr>
                  <w:tcW w:w="866" w:type="dxa"/>
                  <w:tcBorders>
                    <w:tl2br w:val="nil"/>
                    <w:tr2bl w:val="nil"/>
                  </w:tcBorders>
                  <w:shd w:val="clear" w:color="auto" w:fill="auto"/>
                  <w:vAlign w:val="center"/>
                </w:tcPr>
                <w:p w14:paraId="62D5FC97">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r w14:paraId="5F95418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98" w:hRule="atLeast"/>
              </w:trPr>
              <w:tc>
                <w:tcPr>
                  <w:tcW w:w="628" w:type="dxa"/>
                  <w:vMerge w:val="continue"/>
                  <w:tcBorders>
                    <w:tl2br w:val="nil"/>
                    <w:tr2bl w:val="nil"/>
                  </w:tcBorders>
                  <w:vAlign w:val="center"/>
                </w:tcPr>
                <w:p w14:paraId="3AF215C6">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restart"/>
                  <w:tcBorders>
                    <w:tl2br w:val="nil"/>
                    <w:tr2bl w:val="nil"/>
                  </w:tcBorders>
                  <w:shd w:val="clear" w:color="auto" w:fill="auto"/>
                  <w:vAlign w:val="center"/>
                </w:tcPr>
                <w:p w14:paraId="2D24A829">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北厂界外1m东面</w:t>
                  </w:r>
                </w:p>
              </w:tc>
              <w:tc>
                <w:tcPr>
                  <w:tcW w:w="870" w:type="dxa"/>
                  <w:vMerge w:val="restart"/>
                  <w:tcBorders>
                    <w:tl2br w:val="nil"/>
                    <w:tr2bl w:val="nil"/>
                  </w:tcBorders>
                  <w:shd w:val="clear" w:color="auto" w:fill="auto"/>
                  <w:vAlign w:val="center"/>
                </w:tcPr>
                <w:p w14:paraId="7F039B60">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Times New Roman"/>
                      <w:color w:val="auto"/>
                      <w:kern w:val="0"/>
                      <w:sz w:val="21"/>
                      <w:szCs w:val="21"/>
                      <w:lang w:val="en-US" w:eastAsia="zh-CN" w:bidi="ar-SA"/>
                    </w:rPr>
                  </w:pPr>
                  <w:r>
                    <w:rPr>
                      <w:rFonts w:hint="eastAsia" w:eastAsia="宋体"/>
                      <w:color w:val="auto"/>
                      <w:sz w:val="21"/>
                      <w:szCs w:val="21"/>
                      <w:lang w:val="en-US" w:eastAsia="zh-CN"/>
                    </w:rPr>
                    <w:t>N4</w:t>
                  </w:r>
                </w:p>
              </w:tc>
              <w:tc>
                <w:tcPr>
                  <w:tcW w:w="1380" w:type="dxa"/>
                  <w:tcBorders>
                    <w:tl2br w:val="nil"/>
                    <w:tr2bl w:val="nil"/>
                  </w:tcBorders>
                  <w:shd w:val="clear" w:color="auto" w:fill="auto"/>
                  <w:vAlign w:val="center"/>
                </w:tcPr>
                <w:p w14:paraId="0F8B7C14">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2300555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昼间</w:t>
                  </w:r>
                </w:p>
              </w:tc>
              <w:tc>
                <w:tcPr>
                  <w:tcW w:w="1125" w:type="dxa"/>
                  <w:tcBorders>
                    <w:tl2br w:val="nil"/>
                    <w:tr2bl w:val="nil"/>
                  </w:tcBorders>
                  <w:vAlign w:val="center"/>
                </w:tcPr>
                <w:p w14:paraId="432A47DB">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59.2</w:t>
                  </w:r>
                </w:p>
              </w:tc>
              <w:tc>
                <w:tcPr>
                  <w:tcW w:w="866" w:type="dxa"/>
                  <w:tcBorders>
                    <w:tl2br w:val="nil"/>
                    <w:tr2bl w:val="nil"/>
                  </w:tcBorders>
                  <w:shd w:val="clear" w:color="auto" w:fill="auto"/>
                  <w:vAlign w:val="center"/>
                </w:tcPr>
                <w:p w14:paraId="0E2A3AE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65</w:t>
                  </w:r>
                </w:p>
              </w:tc>
            </w:tr>
            <w:tr w14:paraId="7E4C683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66" w:hRule="atLeast"/>
              </w:trPr>
              <w:tc>
                <w:tcPr>
                  <w:tcW w:w="628" w:type="dxa"/>
                  <w:vMerge w:val="continue"/>
                  <w:tcBorders>
                    <w:tl2br w:val="nil"/>
                    <w:tr2bl w:val="nil"/>
                  </w:tcBorders>
                  <w:vAlign w:val="center"/>
                </w:tcPr>
                <w:p w14:paraId="13D70CC0">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p>
              </w:tc>
              <w:tc>
                <w:tcPr>
                  <w:tcW w:w="1830" w:type="dxa"/>
                  <w:vMerge w:val="continue"/>
                  <w:tcBorders>
                    <w:tl2br w:val="nil"/>
                    <w:tr2bl w:val="nil"/>
                  </w:tcBorders>
                  <w:shd w:val="clear" w:color="auto" w:fill="auto"/>
                  <w:vAlign w:val="center"/>
                </w:tcPr>
                <w:p w14:paraId="4A140682">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870" w:type="dxa"/>
                  <w:vMerge w:val="continue"/>
                  <w:tcBorders>
                    <w:tl2br w:val="nil"/>
                    <w:tr2bl w:val="nil"/>
                  </w:tcBorders>
                  <w:shd w:val="clear" w:color="auto" w:fill="auto"/>
                  <w:vAlign w:val="center"/>
                </w:tcPr>
                <w:p w14:paraId="771529B8">
                  <w:pPr>
                    <w:pStyle w:val="46"/>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eastAsia="宋体"/>
                      <w:color w:val="auto"/>
                      <w:sz w:val="21"/>
                      <w:szCs w:val="21"/>
                      <w:lang w:val="en-US" w:eastAsia="zh-CN"/>
                    </w:rPr>
                  </w:pPr>
                </w:p>
              </w:tc>
              <w:tc>
                <w:tcPr>
                  <w:tcW w:w="1380" w:type="dxa"/>
                  <w:tcBorders>
                    <w:tl2br w:val="nil"/>
                    <w:tr2bl w:val="nil"/>
                  </w:tcBorders>
                  <w:shd w:val="clear" w:color="auto" w:fill="auto"/>
                  <w:vAlign w:val="center"/>
                </w:tcPr>
                <w:p w14:paraId="2A76DBAF">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生产噪声</w:t>
                  </w:r>
                </w:p>
              </w:tc>
              <w:tc>
                <w:tcPr>
                  <w:tcW w:w="825" w:type="dxa"/>
                  <w:tcBorders>
                    <w:tl2br w:val="nil"/>
                    <w:tr2bl w:val="nil"/>
                  </w:tcBorders>
                  <w:shd w:val="clear" w:color="auto" w:fill="auto"/>
                  <w:vAlign w:val="center"/>
                </w:tcPr>
                <w:p w14:paraId="1E0CE307">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Times New Roman" w:cs="Times New Roman"/>
                      <w:color w:val="auto"/>
                      <w:kern w:val="0"/>
                      <w:sz w:val="21"/>
                      <w:szCs w:val="21"/>
                      <w:vertAlign w:val="baseline"/>
                      <w:lang w:val="en-US" w:eastAsia="zh-CN" w:bidi="ar-SA"/>
                    </w:rPr>
                  </w:pPr>
                  <w:r>
                    <w:rPr>
                      <w:rFonts w:hint="eastAsia"/>
                      <w:color w:val="auto"/>
                      <w:sz w:val="21"/>
                      <w:szCs w:val="21"/>
                      <w:vertAlign w:val="baseline"/>
                      <w:lang w:val="en-US" w:eastAsia="zh-CN"/>
                    </w:rPr>
                    <w:t>夜间</w:t>
                  </w:r>
                </w:p>
              </w:tc>
              <w:tc>
                <w:tcPr>
                  <w:tcW w:w="1125" w:type="dxa"/>
                  <w:tcBorders>
                    <w:tl2br w:val="nil"/>
                    <w:tr2bl w:val="nil"/>
                  </w:tcBorders>
                  <w:vAlign w:val="center"/>
                </w:tcPr>
                <w:p w14:paraId="39E691CE">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46.6</w:t>
                  </w:r>
                </w:p>
              </w:tc>
              <w:tc>
                <w:tcPr>
                  <w:tcW w:w="866" w:type="dxa"/>
                  <w:tcBorders>
                    <w:tl2br w:val="nil"/>
                    <w:tr2bl w:val="nil"/>
                  </w:tcBorders>
                  <w:shd w:val="clear" w:color="auto" w:fill="auto"/>
                  <w:vAlign w:val="center"/>
                </w:tcPr>
                <w:p w14:paraId="02BA7135">
                  <w:pPr>
                    <w:pStyle w:val="13"/>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55</w:t>
                  </w:r>
                </w:p>
              </w:tc>
            </w:tr>
          </w:tbl>
          <w:p w14:paraId="32E1C566">
            <w:pPr>
              <w:spacing w:beforeLines="0" w:afterLines="0" w:line="360" w:lineRule="auto"/>
              <w:ind w:left="105" w:leftChars="50" w:firstLine="496" w:firstLineChars="200"/>
              <w:rPr>
                <w:rFonts w:hint="eastAsia" w:ascii="宋体" w:eastAsia="宋体"/>
                <w:color w:val="auto"/>
                <w:sz w:val="21"/>
                <w:szCs w:val="24"/>
              </w:rPr>
            </w:pPr>
            <w:r>
              <w:rPr>
                <w:rFonts w:hint="eastAsia" w:ascii="宋体" w:eastAsia="宋体"/>
                <w:color w:val="auto"/>
                <w:spacing w:val="4"/>
                <w:kern w:val="18"/>
                <w:sz w:val="24"/>
                <w:szCs w:val="24"/>
              </w:rPr>
              <w:t>验收监测期间，项目厂界昼间噪声值最大为 61.4dB（A），夜间噪声值最大为47.4dB（A），均满足《工业企业厂界环境噪声排放标准》（GB12348-2008）中</w:t>
            </w:r>
            <w:r>
              <w:rPr>
                <w:rFonts w:hint="eastAsia" w:ascii="宋体" w:eastAsia="宋体"/>
                <w:color w:val="auto"/>
                <w:spacing w:val="4"/>
                <w:kern w:val="18"/>
                <w:sz w:val="24"/>
                <w:szCs w:val="24"/>
                <w:lang w:val="en-US" w:eastAsia="zh-CN"/>
              </w:rPr>
              <w:t>3</w:t>
            </w:r>
            <w:r>
              <w:rPr>
                <w:rFonts w:hint="eastAsia" w:ascii="宋体" w:eastAsia="宋体"/>
                <w:color w:val="auto"/>
                <w:spacing w:val="4"/>
                <w:kern w:val="18"/>
                <w:sz w:val="24"/>
                <w:szCs w:val="24"/>
              </w:rPr>
              <w:t>类标准限值要求（昼间 65dB(A)、夜间 55dB(A)）。</w:t>
            </w:r>
          </w:p>
          <w:p w14:paraId="26AE0A1B">
            <w:pPr>
              <w:pStyle w:val="46"/>
              <w:numPr>
                <w:ilvl w:val="0"/>
                <w:numId w:val="9"/>
              </w:numPr>
              <w:spacing w:beforeLines="0" w:afterLines="0"/>
              <w:ind w:firstLine="482"/>
              <w:jc w:val="both"/>
              <w:rPr>
                <w:rFonts w:hint="eastAsia"/>
                <w:b/>
                <w:color w:val="auto"/>
                <w:sz w:val="24"/>
                <w:szCs w:val="24"/>
              </w:rPr>
            </w:pPr>
            <w:r>
              <w:rPr>
                <w:rFonts w:hint="eastAsia"/>
                <w:b/>
                <w:color w:val="auto"/>
                <w:sz w:val="24"/>
                <w:szCs w:val="24"/>
              </w:rPr>
              <w:t>现有项目污染物排放情况汇总</w:t>
            </w:r>
          </w:p>
          <w:p w14:paraId="20C09075">
            <w:pPr>
              <w:pStyle w:val="46"/>
              <w:numPr>
                <w:ilvl w:val="0"/>
                <w:numId w:val="0"/>
              </w:numPr>
              <w:spacing w:beforeLines="0" w:afterLines="0"/>
              <w:ind w:firstLine="496"/>
              <w:jc w:val="both"/>
              <w:rPr>
                <w:rFonts w:hint="eastAsia"/>
                <w:color w:val="auto"/>
                <w:sz w:val="24"/>
                <w:szCs w:val="20"/>
              </w:rPr>
            </w:pPr>
            <w:r>
              <w:rPr>
                <w:rFonts w:hint="eastAsia"/>
                <w:color w:val="auto"/>
                <w:spacing w:val="4"/>
                <w:kern w:val="18"/>
                <w:sz w:val="24"/>
                <w:szCs w:val="20"/>
              </w:rPr>
              <w:t>根据业主单位提供的资料、原环评报告、环评批复文件、竣工环境保护验收监测报告表等文件，</w:t>
            </w:r>
            <w:r>
              <w:rPr>
                <w:rFonts w:hint="eastAsia"/>
                <w:color w:val="auto"/>
                <w:sz w:val="24"/>
                <w:szCs w:val="20"/>
              </w:rPr>
              <w:t>现有项目</w:t>
            </w:r>
            <w:r>
              <w:rPr>
                <w:rFonts w:hint="eastAsia" w:eastAsia="宋体"/>
                <w:color w:val="auto"/>
                <w:sz w:val="24"/>
                <w:szCs w:val="20"/>
                <w:lang w:eastAsia="zh-CN"/>
              </w:rPr>
              <w:t>（</w:t>
            </w:r>
            <w:r>
              <w:rPr>
                <w:rFonts w:hint="eastAsia" w:eastAsia="宋体"/>
                <w:color w:val="auto"/>
                <w:sz w:val="24"/>
                <w:szCs w:val="20"/>
                <w:lang w:val="en-US" w:eastAsia="zh-CN"/>
              </w:rPr>
              <w:t>一期）</w:t>
            </w:r>
            <w:r>
              <w:rPr>
                <w:rFonts w:hint="eastAsia"/>
                <w:color w:val="auto"/>
                <w:sz w:val="24"/>
                <w:szCs w:val="20"/>
              </w:rPr>
              <w:t>主要污染物产排情况及处理措施详见下表；</w:t>
            </w:r>
          </w:p>
          <w:p w14:paraId="1C9C18D1">
            <w:pPr>
              <w:pStyle w:val="56"/>
              <w:spacing w:beforeLines="0"/>
              <w:rPr>
                <w:rFonts w:hint="default" w:ascii="宋体" w:eastAsia="宋体"/>
                <w:color w:val="auto"/>
                <w:sz w:val="21"/>
                <w:szCs w:val="20"/>
              </w:rPr>
            </w:pPr>
            <w:r>
              <w:rPr>
                <w:rFonts w:hint="default" w:ascii="宋体" w:eastAsia="宋体"/>
                <w:color w:val="auto"/>
                <w:sz w:val="21"/>
                <w:szCs w:val="20"/>
              </w:rPr>
              <w:t>表 2-</w:t>
            </w:r>
            <w:r>
              <w:rPr>
                <w:rFonts w:hint="eastAsia" w:ascii="宋体" w:eastAsia="宋体"/>
                <w:color w:val="auto"/>
                <w:sz w:val="21"/>
                <w:szCs w:val="20"/>
                <w:lang w:val="en-US" w:eastAsia="zh-CN"/>
              </w:rPr>
              <w:t>20</w:t>
            </w:r>
            <w:r>
              <w:rPr>
                <w:rFonts w:hint="default" w:ascii="宋体" w:eastAsia="宋体"/>
                <w:color w:val="auto"/>
                <w:sz w:val="21"/>
                <w:szCs w:val="20"/>
              </w:rPr>
              <w:t xml:space="preserve">  </w:t>
            </w:r>
            <w:r>
              <w:rPr>
                <w:rFonts w:hint="default" w:ascii="宋体" w:eastAsia="宋体"/>
                <w:color w:val="auto"/>
                <w:sz w:val="21"/>
                <w:szCs w:val="21"/>
              </w:rPr>
              <w:t>现有工程污染物排放情况调查一览表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351"/>
              <w:gridCol w:w="1170"/>
              <w:gridCol w:w="1197"/>
              <w:gridCol w:w="1289"/>
              <w:gridCol w:w="1368"/>
              <w:gridCol w:w="2149"/>
            </w:tblGrid>
            <w:tr w14:paraId="3743DB6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75" w:hRule="atLeast"/>
                <w:jc w:val="center"/>
              </w:trPr>
              <w:tc>
                <w:tcPr>
                  <w:tcW w:w="1521" w:type="dxa"/>
                  <w:gridSpan w:val="2"/>
                  <w:tcBorders>
                    <w:tl2br w:val="nil"/>
                    <w:tr2bl w:val="nil"/>
                  </w:tcBorders>
                  <w:noWrap w:val="0"/>
                  <w:vAlign w:val="center"/>
                </w:tcPr>
                <w:p w14:paraId="03AC9DFB">
                  <w:pPr>
                    <w:keepNext w:val="0"/>
                    <w:keepLines w:val="0"/>
                    <w:pageBreakBefore w:val="0"/>
                    <w:kinsoku/>
                    <w:wordWrap/>
                    <w:overflowPunct/>
                    <w:topLinePunct w:val="0"/>
                    <w:bidi w:val="0"/>
                    <w:adjustRightInd w:val="0"/>
                    <w:snapToGrid w:val="0"/>
                    <w:spacing w:line="240" w:lineRule="auto"/>
                    <w:jc w:val="center"/>
                    <w:textAlignment w:val="auto"/>
                    <w:rPr>
                      <w:rFonts w:hint="eastAsia"/>
                      <w:b/>
                      <w:color w:val="auto"/>
                      <w:sz w:val="21"/>
                      <w:szCs w:val="21"/>
                    </w:rPr>
                  </w:pPr>
                  <w:r>
                    <w:rPr>
                      <w:rFonts w:hint="default" w:ascii="宋体" w:eastAsia="宋体"/>
                      <w:b/>
                      <w:color w:val="auto"/>
                      <w:sz w:val="21"/>
                      <w:szCs w:val="21"/>
                    </w:rPr>
                    <w:t>污染源</w:t>
                  </w:r>
                </w:p>
              </w:tc>
              <w:tc>
                <w:tcPr>
                  <w:tcW w:w="1197" w:type="dxa"/>
                  <w:tcBorders>
                    <w:tl2br w:val="nil"/>
                    <w:tr2bl w:val="nil"/>
                  </w:tcBorders>
                  <w:noWrap w:val="0"/>
                  <w:vAlign w:val="center"/>
                </w:tcPr>
                <w:p w14:paraId="1DC53F52">
                  <w:pPr>
                    <w:keepNext w:val="0"/>
                    <w:keepLines w:val="0"/>
                    <w:pageBreakBefore w:val="0"/>
                    <w:kinsoku/>
                    <w:wordWrap/>
                    <w:overflowPunct/>
                    <w:topLinePunct w:val="0"/>
                    <w:bidi w:val="0"/>
                    <w:adjustRightInd w:val="0"/>
                    <w:snapToGrid w:val="0"/>
                    <w:spacing w:line="240" w:lineRule="auto"/>
                    <w:jc w:val="center"/>
                    <w:textAlignment w:val="auto"/>
                    <w:rPr>
                      <w:rFonts w:hint="eastAsia"/>
                      <w:b/>
                      <w:color w:val="auto"/>
                      <w:sz w:val="21"/>
                      <w:szCs w:val="21"/>
                    </w:rPr>
                  </w:pPr>
                  <w:r>
                    <w:rPr>
                      <w:rFonts w:hint="default" w:ascii="宋体" w:eastAsia="宋体"/>
                      <w:b/>
                      <w:color w:val="auto"/>
                      <w:sz w:val="21"/>
                      <w:szCs w:val="21"/>
                    </w:rPr>
                    <w:t>主要污染物</w:t>
                  </w:r>
                </w:p>
              </w:tc>
              <w:tc>
                <w:tcPr>
                  <w:tcW w:w="1289" w:type="dxa"/>
                  <w:tcBorders>
                    <w:tl2br w:val="nil"/>
                    <w:tr2bl w:val="nil"/>
                  </w:tcBorders>
                  <w:noWrap w:val="0"/>
                  <w:vAlign w:val="center"/>
                </w:tcPr>
                <w:p w14:paraId="3E09452C">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b/>
                      <w:color w:val="auto"/>
                      <w:sz w:val="21"/>
                      <w:szCs w:val="21"/>
                    </w:rPr>
                  </w:pPr>
                  <w:r>
                    <w:rPr>
                      <w:rFonts w:hint="default" w:ascii="宋体" w:eastAsia="宋体"/>
                      <w:b/>
                      <w:color w:val="auto"/>
                      <w:sz w:val="21"/>
                      <w:szCs w:val="21"/>
                    </w:rPr>
                    <w:t>产生量（</w:t>
                  </w:r>
                  <w:r>
                    <w:rPr>
                      <w:rFonts w:hint="eastAsia"/>
                      <w:color w:val="auto"/>
                      <w:sz w:val="21"/>
                      <w:szCs w:val="21"/>
                    </w:rPr>
                    <w:t>t/a</w:t>
                  </w:r>
                  <w:r>
                    <w:rPr>
                      <w:rFonts w:hint="default" w:ascii="宋体" w:eastAsia="宋体"/>
                      <w:b/>
                      <w:color w:val="auto"/>
                      <w:sz w:val="21"/>
                      <w:szCs w:val="21"/>
                    </w:rPr>
                    <w:t>）</w:t>
                  </w:r>
                </w:p>
              </w:tc>
              <w:tc>
                <w:tcPr>
                  <w:tcW w:w="1368" w:type="dxa"/>
                  <w:tcBorders>
                    <w:tl2br w:val="nil"/>
                    <w:tr2bl w:val="nil"/>
                  </w:tcBorders>
                  <w:noWrap w:val="0"/>
                  <w:vAlign w:val="center"/>
                </w:tcPr>
                <w:p w14:paraId="22251C22">
                  <w:pPr>
                    <w:keepNext w:val="0"/>
                    <w:keepLines w:val="0"/>
                    <w:pageBreakBefore w:val="0"/>
                    <w:kinsoku/>
                    <w:wordWrap/>
                    <w:overflowPunct/>
                    <w:topLinePunct w:val="0"/>
                    <w:bidi w:val="0"/>
                    <w:adjustRightInd w:val="0"/>
                    <w:snapToGrid w:val="0"/>
                    <w:spacing w:line="240" w:lineRule="auto"/>
                    <w:jc w:val="center"/>
                    <w:textAlignment w:val="auto"/>
                    <w:rPr>
                      <w:rFonts w:hint="eastAsia"/>
                      <w:b/>
                      <w:color w:val="auto"/>
                      <w:sz w:val="21"/>
                      <w:szCs w:val="21"/>
                    </w:rPr>
                  </w:pPr>
                  <w:r>
                    <w:rPr>
                      <w:rFonts w:hint="default" w:ascii="宋体" w:eastAsia="宋体"/>
                      <w:b/>
                      <w:color w:val="auto"/>
                      <w:sz w:val="21"/>
                      <w:szCs w:val="21"/>
                    </w:rPr>
                    <w:t>排放量（</w:t>
                  </w:r>
                  <w:r>
                    <w:rPr>
                      <w:rFonts w:hint="eastAsia"/>
                      <w:color w:val="auto"/>
                      <w:sz w:val="21"/>
                      <w:szCs w:val="21"/>
                    </w:rPr>
                    <w:t>t/a</w:t>
                  </w:r>
                  <w:r>
                    <w:rPr>
                      <w:rFonts w:hint="default" w:ascii="宋体" w:eastAsia="宋体"/>
                      <w:b/>
                      <w:color w:val="auto"/>
                      <w:sz w:val="21"/>
                      <w:szCs w:val="21"/>
                    </w:rPr>
                    <w:t>）</w:t>
                  </w:r>
                </w:p>
              </w:tc>
              <w:tc>
                <w:tcPr>
                  <w:tcW w:w="2149" w:type="dxa"/>
                  <w:tcBorders>
                    <w:tl2br w:val="nil"/>
                    <w:tr2bl w:val="nil"/>
                  </w:tcBorders>
                  <w:noWrap w:val="0"/>
                  <w:vAlign w:val="center"/>
                </w:tcPr>
                <w:p w14:paraId="10E8D2E4">
                  <w:pPr>
                    <w:keepNext w:val="0"/>
                    <w:keepLines w:val="0"/>
                    <w:pageBreakBefore w:val="0"/>
                    <w:kinsoku/>
                    <w:wordWrap/>
                    <w:overflowPunct/>
                    <w:topLinePunct w:val="0"/>
                    <w:bidi w:val="0"/>
                    <w:adjustRightInd w:val="0"/>
                    <w:snapToGrid w:val="0"/>
                    <w:spacing w:line="240" w:lineRule="auto"/>
                    <w:jc w:val="center"/>
                    <w:textAlignment w:val="auto"/>
                    <w:rPr>
                      <w:rFonts w:hint="eastAsia"/>
                      <w:b/>
                      <w:color w:val="auto"/>
                      <w:sz w:val="21"/>
                      <w:szCs w:val="21"/>
                    </w:rPr>
                  </w:pPr>
                  <w:r>
                    <w:rPr>
                      <w:rFonts w:hint="default" w:ascii="宋体" w:eastAsia="宋体"/>
                      <w:b/>
                      <w:color w:val="auto"/>
                      <w:sz w:val="21"/>
                      <w:szCs w:val="21"/>
                    </w:rPr>
                    <w:t>处理措施及去向</w:t>
                  </w:r>
                </w:p>
              </w:tc>
            </w:tr>
            <w:tr w14:paraId="607513D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01" w:hRule="atLeast"/>
                <w:jc w:val="center"/>
              </w:trPr>
              <w:tc>
                <w:tcPr>
                  <w:tcW w:w="351" w:type="dxa"/>
                  <w:vMerge w:val="restart"/>
                  <w:tcBorders>
                    <w:tl2br w:val="nil"/>
                    <w:tr2bl w:val="nil"/>
                  </w:tcBorders>
                  <w:noWrap w:val="0"/>
                  <w:vAlign w:val="center"/>
                </w:tcPr>
                <w:p w14:paraId="407E5127">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r>
                    <w:rPr>
                      <w:rFonts w:hint="default" w:ascii="宋体" w:eastAsia="宋体"/>
                      <w:color w:val="auto"/>
                      <w:sz w:val="21"/>
                      <w:szCs w:val="21"/>
                    </w:rPr>
                    <w:t>废气</w:t>
                  </w:r>
                </w:p>
              </w:tc>
              <w:tc>
                <w:tcPr>
                  <w:tcW w:w="1170" w:type="dxa"/>
                  <w:vMerge w:val="restart"/>
                  <w:tcBorders>
                    <w:tl2br w:val="nil"/>
                    <w:tr2bl w:val="nil"/>
                  </w:tcBorders>
                  <w:noWrap w:val="0"/>
                  <w:vAlign w:val="center"/>
                </w:tcPr>
                <w:p w14:paraId="193CD5EB">
                  <w:pPr>
                    <w:pStyle w:val="19"/>
                    <w:keepNext w:val="0"/>
                    <w:keepLines w:val="0"/>
                    <w:pageBreakBefore w:val="0"/>
                    <w:tabs>
                      <w:tab w:val="left" w:pos="1110"/>
                    </w:tabs>
                    <w:kinsoku/>
                    <w:wordWrap/>
                    <w:overflowPunct/>
                    <w:topLinePunct w:val="0"/>
                    <w:bidi w:val="0"/>
                    <w:spacing w:line="240" w:lineRule="auto"/>
                    <w:jc w:val="center"/>
                    <w:textAlignment w:val="auto"/>
                    <w:rPr>
                      <w:rFonts w:hint="default" w:ascii="宋体" w:eastAsia="宋体"/>
                      <w:color w:val="auto"/>
                      <w:sz w:val="21"/>
                      <w:szCs w:val="21"/>
                      <w:lang w:val="en-US" w:eastAsia="zh-CN"/>
                    </w:rPr>
                  </w:pPr>
                  <w:r>
                    <w:rPr>
                      <w:rFonts w:hint="eastAsia" w:ascii="宋体" w:eastAsia="宋体"/>
                      <w:color w:val="auto"/>
                      <w:sz w:val="21"/>
                      <w:szCs w:val="21"/>
                      <w:lang w:val="en-US" w:eastAsia="zh-CN"/>
                    </w:rPr>
                    <w:t>造粒熔融废气</w:t>
                  </w:r>
                </w:p>
              </w:tc>
              <w:tc>
                <w:tcPr>
                  <w:tcW w:w="1197" w:type="dxa"/>
                  <w:tcBorders>
                    <w:tl2br w:val="nil"/>
                    <w:tr2bl w:val="nil"/>
                  </w:tcBorders>
                  <w:noWrap w:val="0"/>
                  <w:vAlign w:val="center"/>
                </w:tcPr>
                <w:p w14:paraId="2E8EDF9E">
                  <w:pPr>
                    <w:keepNext w:val="0"/>
                    <w:keepLines w:val="0"/>
                    <w:pageBreakBefore w:val="0"/>
                    <w:kinsoku/>
                    <w:wordWrap/>
                    <w:overflowPunct/>
                    <w:topLinePunct w:val="0"/>
                    <w:bidi w:val="0"/>
                    <w:adjustRightInd w:val="0"/>
                    <w:snapToGrid w:val="0"/>
                    <w:spacing w:line="240" w:lineRule="auto"/>
                    <w:jc w:val="center"/>
                    <w:textAlignment w:val="auto"/>
                    <w:rPr>
                      <w:rFonts w:hint="eastAsia" w:hAnsi="宋体" w:eastAsia="宋体"/>
                      <w:color w:val="auto"/>
                      <w:sz w:val="21"/>
                      <w:szCs w:val="21"/>
                      <w:lang w:eastAsia="zh-CN"/>
                    </w:rPr>
                  </w:pPr>
                  <w:r>
                    <w:rPr>
                      <w:rFonts w:hint="eastAsia" w:ascii="宋体" w:hAnsi="宋体" w:eastAsia="宋体"/>
                      <w:color w:val="auto"/>
                      <w:sz w:val="21"/>
                      <w:szCs w:val="21"/>
                      <w:lang w:val="en-US" w:eastAsia="zh-CN"/>
                    </w:rPr>
                    <w:t>颗粒物</w:t>
                  </w:r>
                </w:p>
                <w:p w14:paraId="15A03015">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r>
                    <w:rPr>
                      <w:rFonts w:hint="default" w:ascii="宋体" w:hAnsi="宋体" w:eastAsia="宋体"/>
                      <w:color w:val="auto"/>
                      <w:sz w:val="21"/>
                      <w:szCs w:val="21"/>
                    </w:rPr>
                    <w:t>（有组织）</w:t>
                  </w:r>
                </w:p>
              </w:tc>
              <w:tc>
                <w:tcPr>
                  <w:tcW w:w="1289" w:type="dxa"/>
                  <w:tcBorders>
                    <w:tl2br w:val="nil"/>
                    <w:tr2bl w:val="nil"/>
                  </w:tcBorders>
                  <w:noWrap w:val="0"/>
                  <w:vAlign w:val="center"/>
                </w:tcPr>
                <w:p w14:paraId="4B13905F">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21.38</w:t>
                  </w:r>
                  <w:r>
                    <w:rPr>
                      <w:rFonts w:hint="eastAsia"/>
                      <w:color w:val="auto"/>
                      <w:sz w:val="21"/>
                      <w:szCs w:val="21"/>
                    </w:rPr>
                    <w:t>/</w:t>
                  </w:r>
                  <w:r>
                    <w:rPr>
                      <w:rFonts w:hint="default" w:ascii="宋体" w:eastAsia="宋体"/>
                      <w:color w:val="auto"/>
                      <w:sz w:val="21"/>
                      <w:szCs w:val="21"/>
                    </w:rPr>
                    <w:t>m</w:t>
                  </w:r>
                  <w:r>
                    <w:rPr>
                      <w:rFonts w:hint="default" w:ascii="宋体" w:eastAsia="宋体"/>
                      <w:color w:val="auto"/>
                      <w:sz w:val="21"/>
                      <w:szCs w:val="21"/>
                      <w:vertAlign w:val="superscript"/>
                    </w:rPr>
                    <w:t>3</w:t>
                  </w:r>
                </w:p>
                <w:p w14:paraId="75FAA4B5">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kern w:val="0"/>
                      <w:sz w:val="21"/>
                      <w:szCs w:val="21"/>
                      <w:lang w:val="zh-TW" w:eastAsia="zh-TW"/>
                    </w:rPr>
                  </w:pPr>
                  <w:r>
                    <w:rPr>
                      <w:rFonts w:hint="eastAsia" w:eastAsia="宋体"/>
                      <w:color w:val="auto"/>
                      <w:sz w:val="21"/>
                      <w:szCs w:val="21"/>
                      <w:lang w:val="en-US" w:eastAsia="zh-CN"/>
                    </w:rPr>
                    <w:t>2.052</w:t>
                  </w:r>
                  <w:r>
                    <w:rPr>
                      <w:rFonts w:hint="eastAsia"/>
                      <w:color w:val="auto"/>
                      <w:sz w:val="21"/>
                      <w:szCs w:val="21"/>
                    </w:rPr>
                    <w:t>t/a</w:t>
                  </w:r>
                </w:p>
              </w:tc>
              <w:tc>
                <w:tcPr>
                  <w:tcW w:w="1368" w:type="dxa"/>
                  <w:tcBorders>
                    <w:tl2br w:val="nil"/>
                    <w:tr2bl w:val="nil"/>
                  </w:tcBorders>
                  <w:noWrap w:val="0"/>
                  <w:vAlign w:val="center"/>
                </w:tcPr>
                <w:p w14:paraId="21AD3C11">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2.14</w:t>
                  </w:r>
                  <w:r>
                    <w:rPr>
                      <w:rFonts w:hint="default" w:ascii="宋体" w:eastAsia="宋体"/>
                      <w:color w:val="auto"/>
                      <w:sz w:val="21"/>
                      <w:szCs w:val="21"/>
                    </w:rPr>
                    <w:t>m</w:t>
                  </w:r>
                  <w:r>
                    <w:rPr>
                      <w:rFonts w:hint="eastAsia"/>
                      <w:color w:val="auto"/>
                      <w:sz w:val="21"/>
                      <w:szCs w:val="21"/>
                    </w:rPr>
                    <w:t>g/</w:t>
                  </w:r>
                  <w:r>
                    <w:rPr>
                      <w:rFonts w:hint="default" w:ascii="宋体" w:eastAsia="宋体"/>
                      <w:color w:val="auto"/>
                      <w:sz w:val="21"/>
                      <w:szCs w:val="21"/>
                    </w:rPr>
                    <w:t>m</w:t>
                  </w:r>
                  <w:r>
                    <w:rPr>
                      <w:rFonts w:hint="default" w:ascii="宋体" w:eastAsia="宋体"/>
                      <w:color w:val="auto"/>
                      <w:sz w:val="21"/>
                      <w:szCs w:val="21"/>
                      <w:vertAlign w:val="superscript"/>
                    </w:rPr>
                    <w:t>3</w:t>
                  </w:r>
                </w:p>
                <w:p w14:paraId="48F224C7">
                  <w:pPr>
                    <w:pStyle w:val="19"/>
                    <w:keepNext w:val="0"/>
                    <w:keepLines w:val="0"/>
                    <w:pageBreakBefore w:val="0"/>
                    <w:tabs>
                      <w:tab w:val="left" w:pos="1110"/>
                    </w:tabs>
                    <w:kinsoku/>
                    <w:wordWrap/>
                    <w:overflowPunct/>
                    <w:topLinePunct w:val="0"/>
                    <w:bidi w:val="0"/>
                    <w:spacing w:line="240" w:lineRule="auto"/>
                    <w:jc w:val="center"/>
                    <w:textAlignment w:val="auto"/>
                    <w:rPr>
                      <w:rFonts w:hint="default" w:ascii="宋体" w:eastAsia="宋体"/>
                      <w:color w:val="auto"/>
                      <w:kern w:val="0"/>
                      <w:sz w:val="21"/>
                      <w:szCs w:val="21"/>
                      <w:lang w:val="zh-TW" w:eastAsia="zh-TW"/>
                    </w:rPr>
                  </w:pPr>
                  <w:r>
                    <w:rPr>
                      <w:rFonts w:hint="eastAsia" w:ascii="宋体" w:eastAsia="宋体"/>
                      <w:color w:val="auto"/>
                      <w:sz w:val="21"/>
                      <w:szCs w:val="21"/>
                      <w:lang w:val="en-US" w:eastAsia="zh-CN"/>
                    </w:rPr>
                    <w:t>0.205</w:t>
                  </w:r>
                  <w:r>
                    <w:rPr>
                      <w:rFonts w:hint="eastAsia"/>
                      <w:color w:val="auto"/>
                      <w:sz w:val="21"/>
                      <w:szCs w:val="21"/>
                    </w:rPr>
                    <w:t>t/a</w:t>
                  </w:r>
                </w:p>
              </w:tc>
              <w:tc>
                <w:tcPr>
                  <w:tcW w:w="2149" w:type="dxa"/>
                  <w:vMerge w:val="restart"/>
                  <w:tcBorders>
                    <w:tl2br w:val="nil"/>
                    <w:tr2bl w:val="nil"/>
                  </w:tcBorders>
                  <w:noWrap w:val="0"/>
                  <w:vAlign w:val="center"/>
                </w:tcPr>
                <w:p w14:paraId="63B878EA">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熔融废气经集气罩收集后，经水浴除尘+高效静电+UV 光解+活性炭吸附装置进行处理后经 15 米高排气筒（1#）排放；无组织</w:t>
                  </w:r>
                  <w:r>
                    <w:rPr>
                      <w:rFonts w:hint="eastAsia" w:ascii="宋体" w:eastAsia="宋体"/>
                      <w:color w:val="auto"/>
                      <w:sz w:val="21"/>
                      <w:szCs w:val="21"/>
                      <w:lang w:val="en-US" w:eastAsia="zh-CN"/>
                    </w:rPr>
                    <w:t>废气</w:t>
                  </w:r>
                  <w:r>
                    <w:rPr>
                      <w:rFonts w:hint="default" w:ascii="宋体" w:eastAsia="宋体"/>
                      <w:color w:val="auto"/>
                      <w:sz w:val="21"/>
                      <w:szCs w:val="21"/>
                    </w:rPr>
                    <w:t>通过加强车间通风换气，以减少对周边环境影响</w:t>
                  </w:r>
                </w:p>
              </w:tc>
            </w:tr>
            <w:tr w14:paraId="5DB8ECD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5" w:hRule="atLeast"/>
                <w:jc w:val="center"/>
              </w:trPr>
              <w:tc>
                <w:tcPr>
                  <w:tcW w:w="351" w:type="dxa"/>
                  <w:vMerge w:val="continue"/>
                  <w:tcBorders>
                    <w:tl2br w:val="nil"/>
                    <w:tr2bl w:val="nil"/>
                  </w:tcBorders>
                  <w:noWrap w:val="0"/>
                  <w:vAlign w:val="center"/>
                </w:tcPr>
                <w:p w14:paraId="19E8AF9F">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p>
              </w:tc>
              <w:tc>
                <w:tcPr>
                  <w:tcW w:w="1170" w:type="dxa"/>
                  <w:vMerge w:val="continue"/>
                  <w:tcBorders>
                    <w:tl2br w:val="nil"/>
                    <w:tr2bl w:val="nil"/>
                  </w:tcBorders>
                  <w:noWrap w:val="0"/>
                  <w:vAlign w:val="center"/>
                </w:tcPr>
                <w:p w14:paraId="00F247B1">
                  <w:pPr>
                    <w:pStyle w:val="2"/>
                    <w:keepNext w:val="0"/>
                    <w:keepLines w:val="0"/>
                    <w:pageBreakBefore w:val="0"/>
                    <w:kinsoku/>
                    <w:wordWrap/>
                    <w:overflowPunct/>
                    <w:topLinePunct w:val="0"/>
                    <w:bidi w:val="0"/>
                    <w:spacing w:line="240" w:lineRule="auto"/>
                    <w:jc w:val="center"/>
                    <w:textAlignment w:val="auto"/>
                    <w:rPr>
                      <w:rFonts w:hint="eastAsia" w:ascii="Times New Roman" w:hAnsi="宋体" w:eastAsia="Times New Roman" w:cs="Times New Roman"/>
                      <w:snapToGrid w:val="0"/>
                      <w:color w:val="auto"/>
                      <w:spacing w:val="4"/>
                      <w:sz w:val="21"/>
                      <w:szCs w:val="21"/>
                    </w:rPr>
                  </w:pPr>
                </w:p>
              </w:tc>
              <w:tc>
                <w:tcPr>
                  <w:tcW w:w="1197" w:type="dxa"/>
                  <w:tcBorders>
                    <w:tl2br w:val="nil"/>
                    <w:tr2bl w:val="nil"/>
                  </w:tcBorders>
                  <w:noWrap w:val="0"/>
                  <w:vAlign w:val="center"/>
                </w:tcPr>
                <w:p w14:paraId="1233C411">
                  <w:pPr>
                    <w:keepNext w:val="0"/>
                    <w:keepLines w:val="0"/>
                    <w:pageBreakBefore w:val="0"/>
                    <w:kinsoku/>
                    <w:wordWrap/>
                    <w:overflowPunct/>
                    <w:topLinePunct w:val="0"/>
                    <w:bidi w:val="0"/>
                    <w:spacing w:line="240" w:lineRule="auto"/>
                    <w:jc w:val="center"/>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颗粒物</w:t>
                  </w:r>
                </w:p>
                <w:p w14:paraId="0EDA2F35">
                  <w:pPr>
                    <w:keepNext w:val="0"/>
                    <w:keepLines w:val="0"/>
                    <w:pageBreakBefore w:val="0"/>
                    <w:kinsoku/>
                    <w:wordWrap/>
                    <w:overflowPunct/>
                    <w:topLinePunct w:val="0"/>
                    <w:bidi w:val="0"/>
                    <w:spacing w:line="240" w:lineRule="auto"/>
                    <w:jc w:val="center"/>
                    <w:textAlignment w:val="auto"/>
                    <w:rPr>
                      <w:rFonts w:hint="eastAsia" w:hAnsi="宋体"/>
                      <w:color w:val="auto"/>
                      <w:sz w:val="21"/>
                      <w:szCs w:val="21"/>
                    </w:rPr>
                  </w:pPr>
                  <w:r>
                    <w:rPr>
                      <w:rFonts w:hint="default" w:ascii="宋体" w:hAnsi="宋体" w:eastAsia="宋体"/>
                      <w:color w:val="auto"/>
                      <w:sz w:val="21"/>
                      <w:szCs w:val="21"/>
                    </w:rPr>
                    <w:t>（无组织）</w:t>
                  </w:r>
                </w:p>
              </w:tc>
              <w:tc>
                <w:tcPr>
                  <w:tcW w:w="1289" w:type="dxa"/>
                  <w:tcBorders>
                    <w:tl2br w:val="nil"/>
                    <w:tr2bl w:val="nil"/>
                  </w:tcBorders>
                  <w:noWrap w:val="0"/>
                  <w:vAlign w:val="center"/>
                </w:tcPr>
                <w:p w14:paraId="27539241">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0.05</w:t>
                  </w:r>
                  <w:r>
                    <w:rPr>
                      <w:rFonts w:hint="eastAsia"/>
                      <w:color w:val="auto"/>
                      <w:sz w:val="21"/>
                      <w:szCs w:val="21"/>
                    </w:rPr>
                    <w:t>kg/h</w:t>
                  </w:r>
                </w:p>
                <w:p w14:paraId="112CB702">
                  <w:pPr>
                    <w:pStyle w:val="19"/>
                    <w:keepNext w:val="0"/>
                    <w:keepLines w:val="0"/>
                    <w:pageBreakBefore w:val="0"/>
                    <w:tabs>
                      <w:tab w:val="left" w:pos="1110"/>
                    </w:tabs>
                    <w:kinsoku/>
                    <w:wordWrap/>
                    <w:overflowPunct/>
                    <w:topLinePunct w:val="0"/>
                    <w:bidi w:val="0"/>
                    <w:spacing w:line="240" w:lineRule="auto"/>
                    <w:jc w:val="center"/>
                    <w:textAlignment w:val="auto"/>
                    <w:rPr>
                      <w:rFonts w:hint="default" w:ascii="宋体" w:eastAsia="宋体"/>
                      <w:color w:val="auto"/>
                      <w:kern w:val="0"/>
                      <w:sz w:val="21"/>
                      <w:szCs w:val="21"/>
                    </w:rPr>
                  </w:pPr>
                  <w:r>
                    <w:rPr>
                      <w:rFonts w:hint="eastAsia" w:eastAsia="宋体"/>
                      <w:color w:val="auto"/>
                      <w:sz w:val="21"/>
                      <w:szCs w:val="21"/>
                      <w:lang w:val="en-US" w:eastAsia="zh-CN"/>
                    </w:rPr>
                    <w:t>0.228</w:t>
                  </w:r>
                  <w:r>
                    <w:rPr>
                      <w:rFonts w:hint="eastAsia"/>
                      <w:color w:val="auto"/>
                      <w:sz w:val="21"/>
                      <w:szCs w:val="21"/>
                    </w:rPr>
                    <w:t>t/a</w:t>
                  </w:r>
                </w:p>
              </w:tc>
              <w:tc>
                <w:tcPr>
                  <w:tcW w:w="1368" w:type="dxa"/>
                  <w:tcBorders>
                    <w:tl2br w:val="nil"/>
                    <w:tr2bl w:val="nil"/>
                  </w:tcBorders>
                  <w:noWrap w:val="0"/>
                  <w:vAlign w:val="center"/>
                </w:tcPr>
                <w:p w14:paraId="15D15B57">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0.05</w:t>
                  </w:r>
                  <w:r>
                    <w:rPr>
                      <w:rFonts w:hint="eastAsia"/>
                      <w:color w:val="auto"/>
                      <w:sz w:val="21"/>
                      <w:szCs w:val="21"/>
                    </w:rPr>
                    <w:t>kg/h</w:t>
                  </w:r>
                </w:p>
                <w:p w14:paraId="6C0E65B9">
                  <w:pPr>
                    <w:pStyle w:val="19"/>
                    <w:keepNext w:val="0"/>
                    <w:keepLines w:val="0"/>
                    <w:pageBreakBefore w:val="0"/>
                    <w:tabs>
                      <w:tab w:val="left" w:pos="1110"/>
                    </w:tabs>
                    <w:kinsoku/>
                    <w:wordWrap/>
                    <w:overflowPunct/>
                    <w:topLinePunct w:val="0"/>
                    <w:bidi w:val="0"/>
                    <w:spacing w:line="240" w:lineRule="auto"/>
                    <w:jc w:val="center"/>
                    <w:textAlignment w:val="auto"/>
                    <w:rPr>
                      <w:rFonts w:hint="default" w:ascii="宋体" w:eastAsia="宋体"/>
                      <w:color w:val="auto"/>
                      <w:kern w:val="0"/>
                      <w:sz w:val="21"/>
                      <w:szCs w:val="21"/>
                    </w:rPr>
                  </w:pPr>
                  <w:r>
                    <w:rPr>
                      <w:rFonts w:hint="eastAsia" w:eastAsia="宋体"/>
                      <w:color w:val="auto"/>
                      <w:sz w:val="21"/>
                      <w:szCs w:val="21"/>
                      <w:lang w:val="en-US" w:eastAsia="zh-CN"/>
                    </w:rPr>
                    <w:t>0.228</w:t>
                  </w:r>
                  <w:r>
                    <w:rPr>
                      <w:rFonts w:hint="eastAsia"/>
                      <w:color w:val="auto"/>
                      <w:sz w:val="21"/>
                      <w:szCs w:val="21"/>
                    </w:rPr>
                    <w:t>t/a</w:t>
                  </w:r>
                </w:p>
              </w:tc>
              <w:tc>
                <w:tcPr>
                  <w:tcW w:w="2149" w:type="dxa"/>
                  <w:vMerge w:val="continue"/>
                  <w:tcBorders>
                    <w:tl2br w:val="nil"/>
                    <w:tr2bl w:val="nil"/>
                  </w:tcBorders>
                  <w:noWrap w:val="0"/>
                  <w:vAlign w:val="center"/>
                </w:tcPr>
                <w:p w14:paraId="3B5DAB17">
                  <w:pPr>
                    <w:keepNext w:val="0"/>
                    <w:keepLines w:val="0"/>
                    <w:pageBreakBefore w:val="0"/>
                    <w:kinsoku/>
                    <w:wordWrap/>
                    <w:overflowPunct/>
                    <w:topLinePunct w:val="0"/>
                    <w:bidi w:val="0"/>
                    <w:spacing w:line="240" w:lineRule="auto"/>
                    <w:jc w:val="center"/>
                    <w:textAlignment w:val="auto"/>
                    <w:rPr>
                      <w:rFonts w:hint="default" w:ascii="宋体" w:eastAsia="宋体"/>
                      <w:color w:val="auto"/>
                      <w:sz w:val="21"/>
                      <w:szCs w:val="21"/>
                    </w:rPr>
                  </w:pPr>
                </w:p>
              </w:tc>
            </w:tr>
            <w:tr w14:paraId="02D2FC7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55" w:hRule="atLeast"/>
                <w:jc w:val="center"/>
              </w:trPr>
              <w:tc>
                <w:tcPr>
                  <w:tcW w:w="351" w:type="dxa"/>
                  <w:vMerge w:val="continue"/>
                  <w:tcBorders>
                    <w:tl2br w:val="nil"/>
                    <w:tr2bl w:val="nil"/>
                  </w:tcBorders>
                  <w:noWrap w:val="0"/>
                  <w:vAlign w:val="center"/>
                </w:tcPr>
                <w:p w14:paraId="6480D54F">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p>
              </w:tc>
              <w:tc>
                <w:tcPr>
                  <w:tcW w:w="1170" w:type="dxa"/>
                  <w:vMerge w:val="continue"/>
                  <w:tcBorders>
                    <w:tl2br w:val="nil"/>
                    <w:tr2bl w:val="nil"/>
                  </w:tcBorders>
                  <w:noWrap w:val="0"/>
                  <w:vAlign w:val="center"/>
                </w:tcPr>
                <w:p w14:paraId="53EDB9D6">
                  <w:pPr>
                    <w:pStyle w:val="2"/>
                    <w:keepNext w:val="0"/>
                    <w:keepLines w:val="0"/>
                    <w:pageBreakBefore w:val="0"/>
                    <w:kinsoku/>
                    <w:wordWrap/>
                    <w:overflowPunct/>
                    <w:topLinePunct w:val="0"/>
                    <w:bidi w:val="0"/>
                    <w:spacing w:line="240" w:lineRule="auto"/>
                    <w:jc w:val="center"/>
                    <w:textAlignment w:val="auto"/>
                    <w:rPr>
                      <w:rFonts w:hint="default" w:cs="Times New Roman"/>
                      <w:snapToGrid w:val="0"/>
                      <w:color w:val="auto"/>
                      <w:spacing w:val="4"/>
                      <w:sz w:val="21"/>
                      <w:szCs w:val="21"/>
                    </w:rPr>
                  </w:pPr>
                </w:p>
              </w:tc>
              <w:tc>
                <w:tcPr>
                  <w:tcW w:w="1197" w:type="dxa"/>
                  <w:tcBorders>
                    <w:tl2br w:val="nil"/>
                    <w:tr2bl w:val="nil"/>
                  </w:tcBorders>
                  <w:noWrap w:val="0"/>
                  <w:vAlign w:val="center"/>
                </w:tcPr>
                <w:p w14:paraId="43F5C009">
                  <w:pPr>
                    <w:keepNext w:val="0"/>
                    <w:keepLines w:val="0"/>
                    <w:pageBreakBefore w:val="0"/>
                    <w:kinsoku/>
                    <w:wordWrap/>
                    <w:overflowPunct/>
                    <w:topLinePunct w:val="0"/>
                    <w:bidi w:val="0"/>
                    <w:spacing w:line="240" w:lineRule="auto"/>
                    <w:jc w:val="center"/>
                    <w:textAlignment w:val="auto"/>
                    <w:rPr>
                      <w:rFonts w:hint="eastAsia" w:hAnsi="宋体" w:eastAsia="宋体"/>
                      <w:color w:val="auto"/>
                      <w:szCs w:val="21"/>
                      <w:lang w:val="en-US" w:eastAsia="zh-CN"/>
                    </w:rPr>
                  </w:pPr>
                  <w:r>
                    <w:rPr>
                      <w:rFonts w:hint="eastAsia" w:hAnsi="宋体"/>
                      <w:color w:val="auto"/>
                      <w:szCs w:val="21"/>
                    </w:rPr>
                    <w:t>VOC</w:t>
                  </w:r>
                  <w:r>
                    <w:rPr>
                      <w:rFonts w:hint="eastAsia" w:hAnsi="宋体" w:eastAsia="宋体"/>
                      <w:color w:val="auto"/>
                      <w:szCs w:val="21"/>
                      <w:lang w:val="en-US" w:eastAsia="zh-CN"/>
                    </w:rPr>
                    <w:t>s</w:t>
                  </w:r>
                </w:p>
                <w:p w14:paraId="4331D25E">
                  <w:pPr>
                    <w:keepNext w:val="0"/>
                    <w:keepLines w:val="0"/>
                    <w:pageBreakBefore w:val="0"/>
                    <w:kinsoku/>
                    <w:wordWrap/>
                    <w:overflowPunct/>
                    <w:topLinePunct w:val="0"/>
                    <w:bidi w:val="0"/>
                    <w:spacing w:line="240" w:lineRule="auto"/>
                    <w:jc w:val="center"/>
                    <w:textAlignment w:val="auto"/>
                    <w:rPr>
                      <w:rFonts w:hint="eastAsia" w:ascii="宋体" w:eastAsia="宋体"/>
                      <w:color w:val="auto"/>
                      <w:sz w:val="21"/>
                      <w:szCs w:val="21"/>
                      <w:lang w:val="en-US" w:eastAsia="zh-CN"/>
                    </w:rPr>
                  </w:pPr>
                  <w:r>
                    <w:rPr>
                      <w:rFonts w:hint="default" w:ascii="宋体" w:hAnsi="宋体" w:eastAsia="宋体"/>
                      <w:color w:val="auto"/>
                      <w:sz w:val="21"/>
                      <w:szCs w:val="21"/>
                    </w:rPr>
                    <w:t>（有组织）</w:t>
                  </w:r>
                </w:p>
              </w:tc>
              <w:tc>
                <w:tcPr>
                  <w:tcW w:w="1289" w:type="dxa"/>
                  <w:tcBorders>
                    <w:tl2br w:val="nil"/>
                    <w:tr2bl w:val="nil"/>
                  </w:tcBorders>
                  <w:noWrap w:val="0"/>
                  <w:vAlign w:val="center"/>
                </w:tcPr>
                <w:p w14:paraId="24F9BF0B">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42.66</w:t>
                  </w:r>
                  <w:r>
                    <w:rPr>
                      <w:rFonts w:hint="default" w:ascii="宋体" w:eastAsia="宋体"/>
                      <w:color w:val="auto"/>
                      <w:sz w:val="21"/>
                      <w:szCs w:val="21"/>
                    </w:rPr>
                    <w:t>m</w:t>
                  </w:r>
                  <w:r>
                    <w:rPr>
                      <w:rFonts w:hint="eastAsia"/>
                      <w:color w:val="auto"/>
                      <w:sz w:val="21"/>
                      <w:szCs w:val="21"/>
                    </w:rPr>
                    <w:t>g/</w:t>
                  </w:r>
                  <w:r>
                    <w:rPr>
                      <w:rFonts w:hint="default" w:ascii="宋体" w:eastAsia="宋体"/>
                      <w:color w:val="auto"/>
                      <w:sz w:val="21"/>
                      <w:szCs w:val="21"/>
                    </w:rPr>
                    <w:t>m</w:t>
                  </w:r>
                  <w:r>
                    <w:rPr>
                      <w:rFonts w:hint="default" w:ascii="宋体" w:eastAsia="宋体"/>
                      <w:color w:val="auto"/>
                      <w:sz w:val="21"/>
                      <w:szCs w:val="21"/>
                      <w:vertAlign w:val="superscript"/>
                    </w:rPr>
                    <w:t>3</w:t>
                  </w:r>
                </w:p>
                <w:p w14:paraId="11D0EDAA">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kern w:val="0"/>
                      <w:sz w:val="21"/>
                      <w:szCs w:val="21"/>
                    </w:rPr>
                  </w:pPr>
                  <w:r>
                    <w:rPr>
                      <w:rFonts w:hint="eastAsia" w:ascii="宋体" w:eastAsia="宋体"/>
                      <w:color w:val="auto"/>
                      <w:sz w:val="21"/>
                      <w:szCs w:val="21"/>
                      <w:lang w:val="en-US" w:eastAsia="zh-CN"/>
                    </w:rPr>
                    <w:t>4.095</w:t>
                  </w:r>
                  <w:r>
                    <w:rPr>
                      <w:rFonts w:hint="eastAsia"/>
                      <w:color w:val="auto"/>
                      <w:sz w:val="21"/>
                      <w:szCs w:val="21"/>
                    </w:rPr>
                    <w:t>t/a</w:t>
                  </w:r>
                </w:p>
              </w:tc>
              <w:tc>
                <w:tcPr>
                  <w:tcW w:w="1368" w:type="dxa"/>
                  <w:tcBorders>
                    <w:tl2br w:val="nil"/>
                    <w:tr2bl w:val="nil"/>
                  </w:tcBorders>
                  <w:noWrap w:val="0"/>
                  <w:vAlign w:val="center"/>
                </w:tcPr>
                <w:p w14:paraId="37FD1070">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2.99</w:t>
                  </w:r>
                  <w:r>
                    <w:rPr>
                      <w:rFonts w:hint="default" w:ascii="宋体" w:eastAsia="宋体"/>
                      <w:color w:val="auto"/>
                      <w:sz w:val="21"/>
                      <w:szCs w:val="21"/>
                    </w:rPr>
                    <w:t>m</w:t>
                  </w:r>
                  <w:r>
                    <w:rPr>
                      <w:rFonts w:hint="eastAsia"/>
                      <w:color w:val="auto"/>
                      <w:sz w:val="21"/>
                      <w:szCs w:val="21"/>
                    </w:rPr>
                    <w:t>g/</w:t>
                  </w:r>
                  <w:r>
                    <w:rPr>
                      <w:rFonts w:hint="default" w:ascii="宋体" w:eastAsia="宋体"/>
                      <w:color w:val="auto"/>
                      <w:sz w:val="21"/>
                      <w:szCs w:val="21"/>
                    </w:rPr>
                    <w:t>m</w:t>
                  </w:r>
                  <w:r>
                    <w:rPr>
                      <w:rFonts w:hint="default" w:ascii="宋体" w:eastAsia="宋体"/>
                      <w:color w:val="auto"/>
                      <w:sz w:val="21"/>
                      <w:szCs w:val="21"/>
                      <w:vertAlign w:val="superscript"/>
                    </w:rPr>
                    <w:t>3</w:t>
                  </w:r>
                </w:p>
                <w:p w14:paraId="0AAC8540">
                  <w:pPr>
                    <w:pStyle w:val="19"/>
                    <w:keepNext w:val="0"/>
                    <w:keepLines w:val="0"/>
                    <w:pageBreakBefore w:val="0"/>
                    <w:tabs>
                      <w:tab w:val="left" w:pos="1110"/>
                    </w:tabs>
                    <w:kinsoku/>
                    <w:wordWrap/>
                    <w:overflowPunct/>
                    <w:topLinePunct w:val="0"/>
                    <w:bidi w:val="0"/>
                    <w:spacing w:line="240" w:lineRule="auto"/>
                    <w:jc w:val="center"/>
                    <w:textAlignment w:val="auto"/>
                    <w:rPr>
                      <w:rFonts w:hint="default" w:ascii="宋体" w:eastAsia="宋体"/>
                      <w:color w:val="auto"/>
                      <w:kern w:val="0"/>
                      <w:sz w:val="21"/>
                      <w:szCs w:val="21"/>
                    </w:rPr>
                  </w:pPr>
                  <w:r>
                    <w:rPr>
                      <w:rFonts w:hint="eastAsia" w:ascii="宋体" w:eastAsia="宋体"/>
                      <w:color w:val="auto"/>
                      <w:sz w:val="21"/>
                      <w:szCs w:val="21"/>
                      <w:lang w:val="en-US" w:eastAsia="zh-CN"/>
                    </w:rPr>
                    <w:t>0.287</w:t>
                  </w:r>
                  <w:r>
                    <w:rPr>
                      <w:rFonts w:hint="eastAsia"/>
                      <w:color w:val="auto"/>
                      <w:sz w:val="21"/>
                      <w:szCs w:val="21"/>
                    </w:rPr>
                    <w:t>t/a</w:t>
                  </w:r>
                </w:p>
              </w:tc>
              <w:tc>
                <w:tcPr>
                  <w:tcW w:w="2149" w:type="dxa"/>
                  <w:vMerge w:val="continue"/>
                  <w:tcBorders>
                    <w:tl2br w:val="nil"/>
                    <w:tr2bl w:val="nil"/>
                  </w:tcBorders>
                  <w:noWrap w:val="0"/>
                  <w:vAlign w:val="center"/>
                </w:tcPr>
                <w:p w14:paraId="4BCA575C">
                  <w:pPr>
                    <w:keepNext w:val="0"/>
                    <w:keepLines w:val="0"/>
                    <w:pageBreakBefore w:val="0"/>
                    <w:kinsoku/>
                    <w:wordWrap/>
                    <w:overflowPunct/>
                    <w:topLinePunct w:val="0"/>
                    <w:bidi w:val="0"/>
                    <w:spacing w:line="240" w:lineRule="auto"/>
                    <w:jc w:val="center"/>
                    <w:textAlignment w:val="auto"/>
                    <w:rPr>
                      <w:rFonts w:hint="default" w:ascii="宋体" w:eastAsia="宋体"/>
                      <w:color w:val="auto"/>
                      <w:sz w:val="21"/>
                      <w:szCs w:val="21"/>
                    </w:rPr>
                  </w:pPr>
                </w:p>
              </w:tc>
            </w:tr>
            <w:tr w14:paraId="1A7992E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67" w:hRule="atLeast"/>
                <w:jc w:val="center"/>
              </w:trPr>
              <w:tc>
                <w:tcPr>
                  <w:tcW w:w="351" w:type="dxa"/>
                  <w:vMerge w:val="continue"/>
                  <w:tcBorders>
                    <w:tl2br w:val="nil"/>
                    <w:tr2bl w:val="nil"/>
                  </w:tcBorders>
                  <w:noWrap w:val="0"/>
                  <w:vAlign w:val="center"/>
                </w:tcPr>
                <w:p w14:paraId="38EB0796">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p>
              </w:tc>
              <w:tc>
                <w:tcPr>
                  <w:tcW w:w="1170" w:type="dxa"/>
                  <w:vMerge w:val="continue"/>
                  <w:tcBorders>
                    <w:tl2br w:val="nil"/>
                    <w:tr2bl w:val="nil"/>
                  </w:tcBorders>
                  <w:noWrap w:val="0"/>
                  <w:vAlign w:val="center"/>
                </w:tcPr>
                <w:p w14:paraId="6E40192E">
                  <w:pPr>
                    <w:pStyle w:val="2"/>
                    <w:keepNext w:val="0"/>
                    <w:keepLines w:val="0"/>
                    <w:pageBreakBefore w:val="0"/>
                    <w:kinsoku/>
                    <w:wordWrap/>
                    <w:overflowPunct/>
                    <w:topLinePunct w:val="0"/>
                    <w:bidi w:val="0"/>
                    <w:spacing w:line="240" w:lineRule="auto"/>
                    <w:jc w:val="center"/>
                    <w:textAlignment w:val="auto"/>
                    <w:rPr>
                      <w:rFonts w:hint="default" w:hAnsi="宋体" w:cs="Times New Roman"/>
                      <w:snapToGrid w:val="0"/>
                      <w:color w:val="auto"/>
                      <w:spacing w:val="4"/>
                      <w:sz w:val="21"/>
                      <w:szCs w:val="21"/>
                    </w:rPr>
                  </w:pPr>
                </w:p>
              </w:tc>
              <w:tc>
                <w:tcPr>
                  <w:tcW w:w="1197" w:type="dxa"/>
                  <w:tcBorders>
                    <w:tl2br w:val="nil"/>
                    <w:tr2bl w:val="nil"/>
                  </w:tcBorders>
                  <w:noWrap w:val="0"/>
                  <w:vAlign w:val="center"/>
                </w:tcPr>
                <w:p w14:paraId="72DD33E1">
                  <w:pPr>
                    <w:keepNext w:val="0"/>
                    <w:keepLines w:val="0"/>
                    <w:pageBreakBefore w:val="0"/>
                    <w:kinsoku/>
                    <w:wordWrap/>
                    <w:overflowPunct/>
                    <w:topLinePunct w:val="0"/>
                    <w:bidi w:val="0"/>
                    <w:spacing w:line="240" w:lineRule="auto"/>
                    <w:jc w:val="center"/>
                    <w:textAlignment w:val="auto"/>
                    <w:rPr>
                      <w:rFonts w:hint="eastAsia" w:hAnsi="宋体" w:eastAsia="宋体"/>
                      <w:color w:val="auto"/>
                      <w:szCs w:val="21"/>
                      <w:lang w:val="en-US" w:eastAsia="zh-CN"/>
                    </w:rPr>
                  </w:pPr>
                  <w:r>
                    <w:rPr>
                      <w:rFonts w:hint="eastAsia" w:hAnsi="宋体"/>
                      <w:color w:val="auto"/>
                      <w:szCs w:val="21"/>
                    </w:rPr>
                    <w:t>VOC</w:t>
                  </w:r>
                  <w:r>
                    <w:rPr>
                      <w:rFonts w:hint="eastAsia" w:hAnsi="宋体" w:eastAsia="宋体"/>
                      <w:color w:val="auto"/>
                      <w:szCs w:val="21"/>
                      <w:lang w:val="en-US" w:eastAsia="zh-CN"/>
                    </w:rPr>
                    <w:t>s</w:t>
                  </w:r>
                </w:p>
                <w:p w14:paraId="019D193C">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hAnsi="宋体" w:eastAsia="宋体"/>
                      <w:color w:val="auto"/>
                      <w:sz w:val="21"/>
                      <w:szCs w:val="21"/>
                    </w:rPr>
                    <w:t>（无组织）</w:t>
                  </w:r>
                </w:p>
              </w:tc>
              <w:tc>
                <w:tcPr>
                  <w:tcW w:w="1289" w:type="dxa"/>
                  <w:tcBorders>
                    <w:tl2br w:val="nil"/>
                    <w:tr2bl w:val="nil"/>
                  </w:tcBorders>
                  <w:noWrap w:val="0"/>
                  <w:vAlign w:val="center"/>
                </w:tcPr>
                <w:p w14:paraId="1B63A2CC">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0.09</w:t>
                  </w:r>
                  <w:r>
                    <w:rPr>
                      <w:rFonts w:hint="eastAsia"/>
                      <w:color w:val="auto"/>
                      <w:sz w:val="21"/>
                      <w:szCs w:val="21"/>
                    </w:rPr>
                    <w:t>kg/h</w:t>
                  </w:r>
                </w:p>
                <w:p w14:paraId="309EF420">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kern w:val="0"/>
                      <w:sz w:val="21"/>
                      <w:szCs w:val="21"/>
                    </w:rPr>
                  </w:pPr>
                  <w:r>
                    <w:rPr>
                      <w:rFonts w:hint="eastAsia" w:eastAsia="宋体"/>
                      <w:color w:val="auto"/>
                      <w:sz w:val="21"/>
                      <w:szCs w:val="21"/>
                      <w:lang w:val="en-US" w:eastAsia="zh-CN"/>
                    </w:rPr>
                    <w:t>0.455</w:t>
                  </w:r>
                  <w:r>
                    <w:rPr>
                      <w:rFonts w:hint="eastAsia"/>
                      <w:color w:val="auto"/>
                      <w:sz w:val="21"/>
                      <w:szCs w:val="21"/>
                    </w:rPr>
                    <w:t>t/a</w:t>
                  </w:r>
                </w:p>
              </w:tc>
              <w:tc>
                <w:tcPr>
                  <w:tcW w:w="1368" w:type="dxa"/>
                  <w:tcBorders>
                    <w:tl2br w:val="nil"/>
                    <w:tr2bl w:val="nil"/>
                  </w:tcBorders>
                  <w:shd w:val="clear" w:color="auto" w:fill="auto"/>
                  <w:noWrap w:val="0"/>
                  <w:vAlign w:val="center"/>
                </w:tcPr>
                <w:p w14:paraId="4504B610">
                  <w:pPr>
                    <w:pStyle w:val="19"/>
                    <w:keepNext w:val="0"/>
                    <w:keepLines w:val="0"/>
                    <w:pageBreakBefore w:val="0"/>
                    <w:tabs>
                      <w:tab w:val="left" w:pos="1110"/>
                    </w:tabs>
                    <w:kinsoku/>
                    <w:wordWrap/>
                    <w:overflowPunct/>
                    <w:topLinePunct w:val="0"/>
                    <w:bidi w:val="0"/>
                    <w:spacing w:line="240" w:lineRule="auto"/>
                    <w:jc w:val="center"/>
                    <w:textAlignment w:val="auto"/>
                    <w:rPr>
                      <w:rFonts w:hint="eastAsia"/>
                      <w:color w:val="auto"/>
                      <w:sz w:val="21"/>
                      <w:szCs w:val="21"/>
                    </w:rPr>
                  </w:pPr>
                  <w:r>
                    <w:rPr>
                      <w:rFonts w:hint="eastAsia" w:ascii="宋体" w:hAnsi="宋体" w:eastAsia="宋体"/>
                      <w:color w:val="auto"/>
                      <w:sz w:val="21"/>
                      <w:szCs w:val="21"/>
                      <w:lang w:val="en-US" w:eastAsia="zh-CN"/>
                    </w:rPr>
                    <w:t>0.09</w:t>
                  </w:r>
                  <w:r>
                    <w:rPr>
                      <w:rFonts w:hint="eastAsia"/>
                      <w:color w:val="auto"/>
                      <w:sz w:val="21"/>
                      <w:szCs w:val="21"/>
                    </w:rPr>
                    <w:t>kg/h</w:t>
                  </w:r>
                </w:p>
                <w:p w14:paraId="5728C2F3">
                  <w:pPr>
                    <w:pStyle w:val="19"/>
                    <w:keepNext w:val="0"/>
                    <w:keepLines w:val="0"/>
                    <w:pageBreakBefore w:val="0"/>
                    <w:tabs>
                      <w:tab w:val="left" w:pos="1110"/>
                    </w:tabs>
                    <w:kinsoku/>
                    <w:wordWrap/>
                    <w:overflowPunct/>
                    <w:topLinePunct w:val="0"/>
                    <w:bidi w:val="0"/>
                    <w:spacing w:line="240" w:lineRule="auto"/>
                    <w:jc w:val="center"/>
                    <w:textAlignment w:val="auto"/>
                    <w:rPr>
                      <w:rFonts w:hint="default" w:ascii="Times New Roman" w:hAnsi="Times New Roman" w:eastAsia="Times New Roman" w:cs="Times New Roman"/>
                      <w:color w:val="auto"/>
                      <w:kern w:val="0"/>
                      <w:sz w:val="21"/>
                      <w:szCs w:val="21"/>
                      <w:lang w:val="en-US" w:eastAsia="zh-CN" w:bidi="ar-SA"/>
                    </w:rPr>
                  </w:pPr>
                  <w:r>
                    <w:rPr>
                      <w:rFonts w:hint="eastAsia" w:eastAsia="宋体"/>
                      <w:color w:val="auto"/>
                      <w:sz w:val="21"/>
                      <w:szCs w:val="21"/>
                      <w:lang w:val="en-US" w:eastAsia="zh-CN"/>
                    </w:rPr>
                    <w:t>0.455</w:t>
                  </w:r>
                  <w:r>
                    <w:rPr>
                      <w:rFonts w:hint="eastAsia"/>
                      <w:color w:val="auto"/>
                      <w:sz w:val="21"/>
                      <w:szCs w:val="21"/>
                    </w:rPr>
                    <w:t>t/a</w:t>
                  </w:r>
                </w:p>
              </w:tc>
              <w:tc>
                <w:tcPr>
                  <w:tcW w:w="2149" w:type="dxa"/>
                  <w:vMerge w:val="continue"/>
                  <w:tcBorders>
                    <w:tl2br w:val="nil"/>
                    <w:tr2bl w:val="nil"/>
                  </w:tcBorders>
                  <w:noWrap w:val="0"/>
                  <w:vAlign w:val="center"/>
                </w:tcPr>
                <w:p w14:paraId="3F784288">
                  <w:pPr>
                    <w:keepNext w:val="0"/>
                    <w:keepLines w:val="0"/>
                    <w:pageBreakBefore w:val="0"/>
                    <w:kinsoku/>
                    <w:wordWrap/>
                    <w:overflowPunct/>
                    <w:topLinePunct w:val="0"/>
                    <w:bidi w:val="0"/>
                    <w:spacing w:line="240" w:lineRule="auto"/>
                    <w:jc w:val="center"/>
                    <w:textAlignment w:val="auto"/>
                    <w:rPr>
                      <w:rFonts w:hint="default" w:ascii="宋体" w:eastAsia="宋体"/>
                      <w:color w:val="auto"/>
                      <w:sz w:val="21"/>
                      <w:szCs w:val="21"/>
                    </w:rPr>
                  </w:pPr>
                </w:p>
              </w:tc>
            </w:tr>
            <w:tr w14:paraId="37FEE13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69" w:hRule="atLeast"/>
                <w:jc w:val="center"/>
              </w:trPr>
              <w:tc>
                <w:tcPr>
                  <w:tcW w:w="351" w:type="dxa"/>
                  <w:vMerge w:val="restart"/>
                  <w:tcBorders>
                    <w:tl2br w:val="nil"/>
                    <w:tr2bl w:val="nil"/>
                  </w:tcBorders>
                  <w:noWrap w:val="0"/>
                  <w:vAlign w:val="center"/>
                </w:tcPr>
                <w:p w14:paraId="02EE16E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r>
                    <w:rPr>
                      <w:rFonts w:hint="default" w:ascii="宋体" w:eastAsia="宋体"/>
                      <w:color w:val="auto"/>
                      <w:sz w:val="21"/>
                      <w:szCs w:val="21"/>
                    </w:rPr>
                    <w:t>污水</w:t>
                  </w:r>
                </w:p>
              </w:tc>
              <w:tc>
                <w:tcPr>
                  <w:tcW w:w="1170" w:type="dxa"/>
                  <w:vMerge w:val="restart"/>
                  <w:tcBorders>
                    <w:tl2br w:val="nil"/>
                    <w:tr2bl w:val="nil"/>
                  </w:tcBorders>
                  <w:noWrap w:val="0"/>
                  <w:vAlign w:val="center"/>
                </w:tcPr>
                <w:p w14:paraId="04427E98">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生活污水（240</w:t>
                  </w:r>
                  <w:r>
                    <w:rPr>
                      <w:rFonts w:hint="eastAsia"/>
                      <w:color w:val="auto"/>
                      <w:sz w:val="21"/>
                      <w:szCs w:val="21"/>
                    </w:rPr>
                    <w:t>t/a</w:t>
                  </w:r>
                  <w:r>
                    <w:rPr>
                      <w:rFonts w:hint="default" w:ascii="宋体" w:eastAsia="宋体"/>
                      <w:color w:val="auto"/>
                      <w:sz w:val="21"/>
                      <w:szCs w:val="21"/>
                    </w:rPr>
                    <w:t>）</w:t>
                  </w:r>
                </w:p>
              </w:tc>
              <w:tc>
                <w:tcPr>
                  <w:tcW w:w="1197" w:type="dxa"/>
                  <w:tcBorders>
                    <w:tl2br w:val="nil"/>
                    <w:tr2bl w:val="nil"/>
                  </w:tcBorders>
                  <w:noWrap w:val="0"/>
                  <w:vAlign w:val="center"/>
                </w:tcPr>
                <w:p w14:paraId="7331E2D0">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color w:val="auto"/>
                      <w:sz w:val="21"/>
                      <w:szCs w:val="21"/>
                    </w:rPr>
                    <w:t>COD</w:t>
                  </w:r>
                </w:p>
              </w:tc>
              <w:tc>
                <w:tcPr>
                  <w:tcW w:w="1289" w:type="dxa"/>
                  <w:tcBorders>
                    <w:tl2br w:val="nil"/>
                    <w:tr2bl w:val="nil"/>
                  </w:tcBorders>
                  <w:noWrap w:val="0"/>
                  <w:vAlign w:val="center"/>
                </w:tcPr>
                <w:p w14:paraId="18392A9F">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color w:val="auto"/>
                      <w:sz w:val="21"/>
                      <w:szCs w:val="21"/>
                    </w:rPr>
                    <w:t>2</w:t>
                  </w:r>
                  <w:r>
                    <w:rPr>
                      <w:rFonts w:hint="default" w:ascii="宋体" w:eastAsia="宋体"/>
                      <w:color w:val="auto"/>
                      <w:sz w:val="21"/>
                      <w:szCs w:val="21"/>
                    </w:rPr>
                    <w:t>5</w:t>
                  </w:r>
                  <w:r>
                    <w:rPr>
                      <w:rFonts w:hint="eastAsia"/>
                      <w:color w:val="auto"/>
                      <w:sz w:val="21"/>
                      <w:szCs w:val="21"/>
                    </w:rPr>
                    <w:t>0 mg/L</w:t>
                  </w:r>
                </w:p>
                <w:p w14:paraId="0F5C3DDA">
                  <w:pPr>
                    <w:keepNext w:val="0"/>
                    <w:keepLines w:val="0"/>
                    <w:pageBreakBefore w:val="0"/>
                    <w:kinsoku/>
                    <w:wordWrap/>
                    <w:overflowPunct/>
                    <w:topLinePunct w:val="0"/>
                    <w:bidi w:val="0"/>
                    <w:spacing w:line="240" w:lineRule="auto"/>
                    <w:jc w:val="center"/>
                    <w:textAlignment w:val="auto"/>
                    <w:rPr>
                      <w:rFonts w:hint="eastAsia"/>
                      <w:color w:val="auto"/>
                      <w:spacing w:val="-6"/>
                      <w:sz w:val="21"/>
                      <w:szCs w:val="21"/>
                    </w:rPr>
                  </w:pPr>
                  <w:r>
                    <w:rPr>
                      <w:rFonts w:hint="default" w:ascii="宋体" w:eastAsia="宋体"/>
                      <w:color w:val="auto"/>
                      <w:sz w:val="21"/>
                      <w:szCs w:val="21"/>
                    </w:rPr>
                    <w:t>0.06</w:t>
                  </w:r>
                  <w:r>
                    <w:rPr>
                      <w:rFonts w:hint="eastAsia"/>
                      <w:color w:val="auto"/>
                      <w:sz w:val="21"/>
                      <w:szCs w:val="21"/>
                    </w:rPr>
                    <w:t>kg/a</w:t>
                  </w:r>
                </w:p>
              </w:tc>
              <w:tc>
                <w:tcPr>
                  <w:tcW w:w="1368" w:type="dxa"/>
                  <w:tcBorders>
                    <w:tl2br w:val="nil"/>
                    <w:tr2bl w:val="nil"/>
                  </w:tcBorders>
                  <w:noWrap w:val="0"/>
                  <w:vAlign w:val="center"/>
                </w:tcPr>
                <w:p w14:paraId="65119432">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eastAsia="宋体"/>
                      <w:color w:val="auto"/>
                      <w:sz w:val="21"/>
                      <w:szCs w:val="21"/>
                      <w:lang w:val="en-US" w:eastAsia="zh-CN"/>
                    </w:rPr>
                    <w:t>20</w:t>
                  </w:r>
                  <w:r>
                    <w:rPr>
                      <w:rFonts w:hint="eastAsia"/>
                      <w:color w:val="auto"/>
                      <w:sz w:val="21"/>
                      <w:szCs w:val="21"/>
                    </w:rPr>
                    <w:t>0 mg/L</w:t>
                  </w:r>
                </w:p>
                <w:p w14:paraId="54FF0F75">
                  <w:pPr>
                    <w:keepNext w:val="0"/>
                    <w:keepLines w:val="0"/>
                    <w:pageBreakBefore w:val="0"/>
                    <w:kinsoku/>
                    <w:wordWrap/>
                    <w:overflowPunct/>
                    <w:topLinePunct w:val="0"/>
                    <w:bidi w:val="0"/>
                    <w:spacing w:line="240" w:lineRule="auto"/>
                    <w:jc w:val="center"/>
                    <w:textAlignment w:val="auto"/>
                    <w:rPr>
                      <w:rFonts w:hint="default" w:ascii="Calibri" w:hAnsi="Calibri" w:eastAsia="宋体"/>
                      <w:color w:val="auto"/>
                      <w:sz w:val="21"/>
                      <w:szCs w:val="21"/>
                    </w:rPr>
                  </w:pPr>
                  <w:r>
                    <w:rPr>
                      <w:rFonts w:hint="default" w:ascii="宋体" w:eastAsia="宋体"/>
                      <w:color w:val="auto"/>
                      <w:sz w:val="21"/>
                      <w:szCs w:val="21"/>
                    </w:rPr>
                    <w:t>0.0</w:t>
                  </w:r>
                  <w:r>
                    <w:rPr>
                      <w:rFonts w:hint="eastAsia" w:ascii="宋体" w:eastAsia="宋体"/>
                      <w:color w:val="auto"/>
                      <w:sz w:val="21"/>
                      <w:szCs w:val="21"/>
                      <w:lang w:val="en-US" w:eastAsia="zh-CN"/>
                    </w:rPr>
                    <w:t>48</w:t>
                  </w:r>
                  <w:r>
                    <w:rPr>
                      <w:rFonts w:hint="eastAsia"/>
                      <w:color w:val="auto"/>
                      <w:sz w:val="21"/>
                      <w:szCs w:val="21"/>
                    </w:rPr>
                    <w:t>kg/a</w:t>
                  </w:r>
                </w:p>
              </w:tc>
              <w:tc>
                <w:tcPr>
                  <w:tcW w:w="2149" w:type="dxa"/>
                  <w:vMerge w:val="restart"/>
                  <w:tcBorders>
                    <w:tl2br w:val="nil"/>
                    <w:tr2bl w:val="nil"/>
                  </w:tcBorders>
                  <w:noWrap w:val="0"/>
                  <w:vAlign w:val="center"/>
                </w:tcPr>
                <w:p w14:paraId="00E7E634">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s="宋体"/>
                      <w:color w:val="auto"/>
                      <w:sz w:val="21"/>
                      <w:szCs w:val="21"/>
                    </w:rPr>
                    <w:t>生活污水经化粪池处理后</w:t>
                  </w:r>
                  <w:r>
                    <w:rPr>
                      <w:rFonts w:hint="eastAsia" w:ascii="宋体" w:eastAsia="宋体" w:cs="宋体"/>
                      <w:color w:val="auto"/>
                      <w:sz w:val="21"/>
                      <w:szCs w:val="21"/>
                      <w:lang w:val="en-US" w:eastAsia="zh-CN"/>
                    </w:rPr>
                    <w:t>排入</w:t>
                  </w:r>
                  <w:r>
                    <w:rPr>
                      <w:rFonts w:hint="eastAsia" w:ascii="宋体" w:eastAsia="宋体"/>
                      <w:b w:val="0"/>
                      <w:bCs/>
                      <w:color w:val="auto"/>
                      <w:sz w:val="21"/>
                      <w:szCs w:val="21"/>
                      <w:lang w:val="en-US" w:eastAsia="zh-CN"/>
                    </w:rPr>
                    <w:t>星火工业园区污水处理厂</w:t>
                  </w:r>
                </w:p>
              </w:tc>
            </w:tr>
            <w:tr w14:paraId="0BB91CF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84" w:hRule="atLeast"/>
                <w:jc w:val="center"/>
              </w:trPr>
              <w:tc>
                <w:tcPr>
                  <w:tcW w:w="351" w:type="dxa"/>
                  <w:vMerge w:val="continue"/>
                  <w:tcBorders>
                    <w:tl2br w:val="nil"/>
                    <w:tr2bl w:val="nil"/>
                  </w:tcBorders>
                  <w:noWrap w:val="0"/>
                  <w:vAlign w:val="center"/>
                </w:tcPr>
                <w:p w14:paraId="194E108C">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0BC6A1BB">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tl2br w:val="nil"/>
                    <w:tr2bl w:val="nil"/>
                  </w:tcBorders>
                  <w:noWrap w:val="0"/>
                  <w:vAlign w:val="center"/>
                </w:tcPr>
                <w:p w14:paraId="1F6EC63F">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color w:val="auto"/>
                      <w:sz w:val="21"/>
                      <w:szCs w:val="21"/>
                    </w:rPr>
                    <w:t>BOD</w:t>
                  </w:r>
                  <w:r>
                    <w:rPr>
                      <w:rFonts w:hint="eastAsia"/>
                      <w:color w:val="auto"/>
                      <w:sz w:val="21"/>
                      <w:szCs w:val="21"/>
                      <w:vertAlign w:val="subscript"/>
                    </w:rPr>
                    <w:t>5</w:t>
                  </w:r>
                </w:p>
              </w:tc>
              <w:tc>
                <w:tcPr>
                  <w:tcW w:w="1289" w:type="dxa"/>
                  <w:tcBorders>
                    <w:tl2br w:val="nil"/>
                    <w:tr2bl w:val="nil"/>
                  </w:tcBorders>
                  <w:noWrap w:val="0"/>
                  <w:vAlign w:val="center"/>
                </w:tcPr>
                <w:p w14:paraId="2B2A5293">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15</w:t>
                  </w:r>
                  <w:r>
                    <w:rPr>
                      <w:rFonts w:hint="eastAsia"/>
                      <w:color w:val="auto"/>
                      <w:sz w:val="21"/>
                      <w:szCs w:val="21"/>
                    </w:rPr>
                    <w:t>0 mg/L</w:t>
                  </w:r>
                </w:p>
                <w:p w14:paraId="72B1A41A">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0.036</w:t>
                  </w:r>
                  <w:r>
                    <w:rPr>
                      <w:rFonts w:hint="eastAsia"/>
                      <w:color w:val="auto"/>
                      <w:sz w:val="21"/>
                      <w:szCs w:val="21"/>
                    </w:rPr>
                    <w:t xml:space="preserve"> kg/a</w:t>
                  </w:r>
                </w:p>
              </w:tc>
              <w:tc>
                <w:tcPr>
                  <w:tcW w:w="1368" w:type="dxa"/>
                  <w:tcBorders>
                    <w:tl2br w:val="nil"/>
                    <w:tr2bl w:val="nil"/>
                  </w:tcBorders>
                  <w:noWrap w:val="0"/>
                  <w:vAlign w:val="center"/>
                </w:tcPr>
                <w:p w14:paraId="2307084E">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1</w:t>
                  </w:r>
                  <w:r>
                    <w:rPr>
                      <w:rFonts w:hint="eastAsia" w:ascii="宋体" w:eastAsia="宋体"/>
                      <w:color w:val="auto"/>
                      <w:sz w:val="21"/>
                      <w:szCs w:val="21"/>
                      <w:lang w:val="en-US" w:eastAsia="zh-CN"/>
                    </w:rPr>
                    <w:t>12.5</w:t>
                  </w:r>
                  <w:r>
                    <w:rPr>
                      <w:rFonts w:hint="eastAsia"/>
                      <w:color w:val="auto"/>
                      <w:sz w:val="21"/>
                      <w:szCs w:val="21"/>
                    </w:rPr>
                    <w:t xml:space="preserve"> mg/L</w:t>
                  </w:r>
                </w:p>
                <w:p w14:paraId="14C63265">
                  <w:pPr>
                    <w:keepNext w:val="0"/>
                    <w:keepLines w:val="0"/>
                    <w:pageBreakBefore w:val="0"/>
                    <w:kinsoku/>
                    <w:wordWrap/>
                    <w:overflowPunct/>
                    <w:topLinePunct w:val="0"/>
                    <w:bidi w:val="0"/>
                    <w:spacing w:line="240" w:lineRule="auto"/>
                    <w:jc w:val="center"/>
                    <w:textAlignment w:val="auto"/>
                    <w:rPr>
                      <w:rFonts w:hint="default" w:ascii="Calibri" w:hAnsi="Calibri" w:eastAsia="宋体"/>
                      <w:color w:val="auto"/>
                      <w:sz w:val="21"/>
                      <w:szCs w:val="21"/>
                    </w:rPr>
                  </w:pPr>
                  <w:r>
                    <w:rPr>
                      <w:rFonts w:hint="default" w:ascii="宋体" w:eastAsia="宋体"/>
                      <w:color w:val="auto"/>
                      <w:sz w:val="21"/>
                      <w:szCs w:val="21"/>
                    </w:rPr>
                    <w:t>0.0</w:t>
                  </w:r>
                  <w:r>
                    <w:rPr>
                      <w:rFonts w:hint="eastAsia" w:ascii="宋体" w:eastAsia="宋体"/>
                      <w:color w:val="auto"/>
                      <w:sz w:val="21"/>
                      <w:szCs w:val="21"/>
                      <w:lang w:val="en-US" w:eastAsia="zh-CN"/>
                    </w:rPr>
                    <w:t>27</w:t>
                  </w:r>
                  <w:r>
                    <w:rPr>
                      <w:rFonts w:hint="eastAsia"/>
                      <w:color w:val="auto"/>
                      <w:sz w:val="21"/>
                      <w:szCs w:val="21"/>
                    </w:rPr>
                    <w:t xml:space="preserve"> kg/a</w:t>
                  </w:r>
                </w:p>
              </w:tc>
              <w:tc>
                <w:tcPr>
                  <w:tcW w:w="2149" w:type="dxa"/>
                  <w:vMerge w:val="continue"/>
                  <w:tcBorders>
                    <w:tl2br w:val="nil"/>
                    <w:tr2bl w:val="nil"/>
                  </w:tcBorders>
                  <w:noWrap w:val="0"/>
                  <w:vAlign w:val="center"/>
                </w:tcPr>
                <w:p w14:paraId="04399877">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r>
            <w:tr w14:paraId="556F66C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89" w:hRule="atLeast"/>
                <w:jc w:val="center"/>
              </w:trPr>
              <w:tc>
                <w:tcPr>
                  <w:tcW w:w="351" w:type="dxa"/>
                  <w:vMerge w:val="continue"/>
                  <w:tcBorders>
                    <w:tl2br w:val="nil"/>
                    <w:tr2bl w:val="nil"/>
                  </w:tcBorders>
                  <w:noWrap w:val="0"/>
                  <w:vAlign w:val="center"/>
                </w:tcPr>
                <w:p w14:paraId="13083128">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6CE214F3">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tl2br w:val="nil"/>
                    <w:tr2bl w:val="nil"/>
                  </w:tcBorders>
                  <w:noWrap w:val="0"/>
                  <w:vAlign w:val="center"/>
                </w:tcPr>
                <w:p w14:paraId="5BEB4E44">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color w:val="auto"/>
                      <w:sz w:val="21"/>
                      <w:szCs w:val="21"/>
                    </w:rPr>
                    <w:t>SS</w:t>
                  </w:r>
                </w:p>
              </w:tc>
              <w:tc>
                <w:tcPr>
                  <w:tcW w:w="1289" w:type="dxa"/>
                  <w:tcBorders>
                    <w:tl2br w:val="nil"/>
                    <w:tr2bl w:val="nil"/>
                  </w:tcBorders>
                  <w:noWrap w:val="0"/>
                  <w:vAlign w:val="center"/>
                </w:tcPr>
                <w:p w14:paraId="1C5CB554">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15</w:t>
                  </w:r>
                  <w:r>
                    <w:rPr>
                      <w:rFonts w:hint="eastAsia"/>
                      <w:color w:val="auto"/>
                      <w:sz w:val="21"/>
                      <w:szCs w:val="21"/>
                    </w:rPr>
                    <w:t>0 mg/L</w:t>
                  </w:r>
                </w:p>
                <w:p w14:paraId="3AA5AC7F">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0.036</w:t>
                  </w:r>
                  <w:r>
                    <w:rPr>
                      <w:rFonts w:hint="eastAsia"/>
                      <w:color w:val="auto"/>
                      <w:sz w:val="21"/>
                      <w:szCs w:val="21"/>
                    </w:rPr>
                    <w:t xml:space="preserve"> kg/a</w:t>
                  </w:r>
                </w:p>
              </w:tc>
              <w:tc>
                <w:tcPr>
                  <w:tcW w:w="1368" w:type="dxa"/>
                  <w:tcBorders>
                    <w:tl2br w:val="nil"/>
                    <w:tr2bl w:val="nil"/>
                  </w:tcBorders>
                  <w:noWrap w:val="0"/>
                  <w:vAlign w:val="center"/>
                </w:tcPr>
                <w:p w14:paraId="390AD78B">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ascii="宋体" w:eastAsia="宋体"/>
                      <w:color w:val="auto"/>
                      <w:sz w:val="21"/>
                      <w:szCs w:val="21"/>
                      <w:lang w:val="en-US" w:eastAsia="zh-CN"/>
                    </w:rPr>
                    <w:t>120</w:t>
                  </w:r>
                  <w:r>
                    <w:rPr>
                      <w:rFonts w:hint="eastAsia"/>
                      <w:color w:val="auto"/>
                      <w:sz w:val="21"/>
                      <w:szCs w:val="21"/>
                    </w:rPr>
                    <w:t xml:space="preserve"> mg/L</w:t>
                  </w:r>
                </w:p>
                <w:p w14:paraId="33DE53FA">
                  <w:pPr>
                    <w:keepNext w:val="0"/>
                    <w:keepLines w:val="0"/>
                    <w:pageBreakBefore w:val="0"/>
                    <w:kinsoku/>
                    <w:wordWrap/>
                    <w:overflowPunct/>
                    <w:topLinePunct w:val="0"/>
                    <w:bidi w:val="0"/>
                    <w:spacing w:line="240" w:lineRule="auto"/>
                    <w:jc w:val="center"/>
                    <w:textAlignment w:val="auto"/>
                    <w:rPr>
                      <w:rFonts w:hint="default" w:ascii="Calibri" w:hAnsi="Calibri" w:eastAsia="宋体"/>
                      <w:color w:val="auto"/>
                      <w:sz w:val="21"/>
                      <w:szCs w:val="21"/>
                    </w:rPr>
                  </w:pPr>
                  <w:r>
                    <w:rPr>
                      <w:rFonts w:hint="default" w:ascii="宋体" w:eastAsia="宋体"/>
                      <w:color w:val="auto"/>
                      <w:sz w:val="21"/>
                      <w:szCs w:val="21"/>
                    </w:rPr>
                    <w:t>0.0</w:t>
                  </w:r>
                  <w:r>
                    <w:rPr>
                      <w:rFonts w:hint="eastAsia" w:ascii="宋体" w:eastAsia="宋体"/>
                      <w:color w:val="auto"/>
                      <w:sz w:val="21"/>
                      <w:szCs w:val="21"/>
                      <w:lang w:val="en-US" w:eastAsia="zh-CN"/>
                    </w:rPr>
                    <w:t>29</w:t>
                  </w:r>
                  <w:r>
                    <w:rPr>
                      <w:rFonts w:hint="eastAsia"/>
                      <w:color w:val="auto"/>
                      <w:sz w:val="21"/>
                      <w:szCs w:val="21"/>
                    </w:rPr>
                    <w:t xml:space="preserve"> kg/a</w:t>
                  </w:r>
                </w:p>
              </w:tc>
              <w:tc>
                <w:tcPr>
                  <w:tcW w:w="2149" w:type="dxa"/>
                  <w:vMerge w:val="continue"/>
                  <w:tcBorders>
                    <w:tl2br w:val="nil"/>
                    <w:tr2bl w:val="nil"/>
                  </w:tcBorders>
                  <w:noWrap w:val="0"/>
                  <w:vAlign w:val="center"/>
                </w:tcPr>
                <w:p w14:paraId="1925F38B">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r>
            <w:tr w14:paraId="4CBEBD9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09" w:hRule="atLeast"/>
                <w:jc w:val="center"/>
              </w:trPr>
              <w:tc>
                <w:tcPr>
                  <w:tcW w:w="351" w:type="dxa"/>
                  <w:vMerge w:val="continue"/>
                  <w:tcBorders>
                    <w:tl2br w:val="nil"/>
                    <w:tr2bl w:val="nil"/>
                  </w:tcBorders>
                  <w:noWrap w:val="0"/>
                  <w:vAlign w:val="center"/>
                </w:tcPr>
                <w:p w14:paraId="6D862B43">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0767CECD">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tl2br w:val="nil"/>
                    <w:tr2bl w:val="nil"/>
                  </w:tcBorders>
                  <w:noWrap w:val="0"/>
                  <w:vAlign w:val="center"/>
                </w:tcPr>
                <w:p w14:paraId="1DB5D0CC">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1289" w:type="dxa"/>
                  <w:tcBorders>
                    <w:tl2br w:val="nil"/>
                    <w:tr2bl w:val="nil"/>
                  </w:tcBorders>
                  <w:noWrap w:val="0"/>
                  <w:vAlign w:val="center"/>
                </w:tcPr>
                <w:p w14:paraId="707C16B9">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ascii="宋体" w:eastAsia="宋体"/>
                      <w:color w:val="auto"/>
                      <w:sz w:val="21"/>
                      <w:szCs w:val="21"/>
                      <w:lang w:val="en-US" w:eastAsia="zh-CN"/>
                    </w:rPr>
                    <w:t>25</w:t>
                  </w:r>
                  <w:r>
                    <w:rPr>
                      <w:rFonts w:hint="eastAsia"/>
                      <w:color w:val="auto"/>
                      <w:sz w:val="21"/>
                      <w:szCs w:val="21"/>
                    </w:rPr>
                    <w:t xml:space="preserve"> mg/L</w:t>
                  </w:r>
                </w:p>
                <w:p w14:paraId="54ECCD2E">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0.00</w:t>
                  </w:r>
                  <w:r>
                    <w:rPr>
                      <w:rFonts w:hint="eastAsia" w:ascii="宋体" w:eastAsia="宋体"/>
                      <w:color w:val="auto"/>
                      <w:sz w:val="21"/>
                      <w:szCs w:val="21"/>
                      <w:lang w:val="en-US" w:eastAsia="zh-CN"/>
                    </w:rPr>
                    <w:t>6</w:t>
                  </w:r>
                  <w:r>
                    <w:rPr>
                      <w:rFonts w:hint="eastAsia"/>
                      <w:color w:val="auto"/>
                      <w:sz w:val="21"/>
                      <w:szCs w:val="21"/>
                    </w:rPr>
                    <w:t xml:space="preserve"> kg/a</w:t>
                  </w:r>
                </w:p>
              </w:tc>
              <w:tc>
                <w:tcPr>
                  <w:tcW w:w="1368" w:type="dxa"/>
                  <w:tcBorders>
                    <w:tl2br w:val="nil"/>
                    <w:tr2bl w:val="nil"/>
                  </w:tcBorders>
                  <w:noWrap w:val="0"/>
                  <w:vAlign w:val="center"/>
                </w:tcPr>
                <w:p w14:paraId="3B12845E">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ascii="宋体" w:eastAsia="宋体"/>
                      <w:color w:val="auto"/>
                      <w:sz w:val="21"/>
                      <w:szCs w:val="21"/>
                      <w:lang w:val="en-US" w:eastAsia="zh-CN"/>
                    </w:rPr>
                    <w:t>25</w:t>
                  </w:r>
                  <w:r>
                    <w:rPr>
                      <w:rFonts w:hint="eastAsia"/>
                      <w:color w:val="auto"/>
                      <w:sz w:val="21"/>
                      <w:szCs w:val="21"/>
                    </w:rPr>
                    <w:t xml:space="preserve"> mg/L</w:t>
                  </w:r>
                </w:p>
                <w:p w14:paraId="28981ABD">
                  <w:pPr>
                    <w:keepNext w:val="0"/>
                    <w:keepLines w:val="0"/>
                    <w:pageBreakBefore w:val="0"/>
                    <w:kinsoku/>
                    <w:wordWrap/>
                    <w:overflowPunct/>
                    <w:topLinePunct w:val="0"/>
                    <w:bidi w:val="0"/>
                    <w:spacing w:line="240" w:lineRule="auto"/>
                    <w:jc w:val="center"/>
                    <w:textAlignment w:val="auto"/>
                    <w:rPr>
                      <w:rFonts w:hint="default" w:ascii="Calibri" w:hAnsi="Calibri" w:eastAsia="宋体"/>
                      <w:color w:val="auto"/>
                      <w:sz w:val="21"/>
                      <w:szCs w:val="21"/>
                    </w:rPr>
                  </w:pPr>
                  <w:r>
                    <w:rPr>
                      <w:rFonts w:hint="default" w:ascii="宋体" w:eastAsia="宋体"/>
                      <w:color w:val="auto"/>
                      <w:sz w:val="21"/>
                      <w:szCs w:val="21"/>
                    </w:rPr>
                    <w:t>0.00</w:t>
                  </w:r>
                  <w:r>
                    <w:rPr>
                      <w:rFonts w:hint="eastAsia" w:ascii="宋体" w:eastAsia="宋体"/>
                      <w:color w:val="auto"/>
                      <w:sz w:val="21"/>
                      <w:szCs w:val="21"/>
                      <w:lang w:val="en-US" w:eastAsia="zh-CN"/>
                    </w:rPr>
                    <w:t>6</w:t>
                  </w:r>
                  <w:r>
                    <w:rPr>
                      <w:rFonts w:hint="eastAsia"/>
                      <w:color w:val="auto"/>
                      <w:sz w:val="21"/>
                      <w:szCs w:val="21"/>
                    </w:rPr>
                    <w:t xml:space="preserve"> kg/a</w:t>
                  </w:r>
                </w:p>
              </w:tc>
              <w:tc>
                <w:tcPr>
                  <w:tcW w:w="2149" w:type="dxa"/>
                  <w:vMerge w:val="continue"/>
                  <w:tcBorders>
                    <w:tl2br w:val="nil"/>
                    <w:tr2bl w:val="nil"/>
                  </w:tcBorders>
                  <w:noWrap w:val="0"/>
                  <w:vAlign w:val="center"/>
                </w:tcPr>
                <w:p w14:paraId="1F06F149">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r>
            <w:tr w14:paraId="50364C1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41" w:hRule="atLeast"/>
                <w:jc w:val="center"/>
              </w:trPr>
              <w:tc>
                <w:tcPr>
                  <w:tcW w:w="351" w:type="dxa"/>
                  <w:tcBorders>
                    <w:tl2br w:val="nil"/>
                    <w:tr2bl w:val="nil"/>
                  </w:tcBorders>
                  <w:noWrap w:val="0"/>
                  <w:vAlign w:val="center"/>
                </w:tcPr>
                <w:p w14:paraId="3C1E5B55">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噪声</w:t>
                  </w:r>
                </w:p>
              </w:tc>
              <w:tc>
                <w:tcPr>
                  <w:tcW w:w="1170" w:type="dxa"/>
                  <w:tcBorders>
                    <w:tl2br w:val="nil"/>
                    <w:tr2bl w:val="nil"/>
                  </w:tcBorders>
                  <w:noWrap w:val="0"/>
                  <w:vAlign w:val="center"/>
                </w:tcPr>
                <w:p w14:paraId="19BDEAB2">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设备噪声</w:t>
                  </w:r>
                </w:p>
              </w:tc>
              <w:tc>
                <w:tcPr>
                  <w:tcW w:w="3854" w:type="dxa"/>
                  <w:gridSpan w:val="3"/>
                  <w:tcBorders>
                    <w:tl2br w:val="nil"/>
                    <w:tr2bl w:val="nil"/>
                  </w:tcBorders>
                  <w:noWrap w:val="0"/>
                  <w:vAlign w:val="center"/>
                </w:tcPr>
                <w:p w14:paraId="56436737">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机械噪声，声级</w:t>
                  </w:r>
                  <w:r>
                    <w:rPr>
                      <w:rFonts w:hint="eastAsia" w:ascii="宋体" w:eastAsia="宋体"/>
                      <w:color w:val="auto"/>
                      <w:sz w:val="21"/>
                      <w:szCs w:val="21"/>
                      <w:lang w:val="en-US" w:eastAsia="zh-CN"/>
                    </w:rPr>
                    <w:t>6</w:t>
                  </w:r>
                  <w:r>
                    <w:rPr>
                      <w:rFonts w:hint="eastAsia"/>
                      <w:color w:val="auto"/>
                      <w:sz w:val="21"/>
                      <w:szCs w:val="21"/>
                    </w:rPr>
                    <w:t>5</w:t>
                  </w:r>
                  <w:r>
                    <w:rPr>
                      <w:rFonts w:hint="default" w:ascii="宋体" w:eastAsia="宋体"/>
                      <w:color w:val="auto"/>
                      <w:sz w:val="21"/>
                      <w:szCs w:val="21"/>
                    </w:rPr>
                    <w:t>～90</w:t>
                  </w:r>
                  <w:r>
                    <w:rPr>
                      <w:rFonts w:hint="eastAsia"/>
                      <w:color w:val="auto"/>
                      <w:sz w:val="21"/>
                      <w:szCs w:val="21"/>
                    </w:rPr>
                    <w:t>dB(A)</w:t>
                  </w:r>
                </w:p>
              </w:tc>
              <w:tc>
                <w:tcPr>
                  <w:tcW w:w="2149" w:type="dxa"/>
                  <w:tcBorders>
                    <w:tl2br w:val="nil"/>
                    <w:tr2bl w:val="nil"/>
                  </w:tcBorders>
                  <w:noWrap w:val="0"/>
                  <w:vAlign w:val="center"/>
                </w:tcPr>
                <w:p w14:paraId="1039F0B8">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r>
                    <w:rPr>
                      <w:rFonts w:hint="default" w:ascii="宋体" w:eastAsia="宋体"/>
                      <w:color w:val="auto"/>
                      <w:sz w:val="21"/>
                      <w:szCs w:val="21"/>
                    </w:rPr>
                    <w:t>优化平面布置、合理布置高噪声设备等措施来控制设备机械噪声对周围环境的影响</w:t>
                  </w:r>
                </w:p>
              </w:tc>
            </w:tr>
            <w:tr w14:paraId="7DDA975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0" w:hRule="atLeast"/>
                <w:jc w:val="center"/>
              </w:trPr>
              <w:tc>
                <w:tcPr>
                  <w:tcW w:w="351" w:type="dxa"/>
                  <w:vMerge w:val="restart"/>
                  <w:tcBorders>
                    <w:tl2br w:val="nil"/>
                    <w:tr2bl w:val="nil"/>
                  </w:tcBorders>
                  <w:noWrap w:val="0"/>
                  <w:vAlign w:val="center"/>
                </w:tcPr>
                <w:p w14:paraId="7FBFDFEC">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固废</w:t>
                  </w:r>
                </w:p>
              </w:tc>
              <w:tc>
                <w:tcPr>
                  <w:tcW w:w="1170" w:type="dxa"/>
                  <w:vMerge w:val="restart"/>
                  <w:tcBorders>
                    <w:tl2br w:val="nil"/>
                    <w:tr2bl w:val="nil"/>
                  </w:tcBorders>
                  <w:noWrap w:val="0"/>
                  <w:vAlign w:val="center"/>
                </w:tcPr>
                <w:p w14:paraId="4D08EEA2">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生产固废</w:t>
                  </w:r>
                </w:p>
              </w:tc>
              <w:tc>
                <w:tcPr>
                  <w:tcW w:w="1197" w:type="dxa"/>
                  <w:tcBorders>
                    <w:tl2br w:val="nil"/>
                    <w:tr2bl w:val="nil"/>
                  </w:tcBorders>
                  <w:shd w:val="clear" w:color="auto" w:fill="auto"/>
                  <w:noWrap w:val="0"/>
                  <w:vAlign w:val="center"/>
                </w:tcPr>
                <w:p w14:paraId="4493067C">
                  <w:pPr>
                    <w:tabs>
                      <w:tab w:val="left" w:pos="1640"/>
                      <w:tab w:val="center" w:pos="4153"/>
                    </w:tabs>
                    <w:adjustRightInd w:val="0"/>
                    <w:snapToGrid w:val="0"/>
                    <w:ind w:left="-105" w:leftChars="-50" w:right="-105" w:rightChars="-50"/>
                    <w:jc w:val="center"/>
                    <w:rPr>
                      <w:rFonts w:hint="default" w:ascii="Times New Roman" w:hAnsi="Times New Roman" w:eastAsia="Times New Roman" w:cs="Times New Roman"/>
                      <w:color w:val="auto"/>
                      <w:kern w:val="2"/>
                      <w:sz w:val="21"/>
                      <w:szCs w:val="21"/>
                      <w:lang w:val="en-US" w:eastAsia="zh-CN" w:bidi="ar-SA"/>
                    </w:rPr>
                  </w:pPr>
                  <w:r>
                    <w:rPr>
                      <w:rFonts w:hint="eastAsia"/>
                      <w:bCs/>
                      <w:color w:val="auto"/>
                      <w:szCs w:val="21"/>
                    </w:rPr>
                    <w:t>废塑料造粒生产产生的不合格产品及边角料</w:t>
                  </w:r>
                </w:p>
              </w:tc>
              <w:tc>
                <w:tcPr>
                  <w:tcW w:w="1289" w:type="dxa"/>
                  <w:tcBorders>
                    <w:tl2br w:val="nil"/>
                    <w:tr2bl w:val="nil"/>
                  </w:tcBorders>
                  <w:noWrap w:val="0"/>
                  <w:vAlign w:val="center"/>
                </w:tcPr>
                <w:p w14:paraId="4ECDA4B5">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ascii="宋体" w:eastAsia="宋体"/>
                      <w:color w:val="auto"/>
                      <w:sz w:val="21"/>
                      <w:szCs w:val="21"/>
                      <w:lang w:val="en-US" w:eastAsia="zh-CN"/>
                    </w:rPr>
                    <w:t>244</w:t>
                  </w:r>
                  <w:r>
                    <w:rPr>
                      <w:rFonts w:hint="eastAsia"/>
                      <w:color w:val="auto"/>
                      <w:sz w:val="21"/>
                      <w:szCs w:val="21"/>
                    </w:rPr>
                    <w:t>t/a</w:t>
                  </w:r>
                </w:p>
              </w:tc>
              <w:tc>
                <w:tcPr>
                  <w:tcW w:w="1368" w:type="dxa"/>
                  <w:tcBorders>
                    <w:tl2br w:val="nil"/>
                    <w:tr2bl w:val="nil"/>
                  </w:tcBorders>
                  <w:noWrap w:val="0"/>
                  <w:vAlign w:val="center"/>
                </w:tcPr>
                <w:p w14:paraId="600413E6">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pacing w:val="-6"/>
                      <w:sz w:val="21"/>
                      <w:szCs w:val="21"/>
                    </w:rPr>
                  </w:pPr>
                  <w:r>
                    <w:rPr>
                      <w:rFonts w:hint="default" w:ascii="宋体" w:eastAsia="宋体"/>
                      <w:color w:val="auto"/>
                      <w:spacing w:val="-6"/>
                      <w:sz w:val="21"/>
                      <w:szCs w:val="21"/>
                    </w:rPr>
                    <w:t>0</w:t>
                  </w:r>
                </w:p>
              </w:tc>
              <w:tc>
                <w:tcPr>
                  <w:tcW w:w="2149" w:type="dxa"/>
                  <w:tcBorders>
                    <w:tl2br w:val="nil"/>
                    <w:tr2bl w:val="nil"/>
                  </w:tcBorders>
                  <w:noWrap w:val="0"/>
                  <w:vAlign w:val="center"/>
                </w:tcPr>
                <w:p w14:paraId="090B7C13">
                  <w:pPr>
                    <w:keepNext w:val="0"/>
                    <w:keepLines w:val="0"/>
                    <w:pageBreakBefore w:val="0"/>
                    <w:widowControl/>
                    <w:kinsoku/>
                    <w:wordWrap/>
                    <w:overflowPunct/>
                    <w:topLinePunct w:val="0"/>
                    <w:bidi w:val="0"/>
                    <w:spacing w:line="240" w:lineRule="auto"/>
                    <w:jc w:val="center"/>
                    <w:textAlignment w:val="auto"/>
                    <w:rPr>
                      <w:rFonts w:hint="default" w:ascii="宋体" w:eastAsia="宋体"/>
                      <w:color w:val="auto"/>
                      <w:sz w:val="21"/>
                      <w:szCs w:val="21"/>
                    </w:rPr>
                  </w:pPr>
                  <w:r>
                    <w:rPr>
                      <w:rFonts w:hint="default" w:ascii="宋体" w:hAnsi="宋体" w:eastAsia="宋体"/>
                      <w:color w:val="auto"/>
                      <w:sz w:val="21"/>
                      <w:szCs w:val="21"/>
                    </w:rPr>
                    <w:t>全部回用于生产</w:t>
                  </w:r>
                </w:p>
              </w:tc>
            </w:tr>
            <w:tr w14:paraId="215630C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17" w:hRule="atLeast"/>
                <w:jc w:val="center"/>
              </w:trPr>
              <w:tc>
                <w:tcPr>
                  <w:tcW w:w="351" w:type="dxa"/>
                  <w:vMerge w:val="continue"/>
                  <w:tcBorders>
                    <w:tl2br w:val="nil"/>
                    <w:tr2bl w:val="nil"/>
                  </w:tcBorders>
                  <w:noWrap w:val="0"/>
                  <w:vAlign w:val="center"/>
                </w:tcPr>
                <w:p w14:paraId="6ABF5813">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26A41DB6">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bottom w:val="single" w:color="000000" w:sz="2" w:space="0"/>
                    <w:tl2br w:val="nil"/>
                    <w:tr2bl w:val="nil"/>
                  </w:tcBorders>
                  <w:shd w:val="clear" w:color="auto" w:fill="auto"/>
                  <w:noWrap w:val="0"/>
                  <w:vAlign w:val="center"/>
                </w:tcPr>
                <w:p w14:paraId="7E9CB278">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en-US" w:eastAsia="zh-CN" w:bidi="ar-SA"/>
                    </w:rPr>
                  </w:pPr>
                  <w:r>
                    <w:rPr>
                      <w:rFonts w:hint="eastAsia"/>
                      <w:bCs/>
                      <w:color w:val="auto"/>
                      <w:szCs w:val="21"/>
                    </w:rPr>
                    <w:t>废滤网</w:t>
                  </w:r>
                </w:p>
              </w:tc>
              <w:tc>
                <w:tcPr>
                  <w:tcW w:w="1289" w:type="dxa"/>
                  <w:tcBorders>
                    <w:bottom w:val="single" w:color="000000" w:sz="2" w:space="0"/>
                    <w:tl2br w:val="nil"/>
                    <w:tr2bl w:val="nil"/>
                  </w:tcBorders>
                  <w:shd w:val="clear" w:color="auto" w:fill="auto"/>
                  <w:noWrap w:val="0"/>
                  <w:vAlign w:val="center"/>
                </w:tcPr>
                <w:p w14:paraId="6BAE2917">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Cs w:val="21"/>
                    </w:rPr>
                    <w:t>0.36</w:t>
                  </w:r>
                  <w:r>
                    <w:rPr>
                      <w:rFonts w:hint="eastAsia"/>
                      <w:color w:val="auto"/>
                      <w:sz w:val="21"/>
                      <w:szCs w:val="21"/>
                    </w:rPr>
                    <w:t>t/a</w:t>
                  </w:r>
                </w:p>
              </w:tc>
              <w:tc>
                <w:tcPr>
                  <w:tcW w:w="1368" w:type="dxa"/>
                  <w:tcBorders>
                    <w:bottom w:val="single" w:color="000000" w:sz="2" w:space="0"/>
                    <w:tl2br w:val="nil"/>
                    <w:tr2bl w:val="nil"/>
                  </w:tcBorders>
                  <w:shd w:val="clear" w:color="auto" w:fill="auto"/>
                  <w:noWrap w:val="0"/>
                  <w:vAlign w:val="center"/>
                </w:tcPr>
                <w:p w14:paraId="012980A2">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Times New Roman" w:eastAsia="宋体" w:cs="Times New Roman"/>
                      <w:color w:val="auto"/>
                      <w:kern w:val="2"/>
                      <w:sz w:val="21"/>
                      <w:szCs w:val="21"/>
                      <w:lang w:val="en-US" w:eastAsia="zh-CN" w:bidi="ar-SA"/>
                    </w:rPr>
                  </w:pPr>
                  <w:r>
                    <w:rPr>
                      <w:rFonts w:hint="eastAsia" w:ascii="宋体" w:eastAsia="宋体"/>
                      <w:color w:val="auto"/>
                      <w:sz w:val="21"/>
                      <w:szCs w:val="21"/>
                      <w:lang w:val="en-US" w:eastAsia="zh-CN"/>
                    </w:rPr>
                    <w:t>0</w:t>
                  </w:r>
                </w:p>
              </w:tc>
              <w:tc>
                <w:tcPr>
                  <w:tcW w:w="2149" w:type="dxa"/>
                  <w:vMerge w:val="restart"/>
                  <w:tcBorders>
                    <w:tl2br w:val="nil"/>
                    <w:tr2bl w:val="nil"/>
                  </w:tcBorders>
                  <w:shd w:val="clear" w:color="auto" w:fill="auto"/>
                  <w:noWrap w:val="0"/>
                  <w:vAlign w:val="center"/>
                </w:tcPr>
                <w:p w14:paraId="1D39DF88">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en-US" w:eastAsia="zh-CN" w:bidi="ar-SA"/>
                    </w:rPr>
                  </w:pPr>
                  <w:r>
                    <w:rPr>
                      <w:rFonts w:hint="eastAsia" w:hAnsi="宋体"/>
                      <w:color w:val="auto"/>
                      <w:szCs w:val="21"/>
                    </w:rPr>
                    <w:t>委托有资质的危险废物处置单位处理</w:t>
                  </w:r>
                </w:p>
                <w:p w14:paraId="47F48714">
                  <w:pPr>
                    <w:keepNext w:val="0"/>
                    <w:keepLines w:val="0"/>
                    <w:pageBreakBefore w:val="0"/>
                    <w:kinsoku/>
                    <w:wordWrap/>
                    <w:overflowPunct/>
                    <w:topLinePunct w:val="0"/>
                    <w:bidi w:val="0"/>
                    <w:spacing w:line="240" w:lineRule="auto"/>
                    <w:jc w:val="center"/>
                    <w:textAlignment w:val="auto"/>
                    <w:rPr>
                      <w:rFonts w:hint="default" w:ascii="宋体" w:eastAsia="宋体"/>
                      <w:color w:val="auto"/>
                      <w:sz w:val="21"/>
                      <w:szCs w:val="21"/>
                    </w:rPr>
                  </w:pPr>
                </w:p>
              </w:tc>
            </w:tr>
            <w:tr w14:paraId="60AE682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17" w:hRule="atLeast"/>
                <w:jc w:val="center"/>
              </w:trPr>
              <w:tc>
                <w:tcPr>
                  <w:tcW w:w="351" w:type="dxa"/>
                  <w:vMerge w:val="continue"/>
                  <w:tcBorders>
                    <w:tl2br w:val="nil"/>
                    <w:tr2bl w:val="nil"/>
                  </w:tcBorders>
                  <w:noWrap w:val="0"/>
                  <w:vAlign w:val="center"/>
                </w:tcPr>
                <w:p w14:paraId="1EA93876">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1C91FDB2">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bottom w:val="single" w:color="000000" w:sz="2" w:space="0"/>
                    <w:tl2br w:val="nil"/>
                    <w:tr2bl w:val="nil"/>
                  </w:tcBorders>
                  <w:shd w:val="clear" w:color="auto" w:fill="auto"/>
                  <w:noWrap w:val="0"/>
                  <w:vAlign w:val="center"/>
                </w:tcPr>
                <w:p w14:paraId="4A0244FF">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en-US" w:eastAsia="zh-CN" w:bidi="ar-SA"/>
                    </w:rPr>
                  </w:pPr>
                  <w:r>
                    <w:rPr>
                      <w:rFonts w:hint="eastAsia"/>
                      <w:bCs/>
                      <w:color w:val="auto"/>
                      <w:szCs w:val="21"/>
                    </w:rPr>
                    <w:t>废活性炭</w:t>
                  </w:r>
                </w:p>
              </w:tc>
              <w:tc>
                <w:tcPr>
                  <w:tcW w:w="1289" w:type="dxa"/>
                  <w:tcBorders>
                    <w:bottom w:val="single" w:color="000000" w:sz="2" w:space="0"/>
                    <w:tl2br w:val="nil"/>
                    <w:tr2bl w:val="nil"/>
                  </w:tcBorders>
                  <w:shd w:val="clear" w:color="auto" w:fill="auto"/>
                  <w:noWrap w:val="0"/>
                  <w:vAlign w:val="center"/>
                </w:tcPr>
                <w:p w14:paraId="6B966068">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Cs w:val="21"/>
                    </w:rPr>
                    <w:t>14.3325</w:t>
                  </w:r>
                  <w:r>
                    <w:rPr>
                      <w:rFonts w:hint="eastAsia"/>
                      <w:color w:val="auto"/>
                      <w:sz w:val="21"/>
                      <w:szCs w:val="21"/>
                    </w:rPr>
                    <w:t>t/a</w:t>
                  </w:r>
                </w:p>
              </w:tc>
              <w:tc>
                <w:tcPr>
                  <w:tcW w:w="1368" w:type="dxa"/>
                  <w:tcBorders>
                    <w:bottom w:val="single" w:color="000000" w:sz="2" w:space="0"/>
                    <w:tl2br w:val="nil"/>
                    <w:tr2bl w:val="nil"/>
                  </w:tcBorders>
                  <w:shd w:val="clear" w:color="auto" w:fill="auto"/>
                  <w:noWrap w:val="0"/>
                  <w:vAlign w:val="center"/>
                </w:tcPr>
                <w:p w14:paraId="46A9CFCF">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Times New Roman" w:eastAsia="宋体" w:cs="Times New Roman"/>
                      <w:color w:val="auto"/>
                      <w:kern w:val="2"/>
                      <w:sz w:val="21"/>
                      <w:szCs w:val="21"/>
                      <w:lang w:val="en-US" w:eastAsia="zh-CN" w:bidi="ar-SA"/>
                    </w:rPr>
                  </w:pPr>
                  <w:r>
                    <w:rPr>
                      <w:rFonts w:hint="eastAsia" w:ascii="宋体" w:eastAsia="宋体"/>
                      <w:color w:val="auto"/>
                      <w:sz w:val="21"/>
                      <w:szCs w:val="21"/>
                      <w:lang w:val="en-US" w:eastAsia="zh-CN"/>
                    </w:rPr>
                    <w:t>0</w:t>
                  </w:r>
                </w:p>
              </w:tc>
              <w:tc>
                <w:tcPr>
                  <w:tcW w:w="2149" w:type="dxa"/>
                  <w:vMerge w:val="continue"/>
                  <w:tcBorders>
                    <w:tl2br w:val="nil"/>
                    <w:tr2bl w:val="nil"/>
                  </w:tcBorders>
                  <w:noWrap w:val="0"/>
                  <w:vAlign w:val="center"/>
                </w:tcPr>
                <w:p w14:paraId="025B9A2A">
                  <w:pPr>
                    <w:keepNext w:val="0"/>
                    <w:keepLines w:val="0"/>
                    <w:pageBreakBefore w:val="0"/>
                    <w:kinsoku/>
                    <w:wordWrap/>
                    <w:overflowPunct/>
                    <w:topLinePunct w:val="0"/>
                    <w:bidi w:val="0"/>
                    <w:spacing w:line="240" w:lineRule="auto"/>
                    <w:jc w:val="center"/>
                    <w:textAlignment w:val="auto"/>
                    <w:rPr>
                      <w:rFonts w:hint="default" w:ascii="宋体" w:eastAsia="宋体"/>
                      <w:color w:val="auto"/>
                      <w:sz w:val="21"/>
                      <w:szCs w:val="21"/>
                    </w:rPr>
                  </w:pPr>
                </w:p>
              </w:tc>
            </w:tr>
            <w:tr w14:paraId="1A2B4B6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17" w:hRule="atLeast"/>
                <w:jc w:val="center"/>
              </w:trPr>
              <w:tc>
                <w:tcPr>
                  <w:tcW w:w="351" w:type="dxa"/>
                  <w:vMerge w:val="continue"/>
                  <w:tcBorders>
                    <w:tl2br w:val="nil"/>
                    <w:tr2bl w:val="nil"/>
                  </w:tcBorders>
                  <w:noWrap w:val="0"/>
                  <w:vAlign w:val="center"/>
                </w:tcPr>
                <w:p w14:paraId="6BBB6CB9">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7B4A0783">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bottom w:val="single" w:color="000000" w:sz="2" w:space="0"/>
                    <w:tl2br w:val="nil"/>
                    <w:tr2bl w:val="nil"/>
                  </w:tcBorders>
                  <w:shd w:val="clear" w:color="auto" w:fill="auto"/>
                  <w:noWrap w:val="0"/>
                  <w:vAlign w:val="center"/>
                </w:tcPr>
                <w:p w14:paraId="493D2596">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en-US" w:eastAsia="zh-CN" w:bidi="ar-SA"/>
                    </w:rPr>
                  </w:pPr>
                  <w:r>
                    <w:rPr>
                      <w:rFonts w:hint="eastAsia"/>
                      <w:bCs/>
                      <w:color w:val="auto"/>
                      <w:kern w:val="0"/>
                      <w:szCs w:val="21"/>
                    </w:rPr>
                    <w:t>废机油</w:t>
                  </w:r>
                </w:p>
              </w:tc>
              <w:tc>
                <w:tcPr>
                  <w:tcW w:w="1289" w:type="dxa"/>
                  <w:tcBorders>
                    <w:bottom w:val="single" w:color="000000" w:sz="2" w:space="0"/>
                    <w:tl2br w:val="nil"/>
                    <w:tr2bl w:val="nil"/>
                  </w:tcBorders>
                  <w:shd w:val="clear" w:color="auto" w:fill="auto"/>
                  <w:noWrap w:val="0"/>
                  <w:vAlign w:val="center"/>
                </w:tcPr>
                <w:p w14:paraId="0D9B2477">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Cs w:val="21"/>
                    </w:rPr>
                    <w:t>0.02</w:t>
                  </w:r>
                  <w:r>
                    <w:rPr>
                      <w:rFonts w:hint="eastAsia"/>
                      <w:color w:val="auto"/>
                      <w:sz w:val="21"/>
                      <w:szCs w:val="21"/>
                    </w:rPr>
                    <w:t>t/a</w:t>
                  </w:r>
                </w:p>
              </w:tc>
              <w:tc>
                <w:tcPr>
                  <w:tcW w:w="1368" w:type="dxa"/>
                  <w:tcBorders>
                    <w:bottom w:val="single" w:color="000000" w:sz="2" w:space="0"/>
                    <w:tl2br w:val="nil"/>
                    <w:tr2bl w:val="nil"/>
                  </w:tcBorders>
                  <w:shd w:val="clear" w:color="auto" w:fill="auto"/>
                  <w:noWrap w:val="0"/>
                  <w:vAlign w:val="center"/>
                </w:tcPr>
                <w:p w14:paraId="4201A98E">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Times New Roman" w:eastAsia="宋体" w:cs="Times New Roman"/>
                      <w:color w:val="auto"/>
                      <w:kern w:val="2"/>
                      <w:sz w:val="21"/>
                      <w:szCs w:val="21"/>
                      <w:lang w:val="en-US" w:eastAsia="zh-CN" w:bidi="ar-SA"/>
                    </w:rPr>
                  </w:pPr>
                  <w:r>
                    <w:rPr>
                      <w:rFonts w:hint="eastAsia" w:ascii="宋体" w:eastAsia="宋体"/>
                      <w:color w:val="auto"/>
                      <w:sz w:val="21"/>
                      <w:szCs w:val="21"/>
                      <w:lang w:val="en-US" w:eastAsia="zh-CN"/>
                    </w:rPr>
                    <w:t>0</w:t>
                  </w:r>
                </w:p>
              </w:tc>
              <w:tc>
                <w:tcPr>
                  <w:tcW w:w="2149" w:type="dxa"/>
                  <w:vMerge w:val="continue"/>
                  <w:tcBorders>
                    <w:tl2br w:val="nil"/>
                    <w:tr2bl w:val="nil"/>
                  </w:tcBorders>
                  <w:noWrap w:val="0"/>
                  <w:vAlign w:val="center"/>
                </w:tcPr>
                <w:p w14:paraId="4357A5BF">
                  <w:pPr>
                    <w:keepNext w:val="0"/>
                    <w:keepLines w:val="0"/>
                    <w:pageBreakBefore w:val="0"/>
                    <w:kinsoku/>
                    <w:wordWrap/>
                    <w:overflowPunct/>
                    <w:topLinePunct w:val="0"/>
                    <w:bidi w:val="0"/>
                    <w:spacing w:line="240" w:lineRule="auto"/>
                    <w:jc w:val="center"/>
                    <w:textAlignment w:val="auto"/>
                    <w:rPr>
                      <w:rFonts w:hint="default" w:ascii="宋体" w:eastAsia="宋体"/>
                      <w:color w:val="auto"/>
                      <w:sz w:val="21"/>
                      <w:szCs w:val="21"/>
                    </w:rPr>
                  </w:pPr>
                </w:p>
              </w:tc>
            </w:tr>
            <w:tr w14:paraId="53C8411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17" w:hRule="atLeast"/>
                <w:jc w:val="center"/>
              </w:trPr>
              <w:tc>
                <w:tcPr>
                  <w:tcW w:w="351" w:type="dxa"/>
                  <w:vMerge w:val="continue"/>
                  <w:tcBorders>
                    <w:tl2br w:val="nil"/>
                    <w:tr2bl w:val="nil"/>
                  </w:tcBorders>
                  <w:noWrap w:val="0"/>
                  <w:vAlign w:val="center"/>
                </w:tcPr>
                <w:p w14:paraId="059AFD9D">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73CA10D3">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bottom w:val="single" w:color="000000" w:sz="2" w:space="0"/>
                    <w:tl2br w:val="nil"/>
                    <w:tr2bl w:val="nil"/>
                  </w:tcBorders>
                  <w:shd w:val="clear" w:color="auto" w:fill="auto"/>
                  <w:noWrap w:val="0"/>
                  <w:vAlign w:val="center"/>
                </w:tcPr>
                <w:p w14:paraId="7B99A94B">
                  <w:pPr>
                    <w:tabs>
                      <w:tab w:val="left" w:pos="1640"/>
                      <w:tab w:val="center" w:pos="4153"/>
                    </w:tabs>
                    <w:adjustRightInd w:val="0"/>
                    <w:snapToGrid w:val="0"/>
                    <w:ind w:left="-105" w:leftChars="-50" w:right="-105" w:rightChars="-50"/>
                    <w:jc w:val="center"/>
                    <w:rPr>
                      <w:rFonts w:hint="eastAsia" w:ascii="Times New Roman" w:hAnsi="Times New Roman" w:eastAsia="宋体" w:cs="Times New Roman"/>
                      <w:bCs/>
                      <w:color w:val="auto"/>
                      <w:kern w:val="0"/>
                      <w:sz w:val="21"/>
                      <w:szCs w:val="21"/>
                      <w:lang w:val="en-US" w:eastAsia="zh-CN" w:bidi="ar-SA"/>
                    </w:rPr>
                  </w:pPr>
                  <w:r>
                    <w:rPr>
                      <w:rFonts w:hint="eastAsia" w:eastAsia="宋体"/>
                      <w:bCs/>
                      <w:color w:val="auto"/>
                      <w:kern w:val="0"/>
                      <w:szCs w:val="21"/>
                      <w:lang w:val="en-US" w:eastAsia="zh-CN"/>
                    </w:rPr>
                    <w:t>废包装材料</w:t>
                  </w:r>
                </w:p>
              </w:tc>
              <w:tc>
                <w:tcPr>
                  <w:tcW w:w="1289" w:type="dxa"/>
                  <w:tcBorders>
                    <w:bottom w:val="single" w:color="000000" w:sz="2" w:space="0"/>
                    <w:tl2br w:val="nil"/>
                    <w:tr2bl w:val="nil"/>
                  </w:tcBorders>
                  <w:shd w:val="clear" w:color="auto" w:fill="auto"/>
                  <w:noWrap w:val="0"/>
                  <w:vAlign w:val="center"/>
                </w:tcPr>
                <w:p w14:paraId="0AFBFA45">
                  <w:pPr>
                    <w:tabs>
                      <w:tab w:val="left" w:pos="1640"/>
                      <w:tab w:val="center" w:pos="4153"/>
                    </w:tabs>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3.3</w:t>
                  </w:r>
                  <w:r>
                    <w:rPr>
                      <w:rFonts w:hint="eastAsia"/>
                      <w:color w:val="auto"/>
                      <w:sz w:val="21"/>
                      <w:szCs w:val="21"/>
                    </w:rPr>
                    <w:t>t/a</w:t>
                  </w:r>
                </w:p>
              </w:tc>
              <w:tc>
                <w:tcPr>
                  <w:tcW w:w="1368" w:type="dxa"/>
                  <w:tcBorders>
                    <w:bottom w:val="single" w:color="000000" w:sz="2" w:space="0"/>
                    <w:tl2br w:val="nil"/>
                    <w:tr2bl w:val="nil"/>
                  </w:tcBorders>
                  <w:shd w:val="clear" w:color="auto" w:fill="auto"/>
                  <w:noWrap w:val="0"/>
                  <w:vAlign w:val="center"/>
                </w:tcPr>
                <w:p w14:paraId="071E58AC">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Times New Roman" w:eastAsia="宋体" w:cs="Times New Roman"/>
                      <w:color w:val="auto"/>
                      <w:kern w:val="2"/>
                      <w:sz w:val="21"/>
                      <w:szCs w:val="21"/>
                      <w:lang w:val="en-US" w:eastAsia="zh-CN" w:bidi="ar-SA"/>
                    </w:rPr>
                  </w:pPr>
                  <w:r>
                    <w:rPr>
                      <w:rFonts w:hint="eastAsia" w:ascii="宋体" w:eastAsia="宋体"/>
                      <w:color w:val="auto"/>
                      <w:sz w:val="21"/>
                      <w:szCs w:val="21"/>
                      <w:lang w:val="en-US" w:eastAsia="zh-CN"/>
                    </w:rPr>
                    <w:t>0</w:t>
                  </w:r>
                </w:p>
              </w:tc>
              <w:tc>
                <w:tcPr>
                  <w:tcW w:w="2149" w:type="dxa"/>
                  <w:tcBorders>
                    <w:tl2br w:val="nil"/>
                    <w:tr2bl w:val="nil"/>
                  </w:tcBorders>
                  <w:shd w:val="clear" w:color="auto" w:fill="auto"/>
                  <w:noWrap w:val="0"/>
                  <w:vAlign w:val="center"/>
                </w:tcPr>
                <w:p w14:paraId="09E97D4B">
                  <w:pPr>
                    <w:keepNext w:val="0"/>
                    <w:keepLines w:val="0"/>
                    <w:pageBreakBefore w:val="0"/>
                    <w:kinsoku/>
                    <w:wordWrap/>
                    <w:overflowPunct/>
                    <w:topLinePunct w:val="0"/>
                    <w:bidi w:val="0"/>
                    <w:spacing w:line="240" w:lineRule="auto"/>
                    <w:jc w:val="center"/>
                    <w:textAlignment w:val="auto"/>
                    <w:rPr>
                      <w:rFonts w:hint="default" w:ascii="Times New Roman" w:hAnsi="Times New Roman" w:eastAsia="Times New Roman" w:cs="Times New Roman"/>
                      <w:color w:val="auto"/>
                      <w:kern w:val="2"/>
                      <w:sz w:val="21"/>
                      <w:szCs w:val="21"/>
                      <w:lang w:val="en-US" w:eastAsia="zh-CN" w:bidi="ar-SA"/>
                    </w:rPr>
                  </w:pPr>
                  <w:r>
                    <w:rPr>
                      <w:rFonts w:hint="eastAsia"/>
                      <w:bCs/>
                      <w:color w:val="auto"/>
                      <w:szCs w:val="21"/>
                    </w:rPr>
                    <w:t>厂家回收利用</w:t>
                  </w:r>
                </w:p>
              </w:tc>
            </w:tr>
            <w:tr w14:paraId="03C1A81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17" w:hRule="atLeast"/>
                <w:jc w:val="center"/>
              </w:trPr>
              <w:tc>
                <w:tcPr>
                  <w:tcW w:w="351" w:type="dxa"/>
                  <w:vMerge w:val="continue"/>
                  <w:tcBorders>
                    <w:tl2br w:val="nil"/>
                    <w:tr2bl w:val="nil"/>
                  </w:tcBorders>
                  <w:noWrap w:val="0"/>
                  <w:vAlign w:val="center"/>
                </w:tcPr>
                <w:p w14:paraId="59E0862E">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7EA8739C">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bottom w:val="single" w:color="000000" w:sz="2" w:space="0"/>
                    <w:tl2br w:val="nil"/>
                    <w:tr2bl w:val="nil"/>
                  </w:tcBorders>
                  <w:shd w:val="clear" w:color="auto" w:fill="auto"/>
                  <w:noWrap w:val="0"/>
                  <w:vAlign w:val="center"/>
                </w:tcPr>
                <w:p w14:paraId="60285E3A">
                  <w:pPr>
                    <w:tabs>
                      <w:tab w:val="left" w:pos="1640"/>
                      <w:tab w:val="center" w:pos="4153"/>
                    </w:tabs>
                    <w:adjustRightInd w:val="0"/>
                    <w:snapToGrid w:val="0"/>
                    <w:ind w:left="-105" w:leftChars="-50" w:right="-105" w:rightChars="-50"/>
                    <w:jc w:val="center"/>
                    <w:rPr>
                      <w:rFonts w:hint="default" w:ascii="Times New Roman" w:hAnsi="Times New Roman" w:eastAsia="Times New Roman" w:cs="Times New Roman"/>
                      <w:color w:val="auto"/>
                      <w:kern w:val="2"/>
                      <w:sz w:val="21"/>
                      <w:szCs w:val="21"/>
                      <w:lang w:val="en-US" w:eastAsia="zh-CN" w:bidi="ar-SA"/>
                    </w:rPr>
                  </w:pPr>
                  <w:r>
                    <w:rPr>
                      <w:rFonts w:hint="eastAsia"/>
                      <w:bCs/>
                      <w:color w:val="auto"/>
                      <w:szCs w:val="21"/>
                    </w:rPr>
                    <w:t>不可利用固体废物</w:t>
                  </w:r>
                </w:p>
              </w:tc>
              <w:tc>
                <w:tcPr>
                  <w:tcW w:w="1289" w:type="dxa"/>
                  <w:tcBorders>
                    <w:bottom w:val="single" w:color="000000" w:sz="2" w:space="0"/>
                    <w:tl2br w:val="nil"/>
                    <w:tr2bl w:val="nil"/>
                  </w:tcBorders>
                  <w:noWrap w:val="0"/>
                  <w:vAlign w:val="center"/>
                </w:tcPr>
                <w:p w14:paraId="6C657CF8">
                  <w:pPr>
                    <w:tabs>
                      <w:tab w:val="left" w:pos="1640"/>
                      <w:tab w:val="center" w:pos="4153"/>
                    </w:tabs>
                    <w:adjustRightInd w:val="0"/>
                    <w:snapToGrid w:val="0"/>
                    <w:ind w:left="-105" w:leftChars="-50" w:right="-105" w:rightChars="-50"/>
                    <w:jc w:val="center"/>
                    <w:rPr>
                      <w:rFonts w:hint="eastAsia"/>
                      <w:color w:val="auto"/>
                      <w:sz w:val="21"/>
                      <w:szCs w:val="21"/>
                    </w:rPr>
                  </w:pPr>
                  <w:r>
                    <w:rPr>
                      <w:rFonts w:hint="eastAsia"/>
                      <w:color w:val="auto"/>
                      <w:szCs w:val="21"/>
                    </w:rPr>
                    <w:t>3043.17</w:t>
                  </w:r>
                  <w:r>
                    <w:rPr>
                      <w:rFonts w:hint="eastAsia"/>
                      <w:color w:val="auto"/>
                      <w:sz w:val="21"/>
                      <w:szCs w:val="21"/>
                    </w:rPr>
                    <w:t>t/a</w:t>
                  </w:r>
                </w:p>
              </w:tc>
              <w:tc>
                <w:tcPr>
                  <w:tcW w:w="1368" w:type="dxa"/>
                  <w:tcBorders>
                    <w:bottom w:val="single" w:color="000000" w:sz="2" w:space="0"/>
                    <w:tl2br w:val="nil"/>
                    <w:tr2bl w:val="nil"/>
                  </w:tcBorders>
                  <w:noWrap w:val="0"/>
                  <w:vAlign w:val="center"/>
                </w:tcPr>
                <w:p w14:paraId="48A29122">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pacing w:val="-6"/>
                      <w:sz w:val="21"/>
                      <w:szCs w:val="21"/>
                    </w:rPr>
                  </w:pPr>
                  <w:r>
                    <w:rPr>
                      <w:rFonts w:hint="default" w:ascii="宋体" w:eastAsia="宋体"/>
                      <w:color w:val="auto"/>
                      <w:spacing w:val="-6"/>
                      <w:sz w:val="21"/>
                      <w:szCs w:val="21"/>
                    </w:rPr>
                    <w:t>0</w:t>
                  </w:r>
                </w:p>
              </w:tc>
              <w:tc>
                <w:tcPr>
                  <w:tcW w:w="2149" w:type="dxa"/>
                  <w:vMerge w:val="restart"/>
                  <w:tcBorders>
                    <w:tl2br w:val="nil"/>
                    <w:tr2bl w:val="nil"/>
                  </w:tcBorders>
                  <w:noWrap w:val="0"/>
                  <w:vAlign w:val="center"/>
                </w:tcPr>
                <w:p w14:paraId="710627D0">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default" w:ascii="宋体" w:eastAsia="宋体"/>
                      <w:color w:val="auto"/>
                      <w:sz w:val="21"/>
                      <w:szCs w:val="21"/>
                    </w:rPr>
                    <w:t>集中收集由环卫部门统一处理</w:t>
                  </w:r>
                </w:p>
              </w:tc>
            </w:tr>
            <w:tr w14:paraId="76555D7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40" w:hRule="atLeast"/>
                <w:jc w:val="center"/>
              </w:trPr>
              <w:tc>
                <w:tcPr>
                  <w:tcW w:w="351" w:type="dxa"/>
                  <w:vMerge w:val="continue"/>
                  <w:tcBorders>
                    <w:tl2br w:val="nil"/>
                    <w:tr2bl w:val="nil"/>
                  </w:tcBorders>
                  <w:noWrap w:val="0"/>
                  <w:vAlign w:val="center"/>
                </w:tcPr>
                <w:p w14:paraId="6C8041C2">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vMerge w:val="continue"/>
                  <w:tcBorders>
                    <w:tl2br w:val="nil"/>
                    <w:tr2bl w:val="nil"/>
                  </w:tcBorders>
                  <w:noWrap w:val="0"/>
                  <w:vAlign w:val="center"/>
                </w:tcPr>
                <w:p w14:paraId="7C5B3E25">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97" w:type="dxa"/>
                  <w:tcBorders>
                    <w:top w:val="single" w:color="000000" w:sz="2" w:space="0"/>
                    <w:tl2br w:val="nil"/>
                    <w:tr2bl w:val="nil"/>
                  </w:tcBorders>
                  <w:shd w:val="clear" w:color="auto" w:fill="auto"/>
                  <w:noWrap w:val="0"/>
                  <w:vAlign w:val="center"/>
                </w:tcPr>
                <w:p w14:paraId="25E413EA">
                  <w:pPr>
                    <w:tabs>
                      <w:tab w:val="left" w:pos="1640"/>
                      <w:tab w:val="center" w:pos="4153"/>
                    </w:tabs>
                    <w:adjustRightInd w:val="0"/>
                    <w:snapToGrid w:val="0"/>
                    <w:ind w:left="-105" w:leftChars="-50" w:right="-105" w:rightChars="-50"/>
                    <w:jc w:val="center"/>
                    <w:rPr>
                      <w:rFonts w:hint="default" w:ascii="Times New Roman" w:hAnsi="Times New Roman" w:eastAsia="Times New Roman" w:cs="Times New Roman"/>
                      <w:color w:val="auto"/>
                      <w:kern w:val="2"/>
                      <w:sz w:val="21"/>
                      <w:szCs w:val="21"/>
                      <w:lang w:val="en-US" w:eastAsia="zh-CN" w:bidi="ar-SA"/>
                    </w:rPr>
                  </w:pPr>
                  <w:r>
                    <w:rPr>
                      <w:rFonts w:hint="eastAsia"/>
                      <w:bCs/>
                      <w:color w:val="auto"/>
                      <w:szCs w:val="21"/>
                    </w:rPr>
                    <w:t>循环水池产生的泥渣</w:t>
                  </w:r>
                </w:p>
              </w:tc>
              <w:tc>
                <w:tcPr>
                  <w:tcW w:w="1289" w:type="dxa"/>
                  <w:tcBorders>
                    <w:top w:val="single" w:color="000000" w:sz="2" w:space="0"/>
                    <w:tl2br w:val="nil"/>
                    <w:tr2bl w:val="nil"/>
                  </w:tcBorders>
                  <w:noWrap w:val="0"/>
                  <w:vAlign w:val="center"/>
                </w:tcPr>
                <w:p w14:paraId="5E482469">
                  <w:pPr>
                    <w:tabs>
                      <w:tab w:val="left" w:pos="1640"/>
                      <w:tab w:val="center" w:pos="4153"/>
                    </w:tabs>
                    <w:adjustRightInd w:val="0"/>
                    <w:snapToGrid w:val="0"/>
                    <w:ind w:left="-105" w:leftChars="-50" w:right="-105" w:rightChars="-50"/>
                    <w:jc w:val="center"/>
                    <w:rPr>
                      <w:rFonts w:hint="default" w:ascii="宋体" w:eastAsia="宋体"/>
                      <w:color w:val="auto"/>
                      <w:sz w:val="21"/>
                      <w:szCs w:val="21"/>
                    </w:rPr>
                  </w:pPr>
                  <w:r>
                    <w:rPr>
                      <w:rFonts w:hint="eastAsia"/>
                      <w:color w:val="auto"/>
                      <w:szCs w:val="21"/>
                    </w:rPr>
                    <w:t>8</w:t>
                  </w:r>
                  <w:r>
                    <w:rPr>
                      <w:rFonts w:hint="eastAsia"/>
                      <w:color w:val="auto"/>
                      <w:sz w:val="21"/>
                      <w:szCs w:val="21"/>
                    </w:rPr>
                    <w:t>t/a</w:t>
                  </w:r>
                </w:p>
              </w:tc>
              <w:tc>
                <w:tcPr>
                  <w:tcW w:w="1368" w:type="dxa"/>
                  <w:tcBorders>
                    <w:top w:val="single" w:color="000000" w:sz="2" w:space="0"/>
                    <w:tl2br w:val="nil"/>
                    <w:tr2bl w:val="nil"/>
                  </w:tcBorders>
                  <w:noWrap w:val="0"/>
                  <w:vAlign w:val="center"/>
                </w:tcPr>
                <w:p w14:paraId="076CB9C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eastAsia="宋体"/>
                      <w:color w:val="auto"/>
                      <w:spacing w:val="-6"/>
                      <w:sz w:val="21"/>
                      <w:szCs w:val="21"/>
                      <w:lang w:val="en-US" w:eastAsia="zh-CN"/>
                    </w:rPr>
                  </w:pPr>
                  <w:r>
                    <w:rPr>
                      <w:rFonts w:hint="eastAsia" w:ascii="宋体" w:eastAsia="宋体"/>
                      <w:color w:val="auto"/>
                      <w:spacing w:val="-6"/>
                      <w:sz w:val="21"/>
                      <w:szCs w:val="21"/>
                      <w:lang w:val="en-US" w:eastAsia="zh-CN"/>
                    </w:rPr>
                    <w:t>0</w:t>
                  </w:r>
                </w:p>
              </w:tc>
              <w:tc>
                <w:tcPr>
                  <w:tcW w:w="2149" w:type="dxa"/>
                  <w:vMerge w:val="continue"/>
                  <w:tcBorders>
                    <w:tl2br w:val="nil"/>
                    <w:tr2bl w:val="nil"/>
                  </w:tcBorders>
                  <w:noWrap w:val="0"/>
                  <w:vAlign w:val="center"/>
                </w:tcPr>
                <w:p w14:paraId="22A7DACD">
                  <w:pPr>
                    <w:keepNext w:val="0"/>
                    <w:keepLines w:val="0"/>
                    <w:pageBreakBefore w:val="0"/>
                    <w:kinsoku/>
                    <w:wordWrap/>
                    <w:overflowPunct/>
                    <w:topLinePunct w:val="0"/>
                    <w:bidi w:val="0"/>
                    <w:spacing w:line="240" w:lineRule="auto"/>
                    <w:jc w:val="center"/>
                    <w:textAlignment w:val="auto"/>
                    <w:rPr>
                      <w:rFonts w:hint="default" w:ascii="宋体" w:eastAsia="宋体"/>
                      <w:color w:val="auto"/>
                      <w:sz w:val="21"/>
                      <w:szCs w:val="21"/>
                    </w:rPr>
                  </w:pPr>
                </w:p>
              </w:tc>
            </w:tr>
            <w:tr w14:paraId="29D4368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65" w:hRule="atLeast"/>
                <w:jc w:val="center"/>
              </w:trPr>
              <w:tc>
                <w:tcPr>
                  <w:tcW w:w="351" w:type="dxa"/>
                  <w:vMerge w:val="continue"/>
                  <w:tcBorders>
                    <w:tl2br w:val="nil"/>
                    <w:tr2bl w:val="nil"/>
                  </w:tcBorders>
                  <w:noWrap w:val="0"/>
                  <w:vAlign w:val="center"/>
                </w:tcPr>
                <w:p w14:paraId="4FA0C3F8">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1170" w:type="dxa"/>
                  <w:tcBorders>
                    <w:tl2br w:val="nil"/>
                    <w:tr2bl w:val="nil"/>
                  </w:tcBorders>
                  <w:noWrap w:val="0"/>
                  <w:vAlign w:val="center"/>
                </w:tcPr>
                <w:p w14:paraId="3F1A1B3E">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职工生活</w:t>
                  </w:r>
                </w:p>
              </w:tc>
              <w:tc>
                <w:tcPr>
                  <w:tcW w:w="1197" w:type="dxa"/>
                  <w:tcBorders>
                    <w:tl2br w:val="nil"/>
                    <w:tr2bl w:val="nil"/>
                  </w:tcBorders>
                  <w:noWrap w:val="0"/>
                  <w:vAlign w:val="center"/>
                </w:tcPr>
                <w:p w14:paraId="60FDFB25">
                  <w:pPr>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default" w:ascii="宋体" w:eastAsia="宋体"/>
                      <w:color w:val="auto"/>
                      <w:sz w:val="21"/>
                      <w:szCs w:val="21"/>
                    </w:rPr>
                    <w:t>生活垃圾</w:t>
                  </w:r>
                </w:p>
              </w:tc>
              <w:tc>
                <w:tcPr>
                  <w:tcW w:w="1289" w:type="dxa"/>
                  <w:tcBorders>
                    <w:tl2br w:val="nil"/>
                    <w:tr2bl w:val="nil"/>
                  </w:tcBorders>
                  <w:noWrap w:val="0"/>
                  <w:vAlign w:val="center"/>
                </w:tcPr>
                <w:p w14:paraId="4A4D97AC">
                  <w:pPr>
                    <w:keepNext w:val="0"/>
                    <w:keepLines w:val="0"/>
                    <w:pageBreakBefore w:val="0"/>
                    <w:kinsoku/>
                    <w:wordWrap/>
                    <w:overflowPunct/>
                    <w:topLinePunct w:val="0"/>
                    <w:bidi w:val="0"/>
                    <w:spacing w:line="240" w:lineRule="auto"/>
                    <w:jc w:val="center"/>
                    <w:textAlignment w:val="auto"/>
                    <w:rPr>
                      <w:rFonts w:hint="eastAsia"/>
                      <w:color w:val="auto"/>
                      <w:sz w:val="21"/>
                      <w:szCs w:val="21"/>
                    </w:rPr>
                  </w:pPr>
                  <w:r>
                    <w:rPr>
                      <w:rFonts w:hint="eastAsia" w:ascii="宋体" w:eastAsia="宋体"/>
                      <w:color w:val="auto"/>
                      <w:sz w:val="21"/>
                      <w:szCs w:val="21"/>
                      <w:lang w:val="en-US" w:eastAsia="zh-CN"/>
                    </w:rPr>
                    <w:t>3</w:t>
                  </w:r>
                  <w:r>
                    <w:rPr>
                      <w:rFonts w:hint="eastAsia"/>
                      <w:color w:val="auto"/>
                      <w:sz w:val="21"/>
                      <w:szCs w:val="21"/>
                    </w:rPr>
                    <w:t>t/a</w:t>
                  </w:r>
                </w:p>
              </w:tc>
              <w:tc>
                <w:tcPr>
                  <w:tcW w:w="1368" w:type="dxa"/>
                  <w:tcBorders>
                    <w:tl2br w:val="nil"/>
                    <w:tr2bl w:val="nil"/>
                  </w:tcBorders>
                  <w:noWrap w:val="0"/>
                  <w:vAlign w:val="center"/>
                </w:tcPr>
                <w:p w14:paraId="78CF7B86">
                  <w:pPr>
                    <w:keepNext w:val="0"/>
                    <w:keepLines w:val="0"/>
                    <w:pageBreakBefore w:val="0"/>
                    <w:kinsoku/>
                    <w:wordWrap/>
                    <w:overflowPunct/>
                    <w:topLinePunct w:val="0"/>
                    <w:bidi w:val="0"/>
                    <w:adjustRightInd w:val="0"/>
                    <w:snapToGrid w:val="0"/>
                    <w:spacing w:line="240" w:lineRule="auto"/>
                    <w:jc w:val="center"/>
                    <w:textAlignment w:val="auto"/>
                    <w:rPr>
                      <w:rFonts w:hint="default" w:ascii="宋体" w:eastAsia="宋体"/>
                      <w:color w:val="auto"/>
                      <w:sz w:val="21"/>
                      <w:szCs w:val="21"/>
                    </w:rPr>
                  </w:pPr>
                  <w:r>
                    <w:rPr>
                      <w:rFonts w:hint="default" w:ascii="宋体" w:eastAsia="宋体"/>
                      <w:color w:val="auto"/>
                      <w:sz w:val="21"/>
                      <w:szCs w:val="21"/>
                    </w:rPr>
                    <w:t>0</w:t>
                  </w:r>
                </w:p>
              </w:tc>
              <w:tc>
                <w:tcPr>
                  <w:tcW w:w="2149" w:type="dxa"/>
                  <w:vMerge w:val="continue"/>
                  <w:tcBorders>
                    <w:tl2br w:val="nil"/>
                    <w:tr2bl w:val="nil"/>
                  </w:tcBorders>
                  <w:noWrap w:val="0"/>
                  <w:vAlign w:val="center"/>
                </w:tcPr>
                <w:p w14:paraId="12D88B8A">
                  <w:pPr>
                    <w:keepNext w:val="0"/>
                    <w:keepLines w:val="0"/>
                    <w:pageBreakBefore w:val="0"/>
                    <w:kinsoku/>
                    <w:wordWrap/>
                    <w:overflowPunct/>
                    <w:topLinePunct w:val="0"/>
                    <w:bidi w:val="0"/>
                    <w:spacing w:line="240" w:lineRule="auto"/>
                    <w:jc w:val="center"/>
                    <w:textAlignment w:val="auto"/>
                    <w:rPr>
                      <w:rFonts w:hint="eastAsia"/>
                      <w:color w:val="auto"/>
                      <w:sz w:val="21"/>
                      <w:szCs w:val="21"/>
                    </w:rPr>
                  </w:pPr>
                </w:p>
              </w:tc>
            </w:tr>
          </w:tbl>
          <w:p w14:paraId="7AD1C26D">
            <w:pPr>
              <w:pStyle w:val="46"/>
              <w:numPr>
                <w:ilvl w:val="0"/>
                <w:numId w:val="9"/>
              </w:numPr>
              <w:spacing w:beforeLines="0" w:afterLines="0"/>
              <w:ind w:firstLine="482"/>
              <w:rPr>
                <w:rFonts w:hint="eastAsia"/>
                <w:b/>
                <w:color w:val="auto"/>
                <w:sz w:val="24"/>
                <w:szCs w:val="20"/>
              </w:rPr>
            </w:pPr>
            <w:r>
              <w:rPr>
                <w:rFonts w:hint="eastAsia"/>
                <w:b/>
                <w:color w:val="auto"/>
                <w:sz w:val="24"/>
                <w:szCs w:val="20"/>
              </w:rPr>
              <w:t>现有项目验收意见及整改措施</w:t>
            </w:r>
          </w:p>
          <w:p w14:paraId="1741DF1D">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eastAsia"/>
                <w:color w:val="auto"/>
                <w:sz w:val="24"/>
                <w:szCs w:val="20"/>
              </w:rPr>
            </w:pPr>
            <w:r>
              <w:rPr>
                <w:rFonts w:hint="eastAsia"/>
                <w:color w:val="auto"/>
                <w:sz w:val="24"/>
                <w:szCs w:val="20"/>
              </w:rPr>
              <w:t>1、现有项目验收意见：</w:t>
            </w:r>
          </w:p>
          <w:p w14:paraId="102A8C56">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eastAsia" w:eastAsia="宋体" w:cs="宋体"/>
                <w:color w:val="auto"/>
                <w:sz w:val="24"/>
                <w:szCs w:val="24"/>
                <w:lang w:eastAsia="zh-CN"/>
              </w:rPr>
            </w:pPr>
            <w:r>
              <w:rPr>
                <w:rFonts w:hint="eastAsia" w:cs="宋体"/>
                <w:color w:val="auto"/>
                <w:sz w:val="24"/>
                <w:szCs w:val="24"/>
              </w:rPr>
              <w:t>①加强生产管理，健全污染治理设施运行和维护台账，做好环评和批复要求的各项环保设施的维护检修,保障正常运行,确保各项污染物稳定达标排放</w:t>
            </w:r>
            <w:r>
              <w:rPr>
                <w:rFonts w:hint="eastAsia" w:eastAsia="宋体" w:cs="宋体"/>
                <w:color w:val="auto"/>
                <w:sz w:val="24"/>
                <w:szCs w:val="24"/>
                <w:lang w:eastAsia="zh-CN"/>
              </w:rPr>
              <w:t>。</w:t>
            </w:r>
          </w:p>
          <w:p w14:paraId="00B557AB">
            <w:pPr>
              <w:pStyle w:val="46"/>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480" w:firstLineChars="200"/>
              <w:textAlignment w:val="auto"/>
              <w:rPr>
                <w:rFonts w:hint="eastAsia" w:cs="宋体"/>
                <w:color w:val="auto"/>
                <w:sz w:val="24"/>
                <w:szCs w:val="24"/>
              </w:rPr>
            </w:pPr>
            <w:r>
              <w:rPr>
                <w:rFonts w:hint="eastAsia" w:cs="宋体"/>
                <w:color w:val="auto"/>
                <w:sz w:val="24"/>
                <w:szCs w:val="24"/>
              </w:rPr>
              <w:t>②完善设备废润滑油收集措施，减少跑冒滴漏:加强危险废物管理，做好危险废物管理台账，定期更换活性炭，补充危险废物处理协议,规范危险废物暂存间建设。</w:t>
            </w:r>
          </w:p>
          <w:p w14:paraId="53778F81">
            <w:pPr>
              <w:pStyle w:val="46"/>
              <w:numPr>
                <w:ilvl w:val="0"/>
                <w:numId w:val="11"/>
              </w:numPr>
              <w:spacing w:beforeLines="0" w:afterLines="0"/>
              <w:ind w:firstLine="480"/>
              <w:rPr>
                <w:rFonts w:hint="eastAsia" w:cs="宋体"/>
                <w:color w:val="auto"/>
                <w:sz w:val="24"/>
                <w:szCs w:val="24"/>
              </w:rPr>
            </w:pPr>
            <w:r>
              <w:rPr>
                <w:rFonts w:hint="eastAsia" w:cs="宋体"/>
                <w:color w:val="auto"/>
                <w:sz w:val="24"/>
                <w:szCs w:val="24"/>
              </w:rPr>
              <w:t>以新带老环保措施落实情况：</w:t>
            </w:r>
          </w:p>
          <w:p w14:paraId="5652DBEE">
            <w:pPr>
              <w:widowControl/>
              <w:spacing w:beforeLines="0" w:afterLines="0"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根据对照环评批复内容及现行环保要求，</w:t>
            </w:r>
            <w:r>
              <w:rPr>
                <w:rFonts w:hint="eastAsia" w:ascii="宋体" w:hAnsi="宋体" w:eastAsia="宋体" w:cs="宋体"/>
                <w:color w:val="auto"/>
                <w:sz w:val="24"/>
                <w:szCs w:val="24"/>
              </w:rPr>
              <w:t>经过现场勘察，项目按要求加强对各环保设施的日常运行、管理和维护，并按要求定期更换</w:t>
            </w:r>
            <w:r>
              <w:rPr>
                <w:rFonts w:hint="eastAsia" w:cs="宋体"/>
                <w:color w:val="auto"/>
                <w:sz w:val="24"/>
                <w:szCs w:val="24"/>
              </w:rPr>
              <w:t>活性炭</w:t>
            </w:r>
            <w:r>
              <w:rPr>
                <w:rFonts w:hint="eastAsia" w:ascii="宋体" w:hAnsi="宋体" w:eastAsia="宋体" w:cs="宋体"/>
                <w:color w:val="auto"/>
                <w:sz w:val="24"/>
                <w:szCs w:val="24"/>
              </w:rPr>
              <w:t>；</w:t>
            </w:r>
          </w:p>
          <w:p w14:paraId="3B78EEDD">
            <w:pPr>
              <w:widowControl/>
              <w:spacing w:beforeLines="0" w:afterLines="0" w:line="360" w:lineRule="auto"/>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项目对现有问题及以新带老环保措施如下：</w:t>
            </w:r>
          </w:p>
          <w:p w14:paraId="47B38397">
            <w:pPr>
              <w:widowControl/>
              <w:numPr>
                <w:ilvl w:val="0"/>
                <w:numId w:val="12"/>
              </w:numPr>
              <w:spacing w:beforeLines="0" w:afterLines="0" w:line="360" w:lineRule="auto"/>
              <w:ind w:firstLine="480" w:firstLineChars="200"/>
              <w:jc w:val="left"/>
              <w:rPr>
                <w:rFonts w:hint="eastAsia" w:ascii="宋体" w:hAnsi="宋体" w:eastAsia="宋体" w:cs="宋体"/>
                <w:color w:val="auto"/>
                <w:sz w:val="24"/>
                <w:szCs w:val="24"/>
                <w:lang w:eastAsia="zh-CN"/>
              </w:rPr>
            </w:pPr>
            <w:r>
              <w:rPr>
                <w:rFonts w:hint="eastAsia"/>
                <w:color w:val="auto"/>
                <w:sz w:val="24"/>
                <w:szCs w:val="24"/>
                <w:lang w:val="en-US" w:eastAsia="zh-CN"/>
              </w:rPr>
              <w:t>按要求完善建设项目环境影响报告表中生产工艺，并在项目技改取得环评批复后及时更新排污许可证；</w:t>
            </w:r>
          </w:p>
          <w:p w14:paraId="23B8AE96">
            <w:pPr>
              <w:widowControl/>
              <w:numPr>
                <w:ilvl w:val="0"/>
                <w:numId w:val="12"/>
              </w:numPr>
              <w:spacing w:beforeLines="0" w:afterLines="0"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加强环境管理，严格执行各项环保规章制度，加强环保设施的运行管理和维护，确保各项污染物稳定达标排放</w:t>
            </w:r>
            <w:r>
              <w:rPr>
                <w:rFonts w:hint="eastAsia" w:ascii="宋体" w:hAnsi="宋体" w:eastAsia="宋体" w:cs="宋体"/>
                <w:color w:val="auto"/>
                <w:sz w:val="24"/>
                <w:szCs w:val="24"/>
              </w:rPr>
              <w:t>；</w:t>
            </w:r>
          </w:p>
          <w:p w14:paraId="2E85D783">
            <w:pPr>
              <w:widowControl/>
              <w:numPr>
                <w:ilvl w:val="0"/>
                <w:numId w:val="12"/>
              </w:numPr>
              <w:spacing w:beforeLines="0" w:afterLines="0" w:line="360" w:lineRule="auto"/>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规范固体废物存储、转运和处置，做好登记台账</w:t>
            </w:r>
            <w:r>
              <w:rPr>
                <w:rFonts w:hint="eastAsia" w:ascii="宋体" w:hAnsi="宋体" w:eastAsia="宋体" w:cs="宋体"/>
                <w:color w:val="auto"/>
                <w:sz w:val="24"/>
                <w:szCs w:val="24"/>
                <w:lang w:eastAsia="zh-CN"/>
              </w:rPr>
              <w:t>；</w:t>
            </w:r>
          </w:p>
          <w:p w14:paraId="5F5F17EB">
            <w:pPr>
              <w:rPr>
                <w:rFonts w:hint="eastAsia"/>
                <w:color w:val="auto"/>
                <w:lang w:val="en-US" w:eastAsia="zh-CN"/>
              </w:rPr>
            </w:pPr>
          </w:p>
          <w:p w14:paraId="2B28DAB3">
            <w:pPr>
              <w:pStyle w:val="27"/>
              <w:rPr>
                <w:rFonts w:hint="eastAsia"/>
                <w:color w:val="auto"/>
                <w:lang w:val="en-US" w:eastAsia="zh-CN"/>
              </w:rPr>
            </w:pPr>
          </w:p>
          <w:p w14:paraId="6758A5CC">
            <w:pPr>
              <w:rPr>
                <w:rFonts w:hint="default" w:ascii="Times New Roman" w:hAnsi="Times New Roman" w:eastAsia="Times New Roman" w:cs="Times New Roman"/>
                <w:color w:val="auto"/>
                <w:kern w:val="2"/>
                <w:sz w:val="21"/>
                <w:szCs w:val="24"/>
                <w:lang w:val="en-US" w:eastAsia="zh-CN" w:bidi="ar-SA"/>
              </w:rPr>
            </w:pPr>
          </w:p>
        </w:tc>
      </w:tr>
    </w:tbl>
    <w:p w14:paraId="719E604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FEC2333">
      <w:pPr>
        <w:pStyle w:val="14"/>
        <w:pageBreakBefore w:val="0"/>
        <w:topLinePunct w:val="0"/>
        <w:bidi w:val="0"/>
        <w:adjustRightInd/>
        <w:snapToGrid/>
        <w:spacing w:before="0" w:beforeAutospacing="0" w:after="0" w:afterAutospacing="0"/>
        <w:ind w:left="0" w:leftChars="0" w:right="0" w:rightChars="0"/>
        <w:jc w:val="center"/>
        <w:outlineLvl w:val="0"/>
        <w:rPr>
          <w:rFonts w:ascii="黑体" w:hAnsi="黑体" w:eastAsia="黑体"/>
          <w:snapToGrid w:val="0"/>
          <w:color w:val="auto"/>
          <w:sz w:val="30"/>
          <w:szCs w:val="30"/>
        </w:rPr>
      </w:pPr>
      <w:bookmarkStart w:id="2" w:name="_Toc5620"/>
      <w:r>
        <w:rPr>
          <w:rFonts w:hint="eastAsia" w:ascii="黑体" w:hAnsi="黑体" w:eastAsia="黑体"/>
          <w:snapToGrid w:val="0"/>
          <w:color w:val="auto"/>
          <w:sz w:val="30"/>
          <w:szCs w:val="30"/>
        </w:rPr>
        <w:t>三、区域环境质量现状、环境保护目标及评价标准</w:t>
      </w:r>
      <w:bookmarkEnd w:id="2"/>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8"/>
        <w:gridCol w:w="7754"/>
      </w:tblGrid>
      <w:tr w14:paraId="415F6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noWrap w:val="0"/>
            <w:vAlign w:val="center"/>
          </w:tcPr>
          <w:p w14:paraId="5FCFA107">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区域</w:t>
            </w:r>
          </w:p>
          <w:p w14:paraId="619D12B7">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1D561A33">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质量</w:t>
            </w:r>
          </w:p>
          <w:p w14:paraId="5474844A">
            <w:pPr>
              <w:pageBreakBefore w:val="0"/>
              <w:topLinePunct w:val="0"/>
              <w:bidi w:val="0"/>
              <w:adjustRightInd/>
              <w:snapToGrid/>
              <w:spacing w:beforeAutospacing="0" w:afterAutospacing="0"/>
              <w:ind w:left="0" w:leftChars="0" w:right="0" w:rightChars="0"/>
              <w:jc w:val="center"/>
              <w:rPr>
                <w:rFonts w:ascii="宋体" w:hAnsi="宋体" w:cs="宋体"/>
                <w:color w:val="auto"/>
                <w:kern w:val="0"/>
                <w:sz w:val="24"/>
                <w:szCs w:val="24"/>
              </w:rPr>
            </w:pPr>
            <w:r>
              <w:rPr>
                <w:rFonts w:hint="eastAsia" w:ascii="宋体" w:hAnsi="宋体" w:cs="宋体"/>
                <w:color w:val="auto"/>
                <w:kern w:val="0"/>
                <w:sz w:val="24"/>
                <w:szCs w:val="24"/>
              </w:rPr>
              <w:t>现状</w:t>
            </w:r>
          </w:p>
        </w:tc>
        <w:tc>
          <w:tcPr>
            <w:tcW w:w="7754" w:type="dxa"/>
            <w:noWrap w:val="0"/>
            <w:vAlign w:val="center"/>
          </w:tcPr>
          <w:p w14:paraId="1F3D93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b w:val="0"/>
                <w:bCs/>
                <w:color w:val="auto"/>
                <w:sz w:val="24"/>
                <w:szCs w:val="24"/>
              </w:rPr>
            </w:pPr>
            <w:r>
              <w:rPr>
                <w:rFonts w:hint="eastAsia"/>
                <w:b w:val="0"/>
                <w:bCs/>
                <w:color w:val="auto"/>
                <w:sz w:val="24"/>
                <w:szCs w:val="24"/>
                <w:lang w:val="en-US" w:eastAsia="zh-CN"/>
              </w:rPr>
              <w:t>1、</w:t>
            </w:r>
            <w:r>
              <w:rPr>
                <w:rFonts w:hint="default"/>
                <w:b w:val="0"/>
                <w:bCs/>
                <w:color w:val="auto"/>
                <w:sz w:val="24"/>
                <w:szCs w:val="24"/>
                <w:lang w:val="zh-CN"/>
              </w:rPr>
              <w:t>大气环境质量</w:t>
            </w:r>
          </w:p>
          <w:p w14:paraId="442D7FAD">
            <w:pPr>
              <w:pageBreakBefore w:val="0"/>
              <w:topLinePunct w:val="0"/>
              <w:bidi w:val="0"/>
              <w:adjustRightInd/>
              <w:snapToGrid/>
              <w:spacing w:beforeAutospacing="0" w:afterAutospacing="0" w:line="360" w:lineRule="auto"/>
              <w:ind w:left="0" w:leftChars="0" w:right="0" w:rightChars="0" w:firstLine="480" w:firstLineChars="200"/>
              <w:rPr>
                <w:rFonts w:hint="default" w:eastAsia="宋体"/>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区域环境质量</w:t>
            </w:r>
          </w:p>
          <w:p w14:paraId="726EBDD8">
            <w:pPr>
              <w:pageBreakBefore w:val="0"/>
              <w:topLinePunct w:val="0"/>
              <w:bidi w:val="0"/>
              <w:adjustRightInd/>
              <w:snapToGrid/>
              <w:spacing w:beforeAutospacing="0" w:afterAutospacing="0" w:line="360" w:lineRule="auto"/>
              <w:ind w:left="0" w:leftChars="0" w:right="0" w:rightChars="0" w:firstLine="480" w:firstLineChars="200"/>
              <w:rPr>
                <w:color w:val="auto"/>
                <w:sz w:val="24"/>
                <w:szCs w:val="24"/>
              </w:rPr>
            </w:pPr>
            <w:r>
              <w:rPr>
                <w:rFonts w:hint="eastAsia"/>
                <w:color w:val="auto"/>
                <w:sz w:val="24"/>
                <w:szCs w:val="24"/>
              </w:rPr>
              <w:t>根据大气功能区划分，本项目所在地为二类功能区，环境空气质量执行《环境空气质量标准》（GB3095-2012）二级标准。环境空气常规因子现状监测资料引用江西省发布的20</w:t>
            </w:r>
            <w:r>
              <w:rPr>
                <w:rFonts w:hint="eastAsia"/>
                <w:color w:val="auto"/>
                <w:sz w:val="24"/>
                <w:szCs w:val="24"/>
                <w:lang w:val="en-US" w:eastAsia="zh-CN"/>
              </w:rPr>
              <w:t>23</w:t>
            </w:r>
            <w:r>
              <w:rPr>
                <w:rFonts w:hint="eastAsia"/>
                <w:color w:val="auto"/>
                <w:sz w:val="24"/>
                <w:szCs w:val="24"/>
              </w:rPr>
              <w:t>年江西省各县（市、区）六项污染物浓度年均值中</w:t>
            </w:r>
            <w:r>
              <w:rPr>
                <w:rFonts w:hint="eastAsia"/>
                <w:color w:val="auto"/>
                <w:sz w:val="24"/>
                <w:szCs w:val="24"/>
                <w:lang w:eastAsia="zh-CN"/>
              </w:rPr>
              <w:t>永修县</w:t>
            </w:r>
            <w:r>
              <w:rPr>
                <w:rFonts w:hint="eastAsia"/>
                <w:color w:val="auto"/>
                <w:sz w:val="24"/>
                <w:szCs w:val="24"/>
              </w:rPr>
              <w:t>数据，监测结果见</w:t>
            </w:r>
            <w:r>
              <w:rPr>
                <w:rFonts w:hint="eastAsia"/>
                <w:color w:val="auto"/>
                <w:sz w:val="24"/>
                <w:szCs w:val="24"/>
                <w:lang w:eastAsia="zh-CN"/>
              </w:rPr>
              <w:t>下表</w:t>
            </w:r>
            <w:r>
              <w:rPr>
                <w:rFonts w:hint="eastAsia"/>
                <w:color w:val="auto"/>
                <w:sz w:val="24"/>
                <w:szCs w:val="24"/>
              </w:rPr>
              <w:t>。</w:t>
            </w:r>
          </w:p>
          <w:p w14:paraId="37E348A3">
            <w:pPr>
              <w:pStyle w:val="58"/>
              <w:numPr>
                <w:ilvl w:val="5"/>
                <w:numId w:val="0"/>
              </w:numPr>
              <w:bidi w:val="0"/>
              <w:ind w:leftChars="0"/>
              <w:jc w:val="center"/>
              <w:rPr>
                <w:rFonts w:hint="default"/>
                <w:color w:val="auto"/>
              </w:rPr>
            </w:pPr>
            <w:r>
              <w:rPr>
                <w:rFonts w:hint="eastAsia" w:ascii="Times New Roman" w:hAnsi="Times New Roman" w:cs="Times New Roman"/>
                <w:b/>
                <w:color w:val="auto"/>
                <w:sz w:val="21"/>
                <w:szCs w:val="21"/>
              </w:rPr>
              <w:t>表3</w:t>
            </w:r>
            <w:r>
              <w:rPr>
                <w:rFonts w:hint="eastAsia" w:ascii="Times New Roman" w:hAnsi="Times New Roman" w:cs="Times New Roman"/>
                <w:b/>
                <w:color w:val="auto"/>
                <w:sz w:val="21"/>
                <w:szCs w:val="21"/>
                <w:lang w:val="en-US" w:eastAsia="zh-CN"/>
              </w:rPr>
              <w:t>-</w:t>
            </w:r>
            <w:r>
              <w:rPr>
                <w:rFonts w:hint="eastAsia" w:ascii="Times New Roman" w:hAnsi="Times New Roman" w:cs="Times New Roman"/>
                <w:b/>
                <w:color w:val="auto"/>
                <w:sz w:val="21"/>
                <w:szCs w:val="21"/>
              </w:rPr>
              <w:t>1    项目所在区域环境空气质量现状评价</w:t>
            </w:r>
            <w:r>
              <w:rPr>
                <w:rFonts w:hint="eastAsia" w:ascii="宋体" w:hAnsi="宋体" w:eastAsia="宋体" w:cs="宋体"/>
                <w:color w:val="auto"/>
                <w:sz w:val="21"/>
                <w:szCs w:val="21"/>
                <w:lang w:val="en-US" w:eastAsia="zh-CN"/>
              </w:rPr>
              <w:t>一览</w:t>
            </w:r>
            <w:r>
              <w:rPr>
                <w:rFonts w:hint="default"/>
                <w:color w:val="auto"/>
              </w:rPr>
              <w:t>表</w:t>
            </w:r>
          </w:p>
          <w:tbl>
            <w:tblPr>
              <w:tblStyle w:val="2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720"/>
              <w:gridCol w:w="1478"/>
              <w:gridCol w:w="1094"/>
              <w:gridCol w:w="1087"/>
              <w:gridCol w:w="1280"/>
              <w:gridCol w:w="911"/>
              <w:gridCol w:w="963"/>
            </w:tblGrid>
            <w:tr w14:paraId="4F03932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14:paraId="7005D242">
                  <w:pPr>
                    <w:pageBreakBefore w:val="0"/>
                    <w:topLinePunct w:val="0"/>
                    <w:bidi w:val="0"/>
                    <w:adjustRightInd/>
                    <w:snapToGrid/>
                    <w:spacing w:beforeAutospacing="0" w:afterAutospacing="0" w:line="240" w:lineRule="auto"/>
                    <w:ind w:left="0" w:leftChars="0" w:right="0" w:rightChars="0"/>
                    <w:jc w:val="center"/>
                    <w:rPr>
                      <w:b/>
                      <w:color w:val="auto"/>
                      <w:sz w:val="21"/>
                      <w:szCs w:val="21"/>
                    </w:rPr>
                  </w:pPr>
                  <w:r>
                    <w:rPr>
                      <w:b/>
                      <w:color w:val="auto"/>
                      <w:sz w:val="21"/>
                      <w:szCs w:val="21"/>
                    </w:rPr>
                    <w:t>污染物</w:t>
                  </w:r>
                </w:p>
              </w:tc>
              <w:tc>
                <w:tcPr>
                  <w:tcW w:w="981" w:type="pct"/>
                  <w:tcBorders>
                    <w:tl2br w:val="nil"/>
                    <w:tr2bl w:val="nil"/>
                  </w:tcBorders>
                  <w:noWrap w:val="0"/>
                  <w:vAlign w:val="center"/>
                </w:tcPr>
                <w:p w14:paraId="75BFC5E1">
                  <w:pPr>
                    <w:pageBreakBefore w:val="0"/>
                    <w:topLinePunct w:val="0"/>
                    <w:bidi w:val="0"/>
                    <w:adjustRightInd/>
                    <w:snapToGrid/>
                    <w:spacing w:beforeAutospacing="0" w:afterAutospacing="0" w:line="240" w:lineRule="auto"/>
                    <w:ind w:left="0" w:leftChars="0" w:right="0" w:rightChars="0"/>
                    <w:jc w:val="center"/>
                    <w:rPr>
                      <w:b/>
                      <w:color w:val="auto"/>
                      <w:sz w:val="21"/>
                      <w:szCs w:val="21"/>
                    </w:rPr>
                  </w:pPr>
                  <w:r>
                    <w:rPr>
                      <w:b/>
                      <w:color w:val="auto"/>
                      <w:sz w:val="21"/>
                      <w:szCs w:val="21"/>
                    </w:rPr>
                    <w:t>年评价指标</w:t>
                  </w:r>
                </w:p>
              </w:tc>
              <w:tc>
                <w:tcPr>
                  <w:tcW w:w="726" w:type="pct"/>
                  <w:tcBorders>
                    <w:tl2br w:val="nil"/>
                    <w:tr2bl w:val="nil"/>
                  </w:tcBorders>
                  <w:noWrap w:val="0"/>
                  <w:vAlign w:val="center"/>
                </w:tcPr>
                <w:p w14:paraId="5B6F29DA">
                  <w:pPr>
                    <w:pageBreakBefore w:val="0"/>
                    <w:topLinePunct w:val="0"/>
                    <w:bidi w:val="0"/>
                    <w:adjustRightInd/>
                    <w:snapToGrid/>
                    <w:spacing w:beforeAutospacing="0" w:afterAutospacing="0" w:line="240" w:lineRule="auto"/>
                    <w:ind w:left="0" w:leftChars="0" w:right="0" w:rightChars="0"/>
                    <w:jc w:val="center"/>
                    <w:rPr>
                      <w:b/>
                      <w:color w:val="auto"/>
                      <w:sz w:val="21"/>
                      <w:szCs w:val="21"/>
                    </w:rPr>
                  </w:pPr>
                  <w:r>
                    <w:rPr>
                      <w:b/>
                      <w:color w:val="auto"/>
                      <w:sz w:val="21"/>
                      <w:szCs w:val="21"/>
                    </w:rPr>
                    <w:t>评价标准（μg/m</w:t>
                  </w:r>
                  <w:r>
                    <w:rPr>
                      <w:b/>
                      <w:color w:val="auto"/>
                      <w:sz w:val="21"/>
                      <w:szCs w:val="21"/>
                      <w:vertAlign w:val="superscript"/>
                    </w:rPr>
                    <w:t>3</w:t>
                  </w:r>
                  <w:r>
                    <w:rPr>
                      <w:b/>
                      <w:color w:val="auto"/>
                      <w:sz w:val="21"/>
                      <w:szCs w:val="21"/>
                    </w:rPr>
                    <w:t>）</w:t>
                  </w:r>
                </w:p>
              </w:tc>
              <w:tc>
                <w:tcPr>
                  <w:tcW w:w="721" w:type="pct"/>
                  <w:tcBorders>
                    <w:tl2br w:val="nil"/>
                    <w:tr2bl w:val="nil"/>
                  </w:tcBorders>
                  <w:noWrap w:val="0"/>
                  <w:vAlign w:val="center"/>
                </w:tcPr>
                <w:p w14:paraId="5315439A">
                  <w:pPr>
                    <w:pageBreakBefore w:val="0"/>
                    <w:topLinePunct w:val="0"/>
                    <w:bidi w:val="0"/>
                    <w:adjustRightInd/>
                    <w:snapToGrid/>
                    <w:spacing w:beforeAutospacing="0" w:afterAutospacing="0" w:line="240" w:lineRule="auto"/>
                    <w:ind w:left="0" w:leftChars="0" w:right="0" w:rightChars="0"/>
                    <w:jc w:val="center"/>
                    <w:rPr>
                      <w:b/>
                      <w:color w:val="auto"/>
                      <w:sz w:val="21"/>
                      <w:szCs w:val="21"/>
                    </w:rPr>
                  </w:pPr>
                  <w:r>
                    <w:rPr>
                      <w:b/>
                      <w:color w:val="auto"/>
                      <w:sz w:val="21"/>
                      <w:szCs w:val="21"/>
                    </w:rPr>
                    <w:t>现状浓度（μg/m</w:t>
                  </w:r>
                  <w:r>
                    <w:rPr>
                      <w:b/>
                      <w:color w:val="auto"/>
                      <w:sz w:val="21"/>
                      <w:szCs w:val="21"/>
                      <w:vertAlign w:val="superscript"/>
                    </w:rPr>
                    <w:t>3</w:t>
                  </w:r>
                  <w:r>
                    <w:rPr>
                      <w:b/>
                      <w:color w:val="auto"/>
                      <w:sz w:val="21"/>
                      <w:szCs w:val="21"/>
                    </w:rPr>
                    <w:t>）</w:t>
                  </w:r>
                </w:p>
              </w:tc>
              <w:tc>
                <w:tcPr>
                  <w:tcW w:w="849" w:type="pct"/>
                  <w:tcBorders>
                    <w:tl2br w:val="nil"/>
                    <w:tr2bl w:val="nil"/>
                  </w:tcBorders>
                  <w:noWrap w:val="0"/>
                  <w:vAlign w:val="center"/>
                </w:tcPr>
                <w:p w14:paraId="34951977">
                  <w:pPr>
                    <w:pageBreakBefore w:val="0"/>
                    <w:topLinePunct w:val="0"/>
                    <w:bidi w:val="0"/>
                    <w:adjustRightInd/>
                    <w:snapToGrid/>
                    <w:spacing w:beforeAutospacing="0" w:afterAutospacing="0" w:line="240" w:lineRule="auto"/>
                    <w:ind w:left="0" w:leftChars="0" w:right="0" w:rightChars="0"/>
                    <w:jc w:val="center"/>
                    <w:rPr>
                      <w:b/>
                      <w:color w:val="auto"/>
                      <w:sz w:val="21"/>
                      <w:szCs w:val="21"/>
                    </w:rPr>
                  </w:pPr>
                  <w:r>
                    <w:rPr>
                      <w:b/>
                      <w:color w:val="auto"/>
                      <w:sz w:val="21"/>
                      <w:szCs w:val="21"/>
                    </w:rPr>
                    <w:t>最大浓度占标率（%）</w:t>
                  </w:r>
                </w:p>
              </w:tc>
              <w:tc>
                <w:tcPr>
                  <w:tcW w:w="604" w:type="pct"/>
                  <w:tcBorders>
                    <w:tl2br w:val="nil"/>
                    <w:tr2bl w:val="nil"/>
                  </w:tcBorders>
                  <w:noWrap w:val="0"/>
                  <w:vAlign w:val="center"/>
                </w:tcPr>
                <w:p w14:paraId="4A6CFC46">
                  <w:pPr>
                    <w:pageBreakBefore w:val="0"/>
                    <w:topLinePunct w:val="0"/>
                    <w:bidi w:val="0"/>
                    <w:adjustRightInd/>
                    <w:snapToGrid/>
                    <w:spacing w:beforeAutospacing="0" w:afterAutospacing="0" w:line="240" w:lineRule="auto"/>
                    <w:ind w:left="0" w:leftChars="0" w:right="0" w:rightChars="0"/>
                    <w:jc w:val="center"/>
                    <w:rPr>
                      <w:b/>
                      <w:color w:val="auto"/>
                      <w:sz w:val="21"/>
                      <w:szCs w:val="21"/>
                    </w:rPr>
                  </w:pPr>
                  <w:r>
                    <w:rPr>
                      <w:b/>
                      <w:color w:val="auto"/>
                      <w:sz w:val="21"/>
                      <w:szCs w:val="21"/>
                    </w:rPr>
                    <w:t>超标频率（%）</w:t>
                  </w:r>
                </w:p>
              </w:tc>
              <w:tc>
                <w:tcPr>
                  <w:tcW w:w="639" w:type="pct"/>
                  <w:tcBorders>
                    <w:tl2br w:val="nil"/>
                    <w:tr2bl w:val="nil"/>
                  </w:tcBorders>
                  <w:noWrap w:val="0"/>
                  <w:vAlign w:val="center"/>
                </w:tcPr>
                <w:p w14:paraId="207B8B0F">
                  <w:pPr>
                    <w:pageBreakBefore w:val="0"/>
                    <w:topLinePunct w:val="0"/>
                    <w:bidi w:val="0"/>
                    <w:adjustRightInd/>
                    <w:snapToGrid/>
                    <w:spacing w:beforeAutospacing="0" w:afterAutospacing="0" w:line="240" w:lineRule="auto"/>
                    <w:ind w:left="0" w:leftChars="0" w:right="0" w:rightChars="0"/>
                    <w:jc w:val="center"/>
                    <w:rPr>
                      <w:b/>
                      <w:color w:val="auto"/>
                      <w:sz w:val="21"/>
                      <w:szCs w:val="21"/>
                    </w:rPr>
                  </w:pPr>
                  <w:r>
                    <w:rPr>
                      <w:b/>
                      <w:color w:val="auto"/>
                      <w:sz w:val="21"/>
                      <w:szCs w:val="21"/>
                    </w:rPr>
                    <w:t>达标情况</w:t>
                  </w:r>
                </w:p>
              </w:tc>
            </w:tr>
            <w:tr w14:paraId="5D66CFF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14:paraId="47828424">
                  <w:pPr>
                    <w:pageBreakBefore w:val="0"/>
                    <w:widowControl/>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SO</w:t>
                  </w:r>
                  <w:r>
                    <w:rPr>
                      <w:color w:val="auto"/>
                      <w:sz w:val="21"/>
                      <w:szCs w:val="21"/>
                      <w:vertAlign w:val="subscript"/>
                    </w:rPr>
                    <w:t>2</w:t>
                  </w:r>
                </w:p>
              </w:tc>
              <w:tc>
                <w:tcPr>
                  <w:tcW w:w="981" w:type="pct"/>
                  <w:tcBorders>
                    <w:tl2br w:val="nil"/>
                    <w:tr2bl w:val="nil"/>
                  </w:tcBorders>
                  <w:noWrap w:val="0"/>
                  <w:vAlign w:val="center"/>
                </w:tcPr>
                <w:p w14:paraId="0D743609">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年均浓度</w:t>
                  </w:r>
                </w:p>
              </w:tc>
              <w:tc>
                <w:tcPr>
                  <w:tcW w:w="726" w:type="pct"/>
                  <w:tcBorders>
                    <w:tl2br w:val="nil"/>
                    <w:tr2bl w:val="nil"/>
                  </w:tcBorders>
                  <w:noWrap w:val="0"/>
                  <w:vAlign w:val="center"/>
                </w:tcPr>
                <w:p w14:paraId="63449801">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60</w:t>
                  </w:r>
                </w:p>
              </w:tc>
              <w:tc>
                <w:tcPr>
                  <w:tcW w:w="721" w:type="pct"/>
                  <w:tcBorders>
                    <w:tl2br w:val="nil"/>
                    <w:tr2bl w:val="nil"/>
                  </w:tcBorders>
                  <w:noWrap w:val="0"/>
                  <w:vAlign w:val="center"/>
                </w:tcPr>
                <w:p w14:paraId="77A969C3">
                  <w:pPr>
                    <w:pStyle w:val="59"/>
                    <w:pageBreakBefore w:val="0"/>
                    <w:kinsoku w:val="0"/>
                    <w:overflowPunct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8</w:t>
                  </w:r>
                </w:p>
              </w:tc>
              <w:tc>
                <w:tcPr>
                  <w:tcW w:w="849" w:type="pct"/>
                  <w:tcBorders>
                    <w:tl2br w:val="nil"/>
                    <w:tr2bl w:val="nil"/>
                  </w:tcBorders>
                  <w:noWrap w:val="0"/>
                  <w:vAlign w:val="center"/>
                </w:tcPr>
                <w:p w14:paraId="08304734">
                  <w:pPr>
                    <w:pStyle w:val="59"/>
                    <w:pageBreakBefore w:val="0"/>
                    <w:kinsoku w:val="0"/>
                    <w:overflowPunct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13.33</w:t>
                  </w:r>
                </w:p>
              </w:tc>
              <w:tc>
                <w:tcPr>
                  <w:tcW w:w="604" w:type="pct"/>
                  <w:tcBorders>
                    <w:tl2br w:val="nil"/>
                    <w:tr2bl w:val="nil"/>
                  </w:tcBorders>
                  <w:noWrap w:val="0"/>
                  <w:vAlign w:val="center"/>
                </w:tcPr>
                <w:p w14:paraId="36D71D78">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0</w:t>
                  </w:r>
                </w:p>
              </w:tc>
              <w:tc>
                <w:tcPr>
                  <w:tcW w:w="639" w:type="pct"/>
                  <w:tcBorders>
                    <w:tl2br w:val="nil"/>
                    <w:tr2bl w:val="nil"/>
                  </w:tcBorders>
                  <w:noWrap w:val="0"/>
                  <w:vAlign w:val="center"/>
                </w:tcPr>
                <w:p w14:paraId="7E7C3BCD">
                  <w:pPr>
                    <w:pageBreakBefore w:val="0"/>
                    <w:widowControl/>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达标</w:t>
                  </w:r>
                </w:p>
              </w:tc>
            </w:tr>
            <w:tr w14:paraId="2CC3A70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14:paraId="7D81046D">
                  <w:pPr>
                    <w:pageBreakBefore w:val="0"/>
                    <w:widowControl/>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NO</w:t>
                  </w:r>
                  <w:r>
                    <w:rPr>
                      <w:color w:val="auto"/>
                      <w:sz w:val="21"/>
                      <w:szCs w:val="21"/>
                      <w:vertAlign w:val="subscript"/>
                    </w:rPr>
                    <w:t>2</w:t>
                  </w:r>
                </w:p>
              </w:tc>
              <w:tc>
                <w:tcPr>
                  <w:tcW w:w="981" w:type="pct"/>
                  <w:tcBorders>
                    <w:tl2br w:val="nil"/>
                    <w:tr2bl w:val="nil"/>
                  </w:tcBorders>
                  <w:noWrap w:val="0"/>
                  <w:vAlign w:val="center"/>
                </w:tcPr>
                <w:p w14:paraId="2ADF731A">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年均浓度</w:t>
                  </w:r>
                </w:p>
              </w:tc>
              <w:tc>
                <w:tcPr>
                  <w:tcW w:w="726" w:type="pct"/>
                  <w:tcBorders>
                    <w:tl2br w:val="nil"/>
                    <w:tr2bl w:val="nil"/>
                  </w:tcBorders>
                  <w:noWrap w:val="0"/>
                  <w:vAlign w:val="center"/>
                </w:tcPr>
                <w:p w14:paraId="712FC5DE">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40</w:t>
                  </w:r>
                </w:p>
              </w:tc>
              <w:tc>
                <w:tcPr>
                  <w:tcW w:w="721" w:type="pct"/>
                  <w:tcBorders>
                    <w:tl2br w:val="nil"/>
                    <w:tr2bl w:val="nil"/>
                  </w:tcBorders>
                  <w:noWrap w:val="0"/>
                  <w:vAlign w:val="center"/>
                </w:tcPr>
                <w:p w14:paraId="1A215CA8">
                  <w:pPr>
                    <w:pStyle w:val="59"/>
                    <w:pageBreakBefore w:val="0"/>
                    <w:kinsoku w:val="0"/>
                    <w:overflowPunct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22</w:t>
                  </w:r>
                </w:p>
              </w:tc>
              <w:tc>
                <w:tcPr>
                  <w:tcW w:w="849" w:type="pct"/>
                  <w:tcBorders>
                    <w:tl2br w:val="nil"/>
                    <w:tr2bl w:val="nil"/>
                  </w:tcBorders>
                  <w:noWrap w:val="0"/>
                  <w:vAlign w:val="center"/>
                </w:tcPr>
                <w:p w14:paraId="18AF7923">
                  <w:pPr>
                    <w:pStyle w:val="59"/>
                    <w:pageBreakBefore w:val="0"/>
                    <w:kinsoku w:val="0"/>
                    <w:overflowPunct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55</w:t>
                  </w:r>
                </w:p>
              </w:tc>
              <w:tc>
                <w:tcPr>
                  <w:tcW w:w="604" w:type="pct"/>
                  <w:tcBorders>
                    <w:tl2br w:val="nil"/>
                    <w:tr2bl w:val="nil"/>
                  </w:tcBorders>
                  <w:noWrap w:val="0"/>
                  <w:vAlign w:val="center"/>
                </w:tcPr>
                <w:p w14:paraId="4058213A">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0</w:t>
                  </w:r>
                </w:p>
              </w:tc>
              <w:tc>
                <w:tcPr>
                  <w:tcW w:w="639" w:type="pct"/>
                  <w:tcBorders>
                    <w:tl2br w:val="nil"/>
                    <w:tr2bl w:val="nil"/>
                  </w:tcBorders>
                  <w:noWrap w:val="0"/>
                  <w:vAlign w:val="center"/>
                </w:tcPr>
                <w:p w14:paraId="2695105F">
                  <w:pPr>
                    <w:pageBreakBefore w:val="0"/>
                    <w:widowControl/>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达标</w:t>
                  </w:r>
                </w:p>
              </w:tc>
            </w:tr>
            <w:tr w14:paraId="1E734E0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14:paraId="0EAA1CD3">
                  <w:pPr>
                    <w:pageBreakBefore w:val="0"/>
                    <w:widowControl/>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PM</w:t>
                  </w:r>
                  <w:r>
                    <w:rPr>
                      <w:color w:val="auto"/>
                      <w:sz w:val="21"/>
                      <w:szCs w:val="21"/>
                      <w:vertAlign w:val="subscript"/>
                    </w:rPr>
                    <w:t>2.5</w:t>
                  </w:r>
                </w:p>
              </w:tc>
              <w:tc>
                <w:tcPr>
                  <w:tcW w:w="981" w:type="pct"/>
                  <w:tcBorders>
                    <w:tl2br w:val="nil"/>
                    <w:tr2bl w:val="nil"/>
                  </w:tcBorders>
                  <w:noWrap w:val="0"/>
                  <w:vAlign w:val="center"/>
                </w:tcPr>
                <w:p w14:paraId="7FB11017">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年均浓度</w:t>
                  </w:r>
                </w:p>
              </w:tc>
              <w:tc>
                <w:tcPr>
                  <w:tcW w:w="726" w:type="pct"/>
                  <w:tcBorders>
                    <w:tl2br w:val="nil"/>
                    <w:tr2bl w:val="nil"/>
                  </w:tcBorders>
                  <w:noWrap w:val="0"/>
                  <w:vAlign w:val="center"/>
                </w:tcPr>
                <w:p w14:paraId="6C8001C4">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35</w:t>
                  </w:r>
                </w:p>
              </w:tc>
              <w:tc>
                <w:tcPr>
                  <w:tcW w:w="721" w:type="pct"/>
                  <w:tcBorders>
                    <w:tl2br w:val="nil"/>
                    <w:tr2bl w:val="nil"/>
                  </w:tcBorders>
                  <w:noWrap w:val="0"/>
                  <w:vAlign w:val="center"/>
                </w:tcPr>
                <w:p w14:paraId="4069D81E">
                  <w:pPr>
                    <w:pStyle w:val="59"/>
                    <w:pageBreakBefore w:val="0"/>
                    <w:kinsoku w:val="0"/>
                    <w:overflowPunct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29</w:t>
                  </w:r>
                </w:p>
              </w:tc>
              <w:tc>
                <w:tcPr>
                  <w:tcW w:w="849" w:type="pct"/>
                  <w:tcBorders>
                    <w:tl2br w:val="nil"/>
                    <w:tr2bl w:val="nil"/>
                  </w:tcBorders>
                  <w:noWrap w:val="0"/>
                  <w:vAlign w:val="center"/>
                </w:tcPr>
                <w:p w14:paraId="02857CD3">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82.86</w:t>
                  </w:r>
                </w:p>
              </w:tc>
              <w:tc>
                <w:tcPr>
                  <w:tcW w:w="604" w:type="pct"/>
                  <w:tcBorders>
                    <w:tl2br w:val="nil"/>
                    <w:tr2bl w:val="nil"/>
                  </w:tcBorders>
                  <w:noWrap w:val="0"/>
                  <w:vAlign w:val="center"/>
                </w:tcPr>
                <w:p w14:paraId="4C202DD6">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0</w:t>
                  </w:r>
                </w:p>
              </w:tc>
              <w:tc>
                <w:tcPr>
                  <w:tcW w:w="639" w:type="pct"/>
                  <w:tcBorders>
                    <w:tl2br w:val="nil"/>
                    <w:tr2bl w:val="nil"/>
                  </w:tcBorders>
                  <w:noWrap w:val="0"/>
                  <w:vAlign w:val="center"/>
                </w:tcPr>
                <w:p w14:paraId="776BD626">
                  <w:pPr>
                    <w:pageBreakBefore w:val="0"/>
                    <w:widowControl/>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达标</w:t>
                  </w:r>
                </w:p>
              </w:tc>
            </w:tr>
            <w:tr w14:paraId="3F4D1FC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14:paraId="419663A1">
                  <w:pPr>
                    <w:pageBreakBefore w:val="0"/>
                    <w:widowControl/>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PM</w:t>
                  </w:r>
                  <w:r>
                    <w:rPr>
                      <w:color w:val="auto"/>
                      <w:sz w:val="21"/>
                      <w:szCs w:val="21"/>
                      <w:vertAlign w:val="subscript"/>
                    </w:rPr>
                    <w:t>10</w:t>
                  </w:r>
                </w:p>
              </w:tc>
              <w:tc>
                <w:tcPr>
                  <w:tcW w:w="981" w:type="pct"/>
                  <w:tcBorders>
                    <w:tl2br w:val="nil"/>
                    <w:tr2bl w:val="nil"/>
                  </w:tcBorders>
                  <w:noWrap w:val="0"/>
                  <w:vAlign w:val="center"/>
                </w:tcPr>
                <w:p w14:paraId="4B153EA8">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年均浓度</w:t>
                  </w:r>
                </w:p>
              </w:tc>
              <w:tc>
                <w:tcPr>
                  <w:tcW w:w="726" w:type="pct"/>
                  <w:tcBorders>
                    <w:tl2br w:val="nil"/>
                    <w:tr2bl w:val="nil"/>
                  </w:tcBorders>
                  <w:noWrap w:val="0"/>
                  <w:vAlign w:val="center"/>
                </w:tcPr>
                <w:p w14:paraId="422E2A9F">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70</w:t>
                  </w:r>
                </w:p>
              </w:tc>
              <w:tc>
                <w:tcPr>
                  <w:tcW w:w="721" w:type="pct"/>
                  <w:tcBorders>
                    <w:tl2br w:val="nil"/>
                    <w:tr2bl w:val="nil"/>
                  </w:tcBorders>
                  <w:noWrap w:val="0"/>
                  <w:vAlign w:val="center"/>
                </w:tcPr>
                <w:p w14:paraId="059D1898">
                  <w:pPr>
                    <w:pStyle w:val="59"/>
                    <w:pageBreakBefore w:val="0"/>
                    <w:kinsoku w:val="0"/>
                    <w:overflowPunct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54</w:t>
                  </w:r>
                </w:p>
              </w:tc>
              <w:tc>
                <w:tcPr>
                  <w:tcW w:w="849" w:type="pct"/>
                  <w:tcBorders>
                    <w:tl2br w:val="nil"/>
                    <w:tr2bl w:val="nil"/>
                  </w:tcBorders>
                  <w:noWrap w:val="0"/>
                  <w:vAlign w:val="center"/>
                </w:tcPr>
                <w:p w14:paraId="461E72B4">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77.14</w:t>
                  </w:r>
                </w:p>
              </w:tc>
              <w:tc>
                <w:tcPr>
                  <w:tcW w:w="604" w:type="pct"/>
                  <w:tcBorders>
                    <w:tl2br w:val="nil"/>
                    <w:tr2bl w:val="nil"/>
                  </w:tcBorders>
                  <w:noWrap w:val="0"/>
                  <w:vAlign w:val="center"/>
                </w:tcPr>
                <w:p w14:paraId="5F1025DB">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0</w:t>
                  </w:r>
                </w:p>
              </w:tc>
              <w:tc>
                <w:tcPr>
                  <w:tcW w:w="639" w:type="pct"/>
                  <w:tcBorders>
                    <w:tl2br w:val="nil"/>
                    <w:tr2bl w:val="nil"/>
                  </w:tcBorders>
                  <w:noWrap w:val="0"/>
                  <w:vAlign w:val="center"/>
                </w:tcPr>
                <w:p w14:paraId="5AF225E8">
                  <w:pPr>
                    <w:pageBreakBefore w:val="0"/>
                    <w:widowControl/>
                    <w:topLinePunct w:val="0"/>
                    <w:bidi w:val="0"/>
                    <w:adjustRightInd/>
                    <w:snapToGrid/>
                    <w:spacing w:beforeAutospacing="0" w:afterAutospacing="0" w:line="240" w:lineRule="auto"/>
                    <w:ind w:left="0" w:leftChars="0" w:right="0" w:rightChars="0"/>
                    <w:jc w:val="center"/>
                    <w:rPr>
                      <w:rFonts w:hint="eastAsia" w:eastAsia="宋体"/>
                      <w:color w:val="auto"/>
                      <w:sz w:val="21"/>
                      <w:szCs w:val="21"/>
                      <w:lang w:eastAsia="zh-CN"/>
                    </w:rPr>
                  </w:pPr>
                  <w:r>
                    <w:rPr>
                      <w:rFonts w:hint="eastAsia"/>
                      <w:color w:val="auto"/>
                      <w:sz w:val="21"/>
                      <w:szCs w:val="21"/>
                      <w:lang w:val="en-US" w:eastAsia="zh-CN"/>
                    </w:rPr>
                    <w:t>达标</w:t>
                  </w:r>
                </w:p>
              </w:tc>
            </w:tr>
            <w:tr w14:paraId="6E0B731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14:paraId="6FDD146B">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CO</w:t>
                  </w:r>
                </w:p>
              </w:tc>
              <w:tc>
                <w:tcPr>
                  <w:tcW w:w="981" w:type="pct"/>
                  <w:tcBorders>
                    <w:tl2br w:val="nil"/>
                    <w:tr2bl w:val="nil"/>
                  </w:tcBorders>
                  <w:noWrap w:val="0"/>
                  <w:vAlign w:val="center"/>
                </w:tcPr>
                <w:p w14:paraId="5A0D5805">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日均值95%位数值</w:t>
                  </w:r>
                </w:p>
              </w:tc>
              <w:tc>
                <w:tcPr>
                  <w:tcW w:w="726" w:type="pct"/>
                  <w:tcBorders>
                    <w:tl2br w:val="nil"/>
                    <w:tr2bl w:val="nil"/>
                  </w:tcBorders>
                  <w:noWrap w:val="0"/>
                  <w:vAlign w:val="center"/>
                </w:tcPr>
                <w:p w14:paraId="6F05FD2F">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color w:val="auto"/>
                      <w:sz w:val="21"/>
                      <w:szCs w:val="21"/>
                      <w:lang w:val="en-US" w:eastAsia="zh-CN"/>
                    </w:rPr>
                    <w:t>4000</w:t>
                  </w:r>
                </w:p>
              </w:tc>
              <w:tc>
                <w:tcPr>
                  <w:tcW w:w="721" w:type="pct"/>
                  <w:tcBorders>
                    <w:tl2br w:val="nil"/>
                    <w:tr2bl w:val="nil"/>
                  </w:tcBorders>
                  <w:noWrap w:val="0"/>
                  <w:vAlign w:val="center"/>
                </w:tcPr>
                <w:p w14:paraId="425EC709">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900</w:t>
                  </w:r>
                </w:p>
              </w:tc>
              <w:tc>
                <w:tcPr>
                  <w:tcW w:w="849" w:type="pct"/>
                  <w:tcBorders>
                    <w:tl2br w:val="nil"/>
                    <w:tr2bl w:val="nil"/>
                  </w:tcBorders>
                  <w:noWrap w:val="0"/>
                  <w:vAlign w:val="center"/>
                </w:tcPr>
                <w:p w14:paraId="1564FFFF">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22.5</w:t>
                  </w:r>
                </w:p>
              </w:tc>
              <w:tc>
                <w:tcPr>
                  <w:tcW w:w="604" w:type="pct"/>
                  <w:tcBorders>
                    <w:tl2br w:val="nil"/>
                    <w:tr2bl w:val="nil"/>
                  </w:tcBorders>
                  <w:noWrap w:val="0"/>
                  <w:vAlign w:val="center"/>
                </w:tcPr>
                <w:p w14:paraId="1623B7E4">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0</w:t>
                  </w:r>
                </w:p>
              </w:tc>
              <w:tc>
                <w:tcPr>
                  <w:tcW w:w="639" w:type="pct"/>
                  <w:tcBorders>
                    <w:tl2br w:val="nil"/>
                    <w:tr2bl w:val="nil"/>
                  </w:tcBorders>
                  <w:noWrap w:val="0"/>
                  <w:vAlign w:val="center"/>
                </w:tcPr>
                <w:p w14:paraId="38CCD9BA">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达标</w:t>
                  </w:r>
                </w:p>
              </w:tc>
            </w:tr>
            <w:tr w14:paraId="1212E57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477" w:type="pct"/>
                  <w:tcBorders>
                    <w:tl2br w:val="nil"/>
                    <w:tr2bl w:val="nil"/>
                  </w:tcBorders>
                  <w:noWrap w:val="0"/>
                  <w:vAlign w:val="center"/>
                </w:tcPr>
                <w:p w14:paraId="6B7A236E">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O</w:t>
                  </w:r>
                  <w:r>
                    <w:rPr>
                      <w:color w:val="auto"/>
                      <w:sz w:val="21"/>
                      <w:szCs w:val="21"/>
                      <w:vertAlign w:val="subscript"/>
                    </w:rPr>
                    <w:t>3</w:t>
                  </w:r>
                </w:p>
              </w:tc>
              <w:tc>
                <w:tcPr>
                  <w:tcW w:w="981" w:type="pct"/>
                  <w:tcBorders>
                    <w:tl2br w:val="nil"/>
                    <w:tr2bl w:val="nil"/>
                  </w:tcBorders>
                  <w:noWrap w:val="0"/>
                  <w:vAlign w:val="center"/>
                </w:tcPr>
                <w:p w14:paraId="4A108512">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rFonts w:hint="eastAsia"/>
                      <w:color w:val="auto"/>
                      <w:sz w:val="21"/>
                      <w:szCs w:val="21"/>
                    </w:rPr>
                    <w:t>日最大8小时值90%位数值</w:t>
                  </w:r>
                </w:p>
              </w:tc>
              <w:tc>
                <w:tcPr>
                  <w:tcW w:w="726" w:type="pct"/>
                  <w:tcBorders>
                    <w:tl2br w:val="nil"/>
                    <w:tr2bl w:val="nil"/>
                  </w:tcBorders>
                  <w:noWrap w:val="0"/>
                  <w:vAlign w:val="center"/>
                </w:tcPr>
                <w:p w14:paraId="71B7F3E0">
                  <w:pPr>
                    <w:pageBreakBefore w:val="0"/>
                    <w:topLinePunct w:val="0"/>
                    <w:bidi w:val="0"/>
                    <w:adjustRightInd/>
                    <w:snapToGrid/>
                    <w:spacing w:beforeAutospacing="0" w:afterAutospacing="0" w:line="240" w:lineRule="auto"/>
                    <w:ind w:left="0" w:leftChars="0" w:right="0" w:rightChars="0"/>
                    <w:jc w:val="center"/>
                    <w:rPr>
                      <w:color w:val="auto"/>
                      <w:sz w:val="21"/>
                      <w:szCs w:val="21"/>
                    </w:rPr>
                  </w:pPr>
                  <w:r>
                    <w:rPr>
                      <w:color w:val="auto"/>
                      <w:sz w:val="21"/>
                      <w:szCs w:val="21"/>
                    </w:rPr>
                    <w:t>160</w:t>
                  </w:r>
                </w:p>
              </w:tc>
              <w:tc>
                <w:tcPr>
                  <w:tcW w:w="721" w:type="pct"/>
                  <w:tcBorders>
                    <w:tl2br w:val="nil"/>
                    <w:tr2bl w:val="nil"/>
                  </w:tcBorders>
                  <w:noWrap w:val="0"/>
                  <w:vAlign w:val="center"/>
                </w:tcPr>
                <w:p w14:paraId="6474057A">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146</w:t>
                  </w:r>
                </w:p>
              </w:tc>
              <w:tc>
                <w:tcPr>
                  <w:tcW w:w="849" w:type="pct"/>
                  <w:tcBorders>
                    <w:tl2br w:val="nil"/>
                    <w:tr2bl w:val="nil"/>
                  </w:tcBorders>
                  <w:noWrap w:val="0"/>
                  <w:vAlign w:val="center"/>
                </w:tcPr>
                <w:p w14:paraId="210F693B">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91.25</w:t>
                  </w:r>
                </w:p>
              </w:tc>
              <w:tc>
                <w:tcPr>
                  <w:tcW w:w="604" w:type="pct"/>
                  <w:tcBorders>
                    <w:tl2br w:val="nil"/>
                    <w:tr2bl w:val="nil"/>
                  </w:tcBorders>
                  <w:noWrap w:val="0"/>
                  <w:vAlign w:val="center"/>
                </w:tcPr>
                <w:p w14:paraId="6C547497">
                  <w:pPr>
                    <w:pageBreakBefore w:val="0"/>
                    <w:topLinePunct w:val="0"/>
                    <w:bidi w:val="0"/>
                    <w:adjustRightInd/>
                    <w:snapToGrid/>
                    <w:spacing w:beforeAutospacing="0" w:afterAutospacing="0" w:line="240" w:lineRule="auto"/>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0</w:t>
                  </w:r>
                </w:p>
              </w:tc>
              <w:tc>
                <w:tcPr>
                  <w:tcW w:w="639" w:type="pct"/>
                  <w:tcBorders>
                    <w:tl2br w:val="nil"/>
                    <w:tr2bl w:val="nil"/>
                  </w:tcBorders>
                  <w:noWrap w:val="0"/>
                  <w:vAlign w:val="center"/>
                </w:tcPr>
                <w:p w14:paraId="615E0D96">
                  <w:pPr>
                    <w:pageBreakBefore w:val="0"/>
                    <w:topLinePunct w:val="0"/>
                    <w:bidi w:val="0"/>
                    <w:adjustRightInd/>
                    <w:snapToGrid/>
                    <w:spacing w:beforeAutospacing="0" w:afterAutospacing="0" w:line="240" w:lineRule="auto"/>
                    <w:ind w:left="0" w:leftChars="0" w:right="0" w:rightChars="0"/>
                    <w:jc w:val="center"/>
                    <w:rPr>
                      <w:rFonts w:hint="eastAsia" w:eastAsia="宋体"/>
                      <w:color w:val="auto"/>
                      <w:sz w:val="21"/>
                      <w:szCs w:val="21"/>
                      <w:lang w:val="en-US" w:eastAsia="zh-CN"/>
                    </w:rPr>
                  </w:pPr>
                  <w:r>
                    <w:rPr>
                      <w:color w:val="auto"/>
                      <w:sz w:val="21"/>
                      <w:szCs w:val="21"/>
                    </w:rPr>
                    <w:t>达标</w:t>
                  </w:r>
                </w:p>
              </w:tc>
            </w:tr>
          </w:tbl>
          <w:p w14:paraId="58B149E0">
            <w:pPr>
              <w:pageBreakBefore w:val="0"/>
              <w:topLinePunct w:val="0"/>
              <w:bidi w:val="0"/>
              <w:adjustRightInd/>
              <w:snapToGrid/>
              <w:spacing w:beforeAutospacing="0" w:afterAutospacing="0" w:line="360" w:lineRule="auto"/>
              <w:ind w:left="0" w:leftChars="0" w:right="0" w:rightChars="0" w:firstLine="480" w:firstLineChars="200"/>
              <w:rPr>
                <w:rFonts w:hint="eastAsia"/>
                <w:color w:val="auto"/>
                <w:sz w:val="24"/>
                <w:szCs w:val="24"/>
                <w:lang w:val="en-US" w:eastAsia="zh-CN"/>
              </w:rPr>
            </w:pPr>
            <w:r>
              <w:rPr>
                <w:rFonts w:hint="default" w:ascii="Times New Roman" w:hAnsi="Times New Roman" w:eastAsia="宋体" w:cs="Times New Roman"/>
                <w:snapToGrid w:val="0"/>
                <w:color w:val="auto"/>
                <w:sz w:val="24"/>
                <w:szCs w:val="24"/>
              </w:rPr>
              <w:t>由</w:t>
            </w:r>
            <w:r>
              <w:rPr>
                <w:rFonts w:hint="eastAsia" w:ascii="Times New Roman" w:hAnsi="Times New Roman" w:eastAsia="宋体" w:cs="Times New Roman"/>
                <w:snapToGrid w:val="0"/>
                <w:color w:val="auto"/>
                <w:sz w:val="24"/>
                <w:szCs w:val="24"/>
                <w:lang w:eastAsia="zh-CN"/>
              </w:rPr>
              <w:t>上</w:t>
            </w:r>
            <w:r>
              <w:rPr>
                <w:rFonts w:hint="default" w:ascii="Times New Roman" w:hAnsi="Times New Roman" w:eastAsia="宋体" w:cs="Times New Roman"/>
                <w:snapToGrid w:val="0"/>
                <w:color w:val="auto"/>
                <w:sz w:val="24"/>
                <w:szCs w:val="24"/>
              </w:rPr>
              <w:t>表可见，</w:t>
            </w: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eastAsia="zh-CN"/>
              </w:rPr>
              <w:t>永修县</w:t>
            </w:r>
            <w:r>
              <w:rPr>
                <w:rFonts w:hint="default" w:ascii="Times New Roman" w:hAnsi="Times New Roman" w:eastAsia="宋体" w:cs="Times New Roman"/>
                <w:color w:val="auto"/>
                <w:sz w:val="24"/>
                <w:szCs w:val="24"/>
              </w:rPr>
              <w:t>环境空气质量</w:t>
            </w:r>
            <w:r>
              <w:rPr>
                <w:rFonts w:hint="default" w:ascii="Times New Roman" w:hAnsi="Times New Roman" w:eastAsia="宋体" w:cs="Times New Roman"/>
                <w:snapToGrid w:val="0"/>
                <w:color w:val="auto"/>
                <w:sz w:val="24"/>
                <w:szCs w:val="24"/>
              </w:rPr>
              <w:t>满足</w:t>
            </w:r>
            <w:r>
              <w:rPr>
                <w:rFonts w:hint="default" w:ascii="Times New Roman" w:hAnsi="Times New Roman" w:eastAsia="宋体" w:cs="Times New Roman"/>
                <w:color w:val="auto"/>
                <w:sz w:val="24"/>
                <w:szCs w:val="24"/>
              </w:rPr>
              <w:t>《环境空气质量标准》 （GB3095-2012）中二级标准要求，因此，项目所在区域为达标区</w:t>
            </w:r>
            <w:r>
              <w:rPr>
                <w:rFonts w:hint="eastAsia"/>
                <w:color w:val="auto"/>
                <w:sz w:val="24"/>
                <w:szCs w:val="24"/>
                <w:lang w:val="en-US" w:eastAsia="zh-CN"/>
              </w:rPr>
              <w:t>。</w:t>
            </w:r>
          </w:p>
          <w:p w14:paraId="690C874F">
            <w:pPr>
              <w:pStyle w:val="8"/>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（2）特征污染物环境质量现状数据</w:t>
            </w:r>
          </w:p>
          <w:p w14:paraId="056B6B0F">
            <w:pPr>
              <w:keepNext w:val="0"/>
              <w:keepLines w:val="0"/>
              <w:pageBreakBefore w:val="0"/>
              <w:kinsoku/>
              <w:wordWrap/>
              <w:overflowPunct/>
              <w:topLinePunct w:val="0"/>
              <w:autoSpaceDE/>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为了解项目所在地区域环境现状质量，</w:t>
            </w:r>
            <w:r>
              <w:rPr>
                <w:rFonts w:hint="eastAsia" w:ascii="Times New Roman" w:hAnsi="Times New Roman" w:eastAsia="宋体" w:cs="Times New Roman"/>
                <w:color w:val="auto"/>
                <w:sz w:val="24"/>
                <w:lang w:eastAsia="zh-CN"/>
              </w:rPr>
              <w:t>本次</w:t>
            </w:r>
            <w:r>
              <w:rPr>
                <w:rFonts w:hint="default" w:ascii="Times New Roman" w:hAnsi="Times New Roman" w:eastAsia="宋体" w:cs="Times New Roman"/>
                <w:color w:val="auto"/>
                <w:sz w:val="24"/>
              </w:rPr>
              <w:t>评价</w:t>
            </w:r>
            <w:r>
              <w:rPr>
                <w:rFonts w:hint="default" w:ascii="Times New Roman" w:hAnsi="Times New Roman" w:eastAsia="宋体" w:cs="Times New Roman"/>
                <w:color w:val="auto"/>
                <w:sz w:val="24"/>
                <w:lang w:val="en-US" w:eastAsia="zh-CN"/>
              </w:rPr>
              <w:t>特征因子T</w:t>
            </w:r>
            <w:r>
              <w:rPr>
                <w:rFonts w:hint="eastAsia" w:ascii="Times New Roman" w:hAnsi="Times New Roman" w:eastAsia="宋体" w:cs="Times New Roman"/>
                <w:color w:val="auto"/>
                <w:sz w:val="24"/>
                <w:lang w:val="en-US" w:eastAsia="zh-CN"/>
              </w:rPr>
              <w:t>SP、VOCs</w:t>
            </w:r>
            <w:r>
              <w:rPr>
                <w:rFonts w:hint="default" w:ascii="Times New Roman" w:hAnsi="Times New Roman" w:eastAsia="宋体" w:cs="Times New Roman"/>
                <w:color w:val="auto"/>
                <w:sz w:val="24"/>
              </w:rPr>
              <w:t>引用</w:t>
            </w:r>
            <w:r>
              <w:rPr>
                <w:rFonts w:hint="eastAsia" w:ascii="Times New Roman" w:hAnsi="Times New Roman" w:eastAsia="宋体" w:cs="Times New Roman"/>
                <w:color w:val="auto"/>
                <w:sz w:val="24"/>
                <w:lang w:val="en-US" w:eastAsia="zh-CN"/>
              </w:rPr>
              <w:t>九江南大环保创新中心有限公司</w:t>
            </w:r>
            <w:r>
              <w:rPr>
                <w:rFonts w:hint="default" w:ascii="Times New Roman" w:hAnsi="Times New Roman" w:eastAsia="宋体" w:cs="Times New Roman"/>
                <w:color w:val="auto"/>
                <w:sz w:val="24"/>
              </w:rPr>
              <w:t>出具的</w:t>
            </w:r>
            <w:r>
              <w:rPr>
                <w:rFonts w:hint="eastAsia" w:cs="Times New Roman"/>
                <w:color w:val="auto"/>
                <w:sz w:val="24"/>
                <w:szCs w:val="24"/>
              </w:rPr>
              <w:t>《星火工业园环境质量现状例行监测(2024年)</w:t>
            </w:r>
            <w:r>
              <w:rPr>
                <w:rFonts w:hint="eastAsia" w:eastAsia="宋体" w:cs="Times New Roman"/>
                <w:color w:val="auto"/>
                <w:sz w:val="24"/>
                <w:szCs w:val="24"/>
                <w:lang w:val="en-US" w:eastAsia="zh-CN"/>
              </w:rPr>
              <w:t>检测</w:t>
            </w:r>
            <w:r>
              <w:rPr>
                <w:rFonts w:hint="eastAsia" w:cs="Times New Roman"/>
                <w:color w:val="auto"/>
                <w:sz w:val="24"/>
                <w:szCs w:val="24"/>
              </w:rPr>
              <w:t>报告》（报告编号：</w:t>
            </w:r>
            <w:r>
              <w:rPr>
                <w:rFonts w:hint="eastAsia" w:eastAsia="宋体" w:cs="Times New Roman"/>
                <w:color w:val="auto"/>
                <w:sz w:val="24"/>
                <w:szCs w:val="24"/>
                <w:lang w:val="en-US" w:eastAsia="zh-CN"/>
              </w:rPr>
              <w:t>JJND2411063</w:t>
            </w:r>
            <w:r>
              <w:rPr>
                <w:rFonts w:hint="eastAsia" w:cs="Times New Roman"/>
                <w:color w:val="auto"/>
                <w:sz w:val="24"/>
                <w:szCs w:val="24"/>
              </w:rPr>
              <w:t>）</w:t>
            </w:r>
            <w:r>
              <w:rPr>
                <w:rFonts w:hint="default" w:ascii="Times New Roman" w:hAnsi="Times New Roman" w:eastAsia="宋体" w:cs="Times New Roman"/>
                <w:bCs/>
                <w:color w:val="auto"/>
                <w:sz w:val="24"/>
              </w:rPr>
              <w:t>中的环境现状监测数据对项目区域环境质量现状进行评价，采样时间为20</w:t>
            </w:r>
            <w:r>
              <w:rPr>
                <w:rFonts w:hint="eastAsia" w:ascii="Times New Roman" w:hAnsi="Times New Roman" w:eastAsia="宋体" w:cs="Times New Roman"/>
                <w:bCs/>
                <w:color w:val="auto"/>
                <w:sz w:val="24"/>
                <w:lang w:val="en-US" w:eastAsia="zh-CN"/>
              </w:rPr>
              <w:t>2</w:t>
            </w:r>
            <w:r>
              <w:rPr>
                <w:rFonts w:hint="eastAsia" w:eastAsia="宋体" w:cs="Times New Roman"/>
                <w:bCs/>
                <w:color w:val="auto"/>
                <w:sz w:val="24"/>
                <w:lang w:val="en-US" w:eastAsia="zh-CN"/>
              </w:rPr>
              <w:t>4</w:t>
            </w:r>
            <w:r>
              <w:rPr>
                <w:rFonts w:hint="default" w:ascii="Times New Roman" w:hAnsi="Times New Roman" w:eastAsia="宋体" w:cs="Times New Roman"/>
                <w:bCs/>
                <w:color w:val="auto"/>
                <w:sz w:val="24"/>
              </w:rPr>
              <w:t>年</w:t>
            </w:r>
            <w:r>
              <w:rPr>
                <w:rFonts w:hint="eastAsia" w:eastAsia="宋体" w:cs="Times New Roman"/>
                <w:bCs/>
                <w:color w:val="auto"/>
                <w:sz w:val="24"/>
                <w:lang w:val="en-US" w:eastAsia="zh-CN"/>
              </w:rPr>
              <w:t>11</w:t>
            </w:r>
            <w:r>
              <w:rPr>
                <w:rFonts w:hint="default" w:ascii="Times New Roman" w:hAnsi="Times New Roman" w:eastAsia="宋体" w:cs="Times New Roman"/>
                <w:bCs/>
                <w:color w:val="auto"/>
                <w:sz w:val="24"/>
              </w:rPr>
              <w:t>月</w:t>
            </w:r>
            <w:r>
              <w:rPr>
                <w:rFonts w:hint="eastAsia" w:eastAsia="宋体" w:cs="Times New Roman"/>
                <w:bCs/>
                <w:color w:val="auto"/>
                <w:sz w:val="24"/>
                <w:lang w:val="en-US" w:eastAsia="zh-CN"/>
              </w:rPr>
              <w:t>19</w:t>
            </w:r>
            <w:r>
              <w:rPr>
                <w:rFonts w:hint="default" w:ascii="Times New Roman" w:hAnsi="Times New Roman" w:eastAsia="宋体" w:cs="Times New Roman"/>
                <w:bCs/>
                <w:color w:val="auto"/>
                <w:sz w:val="24"/>
              </w:rPr>
              <w:t>日~</w:t>
            </w:r>
            <w:r>
              <w:rPr>
                <w:rFonts w:hint="eastAsia" w:eastAsia="宋体" w:cs="Times New Roman"/>
                <w:bCs/>
                <w:color w:val="auto"/>
                <w:sz w:val="24"/>
                <w:lang w:val="en-US" w:eastAsia="zh-CN"/>
              </w:rPr>
              <w:t>11</w:t>
            </w:r>
            <w:r>
              <w:rPr>
                <w:rFonts w:hint="default" w:ascii="Times New Roman" w:hAnsi="Times New Roman" w:eastAsia="宋体" w:cs="Times New Roman"/>
                <w:bCs/>
                <w:color w:val="auto"/>
                <w:sz w:val="24"/>
              </w:rPr>
              <w:t>月</w:t>
            </w:r>
            <w:r>
              <w:rPr>
                <w:rFonts w:hint="eastAsia" w:eastAsia="宋体" w:cs="Times New Roman"/>
                <w:bCs/>
                <w:color w:val="auto"/>
                <w:sz w:val="24"/>
                <w:lang w:val="en-US" w:eastAsia="zh-CN"/>
              </w:rPr>
              <w:t>25</w:t>
            </w:r>
            <w:r>
              <w:rPr>
                <w:rFonts w:hint="default" w:ascii="Times New Roman" w:hAnsi="Times New Roman" w:eastAsia="宋体" w:cs="Times New Roman"/>
                <w:bCs/>
                <w:color w:val="auto"/>
                <w:sz w:val="24"/>
              </w:rPr>
              <w:t>日，</w:t>
            </w:r>
            <w:r>
              <w:rPr>
                <w:rFonts w:hint="default" w:ascii="Times New Roman" w:hAnsi="Times New Roman" w:eastAsia="宋体" w:cs="Times New Roman"/>
                <w:color w:val="auto"/>
                <w:sz w:val="24"/>
              </w:rPr>
              <w:t>本次评价选取引用的监测点</w:t>
            </w:r>
            <w:r>
              <w:rPr>
                <w:rFonts w:hint="eastAsia" w:eastAsia="宋体" w:cs="Times New Roman"/>
                <w:color w:val="auto"/>
                <w:sz w:val="24"/>
                <w:lang w:val="en-US" w:eastAsia="zh-CN"/>
              </w:rPr>
              <w:t>艾城镇</w:t>
            </w:r>
            <w:r>
              <w:rPr>
                <w:rFonts w:hint="default" w:ascii="Times New Roman" w:hAnsi="Times New Roman" w:eastAsia="宋体" w:cs="Times New Roman"/>
                <w:color w:val="auto"/>
                <w:sz w:val="24"/>
              </w:rPr>
              <w:t>位于项目</w:t>
            </w:r>
            <w:r>
              <w:rPr>
                <w:rFonts w:hint="eastAsia" w:eastAsia="宋体" w:cs="Times New Roman"/>
                <w:color w:val="auto"/>
                <w:sz w:val="24"/>
                <w:lang w:val="en-US" w:eastAsia="zh-CN"/>
              </w:rPr>
              <w:t>东南</w:t>
            </w:r>
            <w:r>
              <w:rPr>
                <w:rFonts w:hint="default" w:ascii="Times New Roman" w:hAnsi="Times New Roman" w:eastAsia="宋体" w:cs="Times New Roman"/>
                <w:color w:val="auto"/>
                <w:sz w:val="24"/>
              </w:rPr>
              <w:t>面约</w:t>
            </w:r>
            <w:r>
              <w:rPr>
                <w:rFonts w:hint="eastAsia" w:cs="Times New Roman"/>
                <w:color w:val="auto"/>
                <w:sz w:val="24"/>
                <w:lang w:val="en-US" w:eastAsia="zh-CN"/>
              </w:rPr>
              <w:t>3850</w:t>
            </w:r>
            <w:r>
              <w:rPr>
                <w:rFonts w:hint="default" w:ascii="Times New Roman" w:hAnsi="Times New Roman" w:eastAsia="宋体" w:cs="Times New Roman"/>
                <w:color w:val="auto"/>
                <w:sz w:val="24"/>
              </w:rPr>
              <w:t>米处，</w:t>
            </w:r>
            <w:r>
              <w:rPr>
                <w:rFonts w:hint="eastAsia" w:ascii="Times New Roman" w:hAnsi="Times New Roman" w:eastAsia="宋体" w:cs="Times New Roman"/>
                <w:color w:val="auto"/>
                <w:sz w:val="24"/>
                <w:lang w:eastAsia="zh-CN"/>
              </w:rPr>
              <w:t>满足建设项目周边</w:t>
            </w:r>
            <w:r>
              <w:rPr>
                <w:rFonts w:hint="eastAsia" w:ascii="Times New Roman" w:hAnsi="Times New Roman" w:eastAsia="宋体" w:cs="Times New Roman"/>
                <w:color w:val="auto"/>
                <w:sz w:val="24"/>
                <w:lang w:val="en-US" w:eastAsia="zh-CN"/>
              </w:rPr>
              <w:t>5千米范围内近3年的现有监测数据要求，项目现状特征因子TSP、VOCs引用资料可行。</w:t>
            </w:r>
            <w:r>
              <w:rPr>
                <w:rFonts w:hint="default" w:ascii="Times New Roman" w:hAnsi="Times New Roman" w:eastAsia="宋体" w:cs="Times New Roman"/>
                <w:color w:val="auto"/>
                <w:sz w:val="24"/>
              </w:rPr>
              <w:t>该监测报告数据能够较好的反应区域内的环境质量现状。</w:t>
            </w:r>
            <w:r>
              <w:rPr>
                <w:rFonts w:hint="eastAsia" w:ascii="Times New Roman" w:hAnsi="Times New Roman" w:eastAsia="宋体" w:cs="Times New Roman"/>
                <w:color w:val="auto"/>
                <w:sz w:val="24"/>
                <w:lang w:eastAsia="zh-CN"/>
              </w:rPr>
              <w:t>其监测点基本信息和监测结果见下表。</w:t>
            </w:r>
          </w:p>
          <w:p w14:paraId="3E40C4E1">
            <w:pPr>
              <w:keepNext w:val="0"/>
              <w:keepLines w:val="0"/>
              <w:pageBreakBefore w:val="0"/>
              <w:kinsoku/>
              <w:wordWrap/>
              <w:overflowPunct/>
              <w:topLinePunct w:val="0"/>
              <w:autoSpaceDE/>
              <w:bidi w:val="0"/>
              <w:adjustRightInd w:val="0"/>
              <w:snapToGrid w:val="0"/>
              <w:jc w:val="center"/>
              <w:textAlignment w:val="auto"/>
              <w:rPr>
                <w:rFonts w:cs="Times New Roman"/>
                <w:b/>
                <w:color w:val="auto"/>
              </w:rPr>
            </w:pPr>
            <w:r>
              <w:rPr>
                <w:rFonts w:cs="Times New Roman"/>
                <w:b/>
                <w:color w:val="auto"/>
              </w:rPr>
              <w:t>表3-</w:t>
            </w:r>
            <w:r>
              <w:rPr>
                <w:rFonts w:hint="eastAsia" w:cs="Times New Roman"/>
                <w:b/>
                <w:color w:val="auto"/>
              </w:rPr>
              <w:t>2</w:t>
            </w:r>
            <w:r>
              <w:rPr>
                <w:rFonts w:cs="Times New Roman"/>
                <w:b/>
                <w:color w:val="auto"/>
              </w:rPr>
              <w:t xml:space="preserve"> </w:t>
            </w:r>
            <w:r>
              <w:rPr>
                <w:rFonts w:hint="eastAsia" w:cs="Times New Roman"/>
                <w:b/>
                <w:color w:val="auto"/>
              </w:rPr>
              <w:t>环境空气特征污染物</w:t>
            </w:r>
            <w:r>
              <w:rPr>
                <w:rFonts w:cs="Times New Roman"/>
                <w:b/>
                <w:color w:val="auto"/>
              </w:rPr>
              <w:t>监测统计及评价结果表（单位：mg/</w:t>
            </w:r>
            <w:r>
              <w:rPr>
                <w:rFonts w:hint="eastAsia" w:cs="Times New Roman"/>
                <w:b/>
                <w:color w:val="auto"/>
              </w:rPr>
              <w:t>m</w:t>
            </w:r>
            <w:r>
              <w:rPr>
                <w:rFonts w:hint="eastAsia" w:cs="Times New Roman"/>
                <w:b/>
                <w:color w:val="auto"/>
                <w:vertAlign w:val="superscript"/>
              </w:rPr>
              <w:t>3</w:t>
            </w:r>
            <w:r>
              <w:rPr>
                <w:rFonts w:cs="Times New Roman"/>
                <w:b/>
                <w:color w:val="auto"/>
              </w:rPr>
              <w:t>）</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802"/>
              <w:gridCol w:w="2479"/>
              <w:gridCol w:w="2479"/>
            </w:tblGrid>
            <w:tr w14:paraId="0D2FC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16" w:type="pct"/>
                  <w:vMerge w:val="restart"/>
                  <w:noWrap w:val="0"/>
                  <w:vAlign w:val="center"/>
                </w:tcPr>
                <w:p w14:paraId="73B8DE8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b/>
                      <w:color w:val="auto"/>
                      <w:sz w:val="21"/>
                      <w:szCs w:val="21"/>
                    </w:rPr>
                  </w:pPr>
                  <w:r>
                    <w:rPr>
                      <w:rFonts w:cs="Times New Roman"/>
                      <w:b/>
                      <w:color w:val="auto"/>
                      <w:sz w:val="21"/>
                      <w:szCs w:val="21"/>
                    </w:rPr>
                    <w:t>点位</w:t>
                  </w:r>
                </w:p>
              </w:tc>
              <w:tc>
                <w:tcPr>
                  <w:tcW w:w="1195" w:type="pct"/>
                  <w:vMerge w:val="restart"/>
                  <w:tcBorders>
                    <w:tl2br w:val="single" w:color="auto" w:sz="4" w:space="0"/>
                  </w:tcBorders>
                  <w:noWrap w:val="0"/>
                  <w:vAlign w:val="center"/>
                </w:tcPr>
                <w:p w14:paraId="2401644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b/>
                      <w:color w:val="auto"/>
                      <w:sz w:val="21"/>
                      <w:szCs w:val="21"/>
                    </w:rPr>
                  </w:pPr>
                  <w:r>
                    <w:rPr>
                      <w:rFonts w:cs="Times New Roman"/>
                      <w:b/>
                      <w:color w:val="auto"/>
                      <w:sz w:val="21"/>
                      <w:szCs w:val="21"/>
                    </w:rPr>
                    <w:t xml:space="preserve">    日期</w:t>
                  </w:r>
                </w:p>
                <w:p w14:paraId="66F05456">
                  <w:pPr>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b/>
                      <w:color w:val="auto"/>
                      <w:sz w:val="21"/>
                      <w:szCs w:val="21"/>
                    </w:rPr>
                  </w:pPr>
                  <w:r>
                    <w:rPr>
                      <w:rFonts w:cs="Times New Roman"/>
                      <w:b/>
                      <w:color w:val="auto"/>
                      <w:sz w:val="21"/>
                      <w:szCs w:val="21"/>
                    </w:rPr>
                    <w:t>评价标准</w:t>
                  </w:r>
                </w:p>
              </w:tc>
              <w:tc>
                <w:tcPr>
                  <w:tcW w:w="1644" w:type="pct"/>
                  <w:noWrap w:val="0"/>
                  <w:vAlign w:val="center"/>
                </w:tcPr>
                <w:p w14:paraId="458B06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b/>
                      <w:color w:val="auto"/>
                      <w:sz w:val="21"/>
                      <w:szCs w:val="21"/>
                    </w:rPr>
                  </w:pPr>
                  <w:r>
                    <w:rPr>
                      <w:rFonts w:hint="eastAsia" w:cs="Times New Roman"/>
                      <w:b/>
                      <w:color w:val="auto"/>
                      <w:sz w:val="21"/>
                      <w:szCs w:val="21"/>
                    </w:rPr>
                    <w:t>TSP</w:t>
                  </w:r>
                </w:p>
              </w:tc>
              <w:tc>
                <w:tcPr>
                  <w:tcW w:w="1644" w:type="pct"/>
                  <w:noWrap w:val="0"/>
                  <w:vAlign w:val="center"/>
                </w:tcPr>
                <w:p w14:paraId="0C474ED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color w:val="auto"/>
                      <w:sz w:val="21"/>
                      <w:szCs w:val="21"/>
                    </w:rPr>
                  </w:pPr>
                  <w:r>
                    <w:rPr>
                      <w:rFonts w:hint="eastAsia" w:cs="Times New Roman"/>
                      <w:b/>
                      <w:color w:val="auto"/>
                      <w:sz w:val="21"/>
                      <w:szCs w:val="21"/>
                      <w:lang w:val="en-US" w:eastAsia="zh-CN"/>
                    </w:rPr>
                    <w:t>VOCs</w:t>
                  </w:r>
                </w:p>
              </w:tc>
            </w:tr>
            <w:tr w14:paraId="48B59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16" w:type="pct"/>
                  <w:vMerge w:val="continue"/>
                  <w:noWrap w:val="0"/>
                  <w:vAlign w:val="center"/>
                </w:tcPr>
                <w:p w14:paraId="398286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b/>
                      <w:color w:val="auto"/>
                      <w:sz w:val="21"/>
                      <w:szCs w:val="21"/>
                    </w:rPr>
                  </w:pPr>
                </w:p>
              </w:tc>
              <w:tc>
                <w:tcPr>
                  <w:tcW w:w="1195" w:type="pct"/>
                  <w:vMerge w:val="continue"/>
                  <w:noWrap w:val="0"/>
                  <w:vAlign w:val="center"/>
                </w:tcPr>
                <w:p w14:paraId="6DF02E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b/>
                      <w:color w:val="auto"/>
                      <w:sz w:val="21"/>
                      <w:szCs w:val="21"/>
                    </w:rPr>
                  </w:pPr>
                </w:p>
              </w:tc>
              <w:tc>
                <w:tcPr>
                  <w:tcW w:w="1644" w:type="pct"/>
                  <w:noWrap w:val="0"/>
                  <w:vAlign w:val="center"/>
                </w:tcPr>
                <w:p w14:paraId="4D4CB6E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b/>
                      <w:color w:val="auto"/>
                      <w:sz w:val="21"/>
                      <w:szCs w:val="21"/>
                    </w:rPr>
                  </w:pPr>
                  <w:r>
                    <w:rPr>
                      <w:rFonts w:hint="eastAsia" w:cs="Times New Roman"/>
                      <w:b/>
                      <w:color w:val="auto"/>
                      <w:sz w:val="21"/>
                      <w:szCs w:val="21"/>
                    </w:rPr>
                    <w:t>日均值0.3</w:t>
                  </w:r>
                </w:p>
              </w:tc>
              <w:tc>
                <w:tcPr>
                  <w:tcW w:w="1644" w:type="pct"/>
                  <w:shd w:val="clear" w:color="auto" w:fill="auto"/>
                  <w:noWrap w:val="0"/>
                  <w:vAlign w:val="center"/>
                </w:tcPr>
                <w:p w14:paraId="46D11CAC">
                  <w:pPr>
                    <w:widowControl/>
                    <w:spacing w:line="240" w:lineRule="exact"/>
                    <w:jc w:val="center"/>
                    <w:rPr>
                      <w:rFonts w:hint="eastAsia" w:ascii="Times New Roman" w:hAnsi="Times New Roman" w:eastAsia="宋体" w:cs="Times New Roman"/>
                      <w:b/>
                      <w:color w:val="auto"/>
                      <w:kern w:val="2"/>
                      <w:sz w:val="21"/>
                      <w:szCs w:val="24"/>
                      <w:lang w:val="en-US" w:eastAsia="zh-CN" w:bidi="ar-SA"/>
                    </w:rPr>
                  </w:pPr>
                  <w:r>
                    <w:rPr>
                      <w:rFonts w:hint="eastAsia" w:cs="Times New Roman"/>
                      <w:b/>
                      <w:color w:val="auto"/>
                    </w:rPr>
                    <w:t>8小时均值0.6</w:t>
                  </w:r>
                </w:p>
              </w:tc>
            </w:tr>
            <w:tr w14:paraId="670C1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restart"/>
                  <w:noWrap w:val="0"/>
                  <w:vAlign w:val="center"/>
                </w:tcPr>
                <w:p w14:paraId="31C220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艾城镇</w:t>
                  </w:r>
                </w:p>
              </w:tc>
              <w:tc>
                <w:tcPr>
                  <w:tcW w:w="1195" w:type="pct"/>
                  <w:noWrap w:val="0"/>
                  <w:vAlign w:val="center"/>
                </w:tcPr>
                <w:p w14:paraId="3FCEC6E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cs="Times New Roman"/>
                      <w:color w:val="auto"/>
                      <w:sz w:val="21"/>
                      <w:szCs w:val="21"/>
                    </w:rPr>
                    <w:t>202</w:t>
                  </w:r>
                  <w:r>
                    <w:rPr>
                      <w:rFonts w:hint="eastAsia" w:eastAsia="宋体" w:cs="Times New Roman"/>
                      <w:color w:val="auto"/>
                      <w:sz w:val="21"/>
                      <w:szCs w:val="21"/>
                      <w:lang w:val="en-US" w:eastAsia="zh-CN"/>
                    </w:rPr>
                    <w:t>4</w:t>
                  </w:r>
                  <w:r>
                    <w:rPr>
                      <w:rFonts w:cs="Times New Roman"/>
                      <w:color w:val="auto"/>
                      <w:sz w:val="21"/>
                      <w:szCs w:val="21"/>
                    </w:rPr>
                    <w:t>.</w:t>
                  </w:r>
                  <w:r>
                    <w:rPr>
                      <w:rFonts w:hint="eastAsia" w:cs="Times New Roman"/>
                      <w:color w:val="auto"/>
                      <w:sz w:val="21"/>
                      <w:szCs w:val="21"/>
                      <w:lang w:val="en-US" w:eastAsia="zh-CN"/>
                    </w:rPr>
                    <w:t>11</w:t>
                  </w:r>
                  <w:r>
                    <w:rPr>
                      <w:rFonts w:cs="Times New Roman"/>
                      <w:color w:val="auto"/>
                      <w:sz w:val="21"/>
                      <w:szCs w:val="21"/>
                    </w:rPr>
                    <w:t>.</w:t>
                  </w:r>
                  <w:r>
                    <w:rPr>
                      <w:rFonts w:hint="eastAsia" w:eastAsia="宋体" w:cs="Times New Roman"/>
                      <w:color w:val="auto"/>
                      <w:sz w:val="21"/>
                      <w:szCs w:val="21"/>
                      <w:lang w:val="en-US" w:eastAsia="zh-CN"/>
                    </w:rPr>
                    <w:t>19</w:t>
                  </w:r>
                </w:p>
              </w:tc>
              <w:tc>
                <w:tcPr>
                  <w:tcW w:w="1644" w:type="pct"/>
                  <w:noWrap w:val="0"/>
                  <w:vAlign w:val="center"/>
                </w:tcPr>
                <w:p w14:paraId="728D9F7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0.1</w:t>
                  </w:r>
                </w:p>
              </w:tc>
              <w:tc>
                <w:tcPr>
                  <w:tcW w:w="1644" w:type="pct"/>
                  <w:shd w:val="clear" w:color="auto" w:fill="auto"/>
                  <w:noWrap w:val="0"/>
                  <w:vAlign w:val="center"/>
                </w:tcPr>
                <w:p w14:paraId="2A339F2C">
                  <w:pPr>
                    <w:widowControl/>
                    <w:spacing w:line="240" w:lineRule="exact"/>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0.0128</w:t>
                  </w:r>
                </w:p>
              </w:tc>
            </w:tr>
            <w:tr w14:paraId="6191F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5F21F9A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026CC67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cs="Times New Roman"/>
                      <w:color w:val="auto"/>
                      <w:sz w:val="21"/>
                      <w:szCs w:val="21"/>
                    </w:rPr>
                    <w:t>202</w:t>
                  </w:r>
                  <w:r>
                    <w:rPr>
                      <w:rFonts w:hint="eastAsia" w:eastAsia="宋体" w:cs="Times New Roman"/>
                      <w:color w:val="auto"/>
                      <w:sz w:val="21"/>
                      <w:szCs w:val="21"/>
                      <w:lang w:val="en-US" w:eastAsia="zh-CN"/>
                    </w:rPr>
                    <w:t>4</w:t>
                  </w:r>
                  <w:r>
                    <w:rPr>
                      <w:rFonts w:cs="Times New Roman"/>
                      <w:color w:val="auto"/>
                      <w:sz w:val="21"/>
                      <w:szCs w:val="21"/>
                    </w:rPr>
                    <w:t>.</w:t>
                  </w:r>
                  <w:r>
                    <w:rPr>
                      <w:rFonts w:hint="eastAsia" w:cs="Times New Roman"/>
                      <w:color w:val="auto"/>
                      <w:sz w:val="21"/>
                      <w:szCs w:val="21"/>
                      <w:lang w:val="en-US" w:eastAsia="zh-CN"/>
                    </w:rPr>
                    <w:t>11</w:t>
                  </w:r>
                  <w:r>
                    <w:rPr>
                      <w:rFonts w:cs="Times New Roman"/>
                      <w:color w:val="auto"/>
                      <w:sz w:val="21"/>
                      <w:szCs w:val="21"/>
                    </w:rPr>
                    <w:t>.</w:t>
                  </w:r>
                  <w:r>
                    <w:rPr>
                      <w:rFonts w:hint="eastAsia" w:eastAsia="宋体" w:cs="Times New Roman"/>
                      <w:color w:val="auto"/>
                      <w:sz w:val="21"/>
                      <w:szCs w:val="21"/>
                      <w:lang w:val="en-US" w:eastAsia="zh-CN"/>
                    </w:rPr>
                    <w:t>20</w:t>
                  </w:r>
                </w:p>
              </w:tc>
              <w:tc>
                <w:tcPr>
                  <w:tcW w:w="1644" w:type="pct"/>
                  <w:noWrap w:val="0"/>
                  <w:vAlign w:val="center"/>
                </w:tcPr>
                <w:p w14:paraId="108F7F0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cs="Times New Roman"/>
                      <w:color w:val="auto"/>
                      <w:sz w:val="21"/>
                      <w:szCs w:val="21"/>
                    </w:rPr>
                    <w:t>0.0</w:t>
                  </w:r>
                  <w:r>
                    <w:rPr>
                      <w:rFonts w:hint="eastAsia" w:cs="Times New Roman"/>
                      <w:color w:val="auto"/>
                      <w:sz w:val="21"/>
                      <w:szCs w:val="21"/>
                      <w:lang w:val="en-US" w:eastAsia="zh-CN"/>
                    </w:rPr>
                    <w:t>82</w:t>
                  </w:r>
                </w:p>
              </w:tc>
              <w:tc>
                <w:tcPr>
                  <w:tcW w:w="1644" w:type="pct"/>
                  <w:shd w:val="clear" w:color="auto" w:fill="auto"/>
                  <w:noWrap w:val="0"/>
                  <w:vAlign w:val="center"/>
                </w:tcPr>
                <w:p w14:paraId="601D64EB">
                  <w:pPr>
                    <w:widowControl/>
                    <w:spacing w:line="240" w:lineRule="exact"/>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0.0021</w:t>
                  </w:r>
                </w:p>
              </w:tc>
            </w:tr>
            <w:tr w14:paraId="5F700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16" w:type="pct"/>
                  <w:vMerge w:val="continue"/>
                  <w:noWrap w:val="0"/>
                  <w:vAlign w:val="center"/>
                </w:tcPr>
                <w:p w14:paraId="48305A9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2446AC6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cs="Times New Roman"/>
                      <w:color w:val="auto"/>
                      <w:sz w:val="21"/>
                      <w:szCs w:val="21"/>
                    </w:rPr>
                    <w:t>202</w:t>
                  </w:r>
                  <w:r>
                    <w:rPr>
                      <w:rFonts w:hint="eastAsia" w:eastAsia="宋体" w:cs="Times New Roman"/>
                      <w:color w:val="auto"/>
                      <w:sz w:val="21"/>
                      <w:szCs w:val="21"/>
                      <w:lang w:val="en-US" w:eastAsia="zh-CN"/>
                    </w:rPr>
                    <w:t>4</w:t>
                  </w:r>
                  <w:r>
                    <w:rPr>
                      <w:rFonts w:cs="Times New Roman"/>
                      <w:color w:val="auto"/>
                      <w:sz w:val="21"/>
                      <w:szCs w:val="21"/>
                    </w:rPr>
                    <w:t>.</w:t>
                  </w:r>
                  <w:r>
                    <w:rPr>
                      <w:rFonts w:hint="eastAsia" w:cs="Times New Roman"/>
                      <w:color w:val="auto"/>
                      <w:sz w:val="21"/>
                      <w:szCs w:val="21"/>
                      <w:lang w:val="en-US" w:eastAsia="zh-CN"/>
                    </w:rPr>
                    <w:t>11</w:t>
                  </w:r>
                  <w:r>
                    <w:rPr>
                      <w:rFonts w:cs="Times New Roman"/>
                      <w:color w:val="auto"/>
                      <w:sz w:val="21"/>
                      <w:szCs w:val="21"/>
                    </w:rPr>
                    <w:t>.</w:t>
                  </w:r>
                  <w:r>
                    <w:rPr>
                      <w:rFonts w:hint="eastAsia" w:eastAsia="宋体" w:cs="Times New Roman"/>
                      <w:color w:val="auto"/>
                      <w:sz w:val="21"/>
                      <w:szCs w:val="21"/>
                      <w:lang w:val="en-US" w:eastAsia="zh-CN"/>
                    </w:rPr>
                    <w:t>21</w:t>
                  </w:r>
                </w:p>
              </w:tc>
              <w:tc>
                <w:tcPr>
                  <w:tcW w:w="1644" w:type="pct"/>
                  <w:noWrap w:val="0"/>
                  <w:vAlign w:val="center"/>
                </w:tcPr>
                <w:p w14:paraId="6E5AEAD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cs="Times New Roman"/>
                      <w:color w:val="auto"/>
                      <w:sz w:val="21"/>
                      <w:szCs w:val="21"/>
                    </w:rPr>
                    <w:t>0.</w:t>
                  </w:r>
                  <w:r>
                    <w:rPr>
                      <w:rFonts w:hint="eastAsia" w:cs="Times New Roman"/>
                      <w:color w:val="auto"/>
                      <w:sz w:val="21"/>
                      <w:szCs w:val="21"/>
                      <w:lang w:val="en-US" w:eastAsia="zh-CN"/>
                    </w:rPr>
                    <w:t>087</w:t>
                  </w:r>
                </w:p>
              </w:tc>
              <w:tc>
                <w:tcPr>
                  <w:tcW w:w="1644" w:type="pct"/>
                  <w:shd w:val="clear" w:color="auto" w:fill="auto"/>
                  <w:noWrap w:val="0"/>
                  <w:vAlign w:val="center"/>
                </w:tcPr>
                <w:p w14:paraId="185E7AD0">
                  <w:pPr>
                    <w:widowControl/>
                    <w:spacing w:line="240" w:lineRule="exact"/>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0.008</w:t>
                  </w:r>
                </w:p>
              </w:tc>
            </w:tr>
            <w:tr w14:paraId="63D0F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16" w:type="pct"/>
                  <w:vMerge w:val="continue"/>
                  <w:noWrap w:val="0"/>
                  <w:vAlign w:val="center"/>
                </w:tcPr>
                <w:p w14:paraId="34D6AC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768A6F1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cs="Times New Roman"/>
                      <w:color w:val="auto"/>
                      <w:sz w:val="21"/>
                      <w:szCs w:val="21"/>
                    </w:rPr>
                    <w:t>202</w:t>
                  </w:r>
                  <w:r>
                    <w:rPr>
                      <w:rFonts w:hint="eastAsia" w:eastAsia="宋体" w:cs="Times New Roman"/>
                      <w:color w:val="auto"/>
                      <w:sz w:val="21"/>
                      <w:szCs w:val="21"/>
                      <w:lang w:val="en-US" w:eastAsia="zh-CN"/>
                    </w:rPr>
                    <w:t>4</w:t>
                  </w:r>
                  <w:r>
                    <w:rPr>
                      <w:rFonts w:cs="Times New Roman"/>
                      <w:color w:val="auto"/>
                      <w:sz w:val="21"/>
                      <w:szCs w:val="21"/>
                    </w:rPr>
                    <w:t>.</w:t>
                  </w:r>
                  <w:r>
                    <w:rPr>
                      <w:rFonts w:hint="eastAsia" w:cs="Times New Roman"/>
                      <w:color w:val="auto"/>
                      <w:sz w:val="21"/>
                      <w:szCs w:val="21"/>
                      <w:lang w:val="en-US" w:eastAsia="zh-CN"/>
                    </w:rPr>
                    <w:t>11</w:t>
                  </w:r>
                  <w:r>
                    <w:rPr>
                      <w:rFonts w:cs="Times New Roman"/>
                      <w:color w:val="auto"/>
                      <w:sz w:val="21"/>
                      <w:szCs w:val="21"/>
                    </w:rPr>
                    <w:t>.</w:t>
                  </w:r>
                  <w:r>
                    <w:rPr>
                      <w:rFonts w:hint="eastAsia" w:eastAsia="宋体" w:cs="Times New Roman"/>
                      <w:color w:val="auto"/>
                      <w:sz w:val="21"/>
                      <w:szCs w:val="21"/>
                      <w:lang w:val="en-US" w:eastAsia="zh-CN"/>
                    </w:rPr>
                    <w:t>22</w:t>
                  </w:r>
                </w:p>
              </w:tc>
              <w:tc>
                <w:tcPr>
                  <w:tcW w:w="1644" w:type="pct"/>
                  <w:noWrap w:val="0"/>
                  <w:vAlign w:val="center"/>
                </w:tcPr>
                <w:p w14:paraId="04F6915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0.144</w:t>
                  </w:r>
                </w:p>
              </w:tc>
              <w:tc>
                <w:tcPr>
                  <w:tcW w:w="1644" w:type="pct"/>
                  <w:shd w:val="clear" w:color="auto" w:fill="auto"/>
                  <w:noWrap w:val="0"/>
                  <w:vAlign w:val="center"/>
                </w:tcPr>
                <w:p w14:paraId="18C7705A">
                  <w:pPr>
                    <w:widowControl/>
                    <w:spacing w:line="240" w:lineRule="exact"/>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0.0374</w:t>
                  </w:r>
                </w:p>
              </w:tc>
            </w:tr>
            <w:tr w14:paraId="3D1FA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38BDCCB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696DC6A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lang w:eastAsia="zh-CN"/>
                    </w:rPr>
                  </w:pPr>
                  <w:r>
                    <w:rPr>
                      <w:rFonts w:cs="Times New Roman"/>
                      <w:color w:val="auto"/>
                      <w:sz w:val="21"/>
                      <w:szCs w:val="21"/>
                    </w:rPr>
                    <w:t>202</w:t>
                  </w:r>
                  <w:r>
                    <w:rPr>
                      <w:rFonts w:hint="eastAsia" w:eastAsia="宋体" w:cs="Times New Roman"/>
                      <w:color w:val="auto"/>
                      <w:sz w:val="21"/>
                      <w:szCs w:val="21"/>
                      <w:lang w:val="en-US" w:eastAsia="zh-CN"/>
                    </w:rPr>
                    <w:t>4</w:t>
                  </w:r>
                  <w:r>
                    <w:rPr>
                      <w:rFonts w:cs="Times New Roman"/>
                      <w:color w:val="auto"/>
                      <w:sz w:val="21"/>
                      <w:szCs w:val="21"/>
                    </w:rPr>
                    <w:t>.</w:t>
                  </w:r>
                  <w:r>
                    <w:rPr>
                      <w:rFonts w:hint="eastAsia" w:cs="Times New Roman"/>
                      <w:color w:val="auto"/>
                      <w:sz w:val="21"/>
                      <w:szCs w:val="21"/>
                      <w:lang w:val="en-US" w:eastAsia="zh-CN"/>
                    </w:rPr>
                    <w:t>11</w:t>
                  </w:r>
                  <w:r>
                    <w:rPr>
                      <w:rFonts w:cs="Times New Roman"/>
                      <w:color w:val="auto"/>
                      <w:sz w:val="21"/>
                      <w:szCs w:val="21"/>
                    </w:rPr>
                    <w:t>.</w:t>
                  </w:r>
                  <w:r>
                    <w:rPr>
                      <w:rFonts w:hint="eastAsia" w:eastAsia="宋体" w:cs="Times New Roman"/>
                      <w:color w:val="auto"/>
                      <w:sz w:val="21"/>
                      <w:szCs w:val="21"/>
                      <w:lang w:val="en-US" w:eastAsia="zh-CN"/>
                    </w:rPr>
                    <w:t>23</w:t>
                  </w:r>
                </w:p>
              </w:tc>
              <w:tc>
                <w:tcPr>
                  <w:tcW w:w="1644" w:type="pct"/>
                  <w:noWrap w:val="0"/>
                  <w:vAlign w:val="center"/>
                </w:tcPr>
                <w:p w14:paraId="6D222E6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0.124</w:t>
                  </w:r>
                </w:p>
              </w:tc>
              <w:tc>
                <w:tcPr>
                  <w:tcW w:w="1644" w:type="pct"/>
                  <w:shd w:val="clear" w:color="auto" w:fill="auto"/>
                  <w:noWrap w:val="0"/>
                  <w:vAlign w:val="center"/>
                </w:tcPr>
                <w:p w14:paraId="7E22B7C6">
                  <w:pPr>
                    <w:widowControl/>
                    <w:spacing w:line="240" w:lineRule="exact"/>
                    <w:jc w:val="center"/>
                    <w:rPr>
                      <w:rFonts w:hint="default" w:eastAsia="宋体" w:cs="Times New Roman"/>
                      <w:color w:val="auto"/>
                      <w:lang w:val="en-US" w:eastAsia="zh-CN"/>
                    </w:rPr>
                  </w:pPr>
                  <w:r>
                    <w:rPr>
                      <w:rFonts w:hint="eastAsia" w:eastAsia="宋体" w:cs="Times New Roman"/>
                      <w:color w:val="auto"/>
                      <w:lang w:val="en-US" w:eastAsia="zh-CN"/>
                    </w:rPr>
                    <w:t>0.0131</w:t>
                  </w:r>
                </w:p>
              </w:tc>
            </w:tr>
            <w:tr w14:paraId="7E580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1A4CC53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03507CE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lang w:eastAsia="zh-CN"/>
                    </w:rPr>
                  </w:pPr>
                  <w:r>
                    <w:rPr>
                      <w:rFonts w:cs="Times New Roman"/>
                      <w:color w:val="auto"/>
                      <w:sz w:val="21"/>
                      <w:szCs w:val="21"/>
                    </w:rPr>
                    <w:t>202</w:t>
                  </w:r>
                  <w:r>
                    <w:rPr>
                      <w:rFonts w:hint="eastAsia" w:eastAsia="宋体" w:cs="Times New Roman"/>
                      <w:color w:val="auto"/>
                      <w:sz w:val="21"/>
                      <w:szCs w:val="21"/>
                      <w:lang w:val="en-US" w:eastAsia="zh-CN"/>
                    </w:rPr>
                    <w:t>4</w:t>
                  </w:r>
                  <w:r>
                    <w:rPr>
                      <w:rFonts w:cs="Times New Roman"/>
                      <w:color w:val="auto"/>
                      <w:sz w:val="21"/>
                      <w:szCs w:val="21"/>
                    </w:rPr>
                    <w:t>.</w:t>
                  </w:r>
                  <w:r>
                    <w:rPr>
                      <w:rFonts w:hint="eastAsia" w:cs="Times New Roman"/>
                      <w:color w:val="auto"/>
                      <w:sz w:val="21"/>
                      <w:szCs w:val="21"/>
                      <w:lang w:val="en-US" w:eastAsia="zh-CN"/>
                    </w:rPr>
                    <w:t>11</w:t>
                  </w:r>
                  <w:r>
                    <w:rPr>
                      <w:rFonts w:cs="Times New Roman"/>
                      <w:color w:val="auto"/>
                      <w:sz w:val="21"/>
                      <w:szCs w:val="21"/>
                    </w:rPr>
                    <w:t>.</w:t>
                  </w:r>
                  <w:r>
                    <w:rPr>
                      <w:rFonts w:hint="eastAsia" w:eastAsia="宋体" w:cs="Times New Roman"/>
                      <w:color w:val="auto"/>
                      <w:sz w:val="21"/>
                      <w:szCs w:val="21"/>
                      <w:lang w:val="en-US" w:eastAsia="zh-CN"/>
                    </w:rPr>
                    <w:t>24</w:t>
                  </w:r>
                </w:p>
              </w:tc>
              <w:tc>
                <w:tcPr>
                  <w:tcW w:w="1644" w:type="pct"/>
                  <w:noWrap w:val="0"/>
                  <w:vAlign w:val="center"/>
                </w:tcPr>
                <w:p w14:paraId="36CAF7E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0.089</w:t>
                  </w:r>
                </w:p>
              </w:tc>
              <w:tc>
                <w:tcPr>
                  <w:tcW w:w="1644" w:type="pct"/>
                  <w:shd w:val="clear" w:color="auto" w:fill="auto"/>
                  <w:noWrap w:val="0"/>
                  <w:vAlign w:val="center"/>
                </w:tcPr>
                <w:p w14:paraId="28E7A45F">
                  <w:pPr>
                    <w:widowControl/>
                    <w:spacing w:line="240" w:lineRule="exact"/>
                    <w:jc w:val="center"/>
                    <w:rPr>
                      <w:rFonts w:hint="default" w:eastAsia="宋体" w:cs="Times New Roman"/>
                      <w:color w:val="auto"/>
                      <w:lang w:val="en-US" w:eastAsia="zh-CN"/>
                    </w:rPr>
                  </w:pPr>
                  <w:r>
                    <w:rPr>
                      <w:rFonts w:hint="eastAsia" w:eastAsia="宋体" w:cs="Times New Roman"/>
                      <w:color w:val="auto"/>
                      <w:lang w:val="en-US" w:eastAsia="zh-CN"/>
                    </w:rPr>
                    <w:t>0.0165</w:t>
                  </w:r>
                </w:p>
              </w:tc>
            </w:tr>
            <w:tr w14:paraId="182FE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3EE0DB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2493A15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sz w:val="21"/>
                      <w:szCs w:val="21"/>
                      <w:lang w:eastAsia="zh-CN"/>
                    </w:rPr>
                  </w:pPr>
                  <w:r>
                    <w:rPr>
                      <w:rFonts w:cs="Times New Roman"/>
                      <w:color w:val="auto"/>
                      <w:sz w:val="21"/>
                      <w:szCs w:val="21"/>
                    </w:rPr>
                    <w:t>202</w:t>
                  </w:r>
                  <w:r>
                    <w:rPr>
                      <w:rFonts w:hint="eastAsia" w:eastAsia="宋体" w:cs="Times New Roman"/>
                      <w:color w:val="auto"/>
                      <w:sz w:val="21"/>
                      <w:szCs w:val="21"/>
                      <w:lang w:val="en-US" w:eastAsia="zh-CN"/>
                    </w:rPr>
                    <w:t>4</w:t>
                  </w:r>
                  <w:r>
                    <w:rPr>
                      <w:rFonts w:cs="Times New Roman"/>
                      <w:color w:val="auto"/>
                      <w:sz w:val="21"/>
                      <w:szCs w:val="21"/>
                    </w:rPr>
                    <w:t>.</w:t>
                  </w:r>
                  <w:r>
                    <w:rPr>
                      <w:rFonts w:hint="eastAsia" w:cs="Times New Roman"/>
                      <w:color w:val="auto"/>
                      <w:sz w:val="21"/>
                      <w:szCs w:val="21"/>
                      <w:lang w:val="en-US" w:eastAsia="zh-CN"/>
                    </w:rPr>
                    <w:t>11</w:t>
                  </w:r>
                  <w:r>
                    <w:rPr>
                      <w:rFonts w:cs="Times New Roman"/>
                      <w:color w:val="auto"/>
                      <w:sz w:val="21"/>
                      <w:szCs w:val="21"/>
                    </w:rPr>
                    <w:t>.</w:t>
                  </w:r>
                  <w:r>
                    <w:rPr>
                      <w:rFonts w:hint="eastAsia" w:eastAsia="宋体" w:cs="Times New Roman"/>
                      <w:color w:val="auto"/>
                      <w:sz w:val="21"/>
                      <w:szCs w:val="21"/>
                      <w:lang w:val="en-US" w:eastAsia="zh-CN"/>
                    </w:rPr>
                    <w:t>25</w:t>
                  </w:r>
                </w:p>
              </w:tc>
              <w:tc>
                <w:tcPr>
                  <w:tcW w:w="1644" w:type="pct"/>
                  <w:noWrap w:val="0"/>
                  <w:vAlign w:val="center"/>
                </w:tcPr>
                <w:p w14:paraId="44CBAB7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0.041</w:t>
                  </w:r>
                </w:p>
              </w:tc>
              <w:tc>
                <w:tcPr>
                  <w:tcW w:w="1644" w:type="pct"/>
                  <w:shd w:val="clear" w:color="auto" w:fill="auto"/>
                  <w:noWrap w:val="0"/>
                  <w:vAlign w:val="center"/>
                </w:tcPr>
                <w:p w14:paraId="68F273B2">
                  <w:pPr>
                    <w:widowControl/>
                    <w:spacing w:line="240" w:lineRule="exact"/>
                    <w:jc w:val="center"/>
                    <w:rPr>
                      <w:rFonts w:hint="default" w:eastAsia="宋体" w:cs="Times New Roman"/>
                      <w:color w:val="auto"/>
                      <w:lang w:val="en-US" w:eastAsia="zh-CN"/>
                    </w:rPr>
                  </w:pPr>
                  <w:r>
                    <w:rPr>
                      <w:rFonts w:hint="eastAsia" w:eastAsia="宋体" w:cs="Times New Roman"/>
                      <w:color w:val="auto"/>
                      <w:lang w:val="en-US" w:eastAsia="zh-CN"/>
                    </w:rPr>
                    <w:t>0.0276</w:t>
                  </w:r>
                </w:p>
              </w:tc>
            </w:tr>
            <w:tr w14:paraId="4E03A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070FD70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5BA49CB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val="0"/>
                      <w:color w:val="auto"/>
                      <w:sz w:val="21"/>
                      <w:szCs w:val="21"/>
                      <w:lang w:eastAsia="zh-CN"/>
                    </w:rPr>
                  </w:pPr>
                  <w:r>
                    <w:rPr>
                      <w:rFonts w:hint="eastAsia" w:cs="Times New Roman"/>
                      <w:b w:val="0"/>
                      <w:bCs w:val="0"/>
                      <w:color w:val="auto"/>
                      <w:sz w:val="21"/>
                      <w:szCs w:val="21"/>
                      <w:lang w:eastAsia="zh-CN"/>
                    </w:rPr>
                    <w:t>最大值</w:t>
                  </w:r>
                </w:p>
              </w:tc>
              <w:tc>
                <w:tcPr>
                  <w:tcW w:w="1644" w:type="pct"/>
                  <w:noWrap w:val="0"/>
                  <w:vAlign w:val="center"/>
                </w:tcPr>
                <w:p w14:paraId="74294E6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0.144</w:t>
                  </w:r>
                </w:p>
              </w:tc>
              <w:tc>
                <w:tcPr>
                  <w:tcW w:w="1644" w:type="pct"/>
                  <w:shd w:val="clear" w:color="auto" w:fill="auto"/>
                  <w:noWrap w:val="0"/>
                  <w:vAlign w:val="center"/>
                </w:tcPr>
                <w:p w14:paraId="6B3847DE">
                  <w:pPr>
                    <w:widowControl/>
                    <w:spacing w:line="240" w:lineRule="exact"/>
                    <w:jc w:val="center"/>
                    <w:rPr>
                      <w:rFonts w:hint="default" w:ascii="Times New Roman" w:hAnsi="Times New Roman" w:eastAsia="宋体" w:cs="Times New Roman"/>
                      <w:color w:val="auto"/>
                      <w:kern w:val="2"/>
                      <w:sz w:val="21"/>
                      <w:szCs w:val="24"/>
                      <w:lang w:val="en-US" w:eastAsia="zh-CN" w:bidi="ar-SA"/>
                    </w:rPr>
                  </w:pPr>
                  <w:r>
                    <w:rPr>
                      <w:rFonts w:cs="Times New Roman"/>
                      <w:color w:val="auto"/>
                    </w:rPr>
                    <w:t>0.</w:t>
                  </w:r>
                  <w:r>
                    <w:rPr>
                      <w:rFonts w:hint="eastAsia" w:cs="Times New Roman"/>
                      <w:color w:val="auto"/>
                      <w:lang w:val="en-US" w:eastAsia="zh-CN"/>
                    </w:rPr>
                    <w:t>0374</w:t>
                  </w:r>
                </w:p>
              </w:tc>
            </w:tr>
            <w:tr w14:paraId="455D3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2964D1A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777B9B4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b w:val="0"/>
                      <w:bCs w:val="0"/>
                      <w:color w:val="auto"/>
                      <w:sz w:val="21"/>
                      <w:szCs w:val="21"/>
                    </w:rPr>
                  </w:pPr>
                  <w:r>
                    <w:rPr>
                      <w:rFonts w:cs="Times New Roman"/>
                      <w:b w:val="0"/>
                      <w:bCs w:val="0"/>
                      <w:color w:val="auto"/>
                      <w:sz w:val="21"/>
                      <w:szCs w:val="21"/>
                    </w:rPr>
                    <w:t>标准指数</w:t>
                  </w:r>
                </w:p>
              </w:tc>
              <w:tc>
                <w:tcPr>
                  <w:tcW w:w="1644" w:type="pct"/>
                  <w:noWrap w:val="0"/>
                  <w:vAlign w:val="center"/>
                </w:tcPr>
                <w:p w14:paraId="65D0977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b w:val="0"/>
                      <w:bCs w:val="0"/>
                      <w:color w:val="auto"/>
                      <w:sz w:val="21"/>
                      <w:szCs w:val="21"/>
                      <w:lang w:val="en-US" w:eastAsia="zh-CN"/>
                    </w:rPr>
                  </w:pPr>
                  <w:r>
                    <w:rPr>
                      <w:rFonts w:cs="Times New Roman"/>
                      <w:b w:val="0"/>
                      <w:bCs w:val="0"/>
                      <w:color w:val="auto"/>
                      <w:sz w:val="21"/>
                      <w:szCs w:val="21"/>
                    </w:rPr>
                    <w:t>0.</w:t>
                  </w:r>
                  <w:r>
                    <w:rPr>
                      <w:rFonts w:hint="eastAsia" w:eastAsia="宋体" w:cs="Times New Roman"/>
                      <w:b w:val="0"/>
                      <w:bCs w:val="0"/>
                      <w:color w:val="auto"/>
                      <w:sz w:val="21"/>
                      <w:szCs w:val="21"/>
                      <w:lang w:val="en-US" w:eastAsia="zh-CN"/>
                    </w:rPr>
                    <w:t>48</w:t>
                  </w:r>
                </w:p>
              </w:tc>
              <w:tc>
                <w:tcPr>
                  <w:tcW w:w="1644" w:type="pct"/>
                  <w:shd w:val="clear" w:color="auto" w:fill="auto"/>
                  <w:noWrap w:val="0"/>
                  <w:vAlign w:val="center"/>
                </w:tcPr>
                <w:p w14:paraId="4EA9E373">
                  <w:pPr>
                    <w:widowControl/>
                    <w:spacing w:line="240" w:lineRule="exact"/>
                    <w:jc w:val="center"/>
                    <w:rPr>
                      <w:rFonts w:hint="default" w:ascii="Times New Roman" w:hAnsi="Times New Roman" w:eastAsia="宋体" w:cs="Times New Roman"/>
                      <w:b w:val="0"/>
                      <w:bCs w:val="0"/>
                      <w:color w:val="auto"/>
                      <w:kern w:val="2"/>
                      <w:sz w:val="21"/>
                      <w:szCs w:val="24"/>
                      <w:lang w:val="en-US" w:eastAsia="zh-CN" w:bidi="ar-SA"/>
                    </w:rPr>
                  </w:pPr>
                  <w:r>
                    <w:rPr>
                      <w:rFonts w:cs="Times New Roman"/>
                      <w:b w:val="0"/>
                      <w:bCs w:val="0"/>
                      <w:color w:val="auto"/>
                    </w:rPr>
                    <w:t>0.</w:t>
                  </w:r>
                  <w:r>
                    <w:rPr>
                      <w:rFonts w:hint="eastAsia" w:cs="Times New Roman"/>
                      <w:b w:val="0"/>
                      <w:bCs w:val="0"/>
                      <w:color w:val="auto"/>
                      <w:lang w:val="en-US" w:eastAsia="zh-CN"/>
                    </w:rPr>
                    <w:t>0623</w:t>
                  </w:r>
                </w:p>
              </w:tc>
            </w:tr>
            <w:tr w14:paraId="67572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5083976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auto"/>
                      <w:sz w:val="21"/>
                      <w:szCs w:val="21"/>
                    </w:rPr>
                  </w:pPr>
                </w:p>
              </w:tc>
              <w:tc>
                <w:tcPr>
                  <w:tcW w:w="1195" w:type="pct"/>
                  <w:noWrap w:val="0"/>
                  <w:vAlign w:val="center"/>
                </w:tcPr>
                <w:p w14:paraId="7755150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val="0"/>
                      <w:color w:val="auto"/>
                      <w:sz w:val="21"/>
                      <w:szCs w:val="21"/>
                      <w:lang w:eastAsia="zh-CN"/>
                    </w:rPr>
                  </w:pPr>
                  <w:r>
                    <w:rPr>
                      <w:rFonts w:hint="eastAsia" w:cs="Times New Roman"/>
                      <w:b w:val="0"/>
                      <w:bCs w:val="0"/>
                      <w:color w:val="auto"/>
                      <w:sz w:val="21"/>
                      <w:szCs w:val="21"/>
                      <w:lang w:eastAsia="zh-CN"/>
                    </w:rPr>
                    <w:t>是否达标</w:t>
                  </w:r>
                </w:p>
              </w:tc>
              <w:tc>
                <w:tcPr>
                  <w:tcW w:w="1644" w:type="pct"/>
                  <w:noWrap w:val="0"/>
                  <w:vAlign w:val="center"/>
                </w:tcPr>
                <w:p w14:paraId="2CB5289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val="0"/>
                      <w:color w:val="auto"/>
                      <w:sz w:val="21"/>
                      <w:szCs w:val="21"/>
                      <w:lang w:eastAsia="zh-CN"/>
                    </w:rPr>
                  </w:pPr>
                  <w:r>
                    <w:rPr>
                      <w:rFonts w:hint="eastAsia" w:cs="Times New Roman"/>
                      <w:b w:val="0"/>
                      <w:bCs w:val="0"/>
                      <w:color w:val="auto"/>
                      <w:sz w:val="21"/>
                      <w:szCs w:val="21"/>
                      <w:lang w:eastAsia="zh-CN"/>
                    </w:rPr>
                    <w:t>是</w:t>
                  </w:r>
                </w:p>
              </w:tc>
              <w:tc>
                <w:tcPr>
                  <w:tcW w:w="1644" w:type="pct"/>
                  <w:shd w:val="clear" w:color="auto" w:fill="auto"/>
                  <w:noWrap w:val="0"/>
                  <w:vAlign w:val="center"/>
                </w:tcPr>
                <w:p w14:paraId="0AAD8423">
                  <w:pPr>
                    <w:widowControl/>
                    <w:spacing w:line="240" w:lineRule="exact"/>
                    <w:jc w:val="center"/>
                    <w:rPr>
                      <w:rFonts w:hint="eastAsia" w:ascii="Times New Roman" w:hAnsi="Times New Roman" w:eastAsia="宋体" w:cs="Times New Roman"/>
                      <w:b w:val="0"/>
                      <w:bCs w:val="0"/>
                      <w:color w:val="auto"/>
                      <w:kern w:val="2"/>
                      <w:sz w:val="21"/>
                      <w:szCs w:val="24"/>
                      <w:lang w:val="en-US" w:eastAsia="zh-CN" w:bidi="ar-SA"/>
                    </w:rPr>
                  </w:pPr>
                  <w:r>
                    <w:rPr>
                      <w:rFonts w:hint="eastAsia" w:cs="Times New Roman"/>
                      <w:b w:val="0"/>
                      <w:bCs w:val="0"/>
                      <w:color w:val="auto"/>
                      <w:lang w:eastAsia="zh-CN"/>
                    </w:rPr>
                    <w:t>是</w:t>
                  </w:r>
                </w:p>
              </w:tc>
            </w:tr>
          </w:tbl>
          <w:p w14:paraId="263302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cs="Times New Roman"/>
                <w:color w:val="auto"/>
                <w:sz w:val="24"/>
                <w:szCs w:val="24"/>
              </w:rPr>
              <w:t>由上表可见，</w:t>
            </w:r>
            <w:r>
              <w:rPr>
                <w:rFonts w:hint="eastAsia" w:cs="Times New Roman"/>
                <w:color w:val="auto"/>
                <w:sz w:val="24"/>
                <w:szCs w:val="24"/>
              </w:rPr>
              <w:t>项目区域环境空气现状因子TSP可满足《环境空气质量标准》（GB3095-2012）中二级相应标准要求</w:t>
            </w:r>
            <w:r>
              <w:rPr>
                <w:rFonts w:hint="eastAsia" w:eastAsia="宋体" w:cs="Times New Roman"/>
                <w:color w:val="auto"/>
                <w:sz w:val="24"/>
                <w:szCs w:val="24"/>
                <w:lang w:eastAsia="zh-CN"/>
              </w:rPr>
              <w:t>，</w:t>
            </w:r>
            <w:r>
              <w:rPr>
                <w:rFonts w:hint="eastAsia" w:eastAsia="宋体"/>
                <w:color w:val="auto"/>
                <w:sz w:val="24"/>
                <w:szCs w:val="20"/>
              </w:rPr>
              <w:t>挥发性有机物</w:t>
            </w:r>
            <w:r>
              <w:rPr>
                <w:rFonts w:hint="eastAsia"/>
                <w:color w:val="auto"/>
                <w:sz w:val="24"/>
                <w:szCs w:val="20"/>
              </w:rPr>
              <w:t>满足《环境影响评价技术导则—大气环境》（HJ2.2-2018）附录D中</w:t>
            </w:r>
            <w:r>
              <w:rPr>
                <w:rFonts w:hint="eastAsia" w:eastAsia="宋体"/>
                <w:color w:val="auto"/>
                <w:sz w:val="24"/>
                <w:szCs w:val="20"/>
              </w:rPr>
              <w:t>的浓度</w:t>
            </w:r>
            <w:r>
              <w:rPr>
                <w:rFonts w:hint="eastAsia"/>
                <w:color w:val="auto"/>
                <w:sz w:val="24"/>
                <w:szCs w:val="20"/>
              </w:rPr>
              <w:t>限值要求，</w:t>
            </w:r>
            <w:r>
              <w:rPr>
                <w:rFonts w:hint="eastAsia"/>
                <w:color w:val="auto"/>
                <w:sz w:val="24"/>
                <w:szCs w:val="20"/>
                <w:lang w:val="en-US"/>
              </w:rPr>
              <w:t>项目所在区域环境空气质量良好</w:t>
            </w:r>
            <w:r>
              <w:rPr>
                <w:rFonts w:hint="eastAsia"/>
                <w:color w:val="auto"/>
                <w:sz w:val="24"/>
                <w:szCs w:val="20"/>
              </w:rPr>
              <w:t>，有一定的环境容量，不会制约项目的建设</w:t>
            </w:r>
            <w:r>
              <w:rPr>
                <w:rFonts w:hint="eastAsia" w:cs="Times New Roman"/>
                <w:color w:val="auto"/>
                <w:sz w:val="24"/>
                <w:szCs w:val="24"/>
              </w:rPr>
              <w:t>。</w:t>
            </w:r>
          </w:p>
          <w:p w14:paraId="43283B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b w:val="0"/>
                <w:bCs/>
                <w:color w:val="auto"/>
                <w:sz w:val="24"/>
                <w:szCs w:val="24"/>
              </w:rPr>
            </w:pPr>
            <w:r>
              <w:rPr>
                <w:b w:val="0"/>
                <w:bCs/>
                <w:color w:val="auto"/>
                <w:sz w:val="24"/>
                <w:szCs w:val="24"/>
              </w:rPr>
              <w:t>2</w:t>
            </w:r>
            <w:r>
              <w:rPr>
                <w:rFonts w:hAnsi="宋体"/>
                <w:b w:val="0"/>
                <w:bCs/>
                <w:color w:val="auto"/>
                <w:sz w:val="24"/>
                <w:szCs w:val="24"/>
              </w:rPr>
              <w:t>、地表水环境质量现状</w:t>
            </w:r>
          </w:p>
          <w:p w14:paraId="23BC51FC">
            <w:pPr>
              <w:pStyle w:val="37"/>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所在区域受纳污水体为杨柳津河（尖叫村断面），根据《建设项目环境影响报告表编制技术指南（污染影响类）（试行）》中的数据来源要求，可引用生态环境主管部门发布的水环境质量数据或地表水达标情况的结论。本次地表水环境引用九江市水生态环境质量月报（2024 年 12 月第 12 期）中杨柳津河（尖叫村断面）水质为 III 类，综上项目所在区域杨柳津河水质良好，能够满足《地表水环境质量标准》（GB3838-2002）中Ⅲ类标准要求，说明目前该河段地表水体水质环境良好。</w:t>
            </w:r>
          </w:p>
          <w:p w14:paraId="47116415">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color w:val="auto"/>
              </w:rPr>
            </w:pPr>
            <w:r>
              <w:rPr>
                <w:color w:val="auto"/>
              </w:rPr>
              <w:drawing>
                <wp:inline distT="0" distB="0" distL="114300" distR="114300">
                  <wp:extent cx="4780280" cy="4407535"/>
                  <wp:effectExtent l="9525" t="9525" r="10795" b="2159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3"/>
                          <a:stretch>
                            <a:fillRect/>
                          </a:stretch>
                        </pic:blipFill>
                        <pic:spPr>
                          <a:xfrm>
                            <a:off x="0" y="0"/>
                            <a:ext cx="4780280" cy="4407535"/>
                          </a:xfrm>
                          <a:prstGeom prst="rect">
                            <a:avLst/>
                          </a:prstGeom>
                          <a:noFill/>
                          <a:ln>
                            <a:solidFill>
                              <a:schemeClr val="accent1"/>
                            </a:solidFill>
                            <a:prstDash val="sysDot"/>
                          </a:ln>
                        </pic:spPr>
                      </pic:pic>
                    </a:graphicData>
                  </a:graphic>
                </wp:inline>
              </w:drawing>
            </w:r>
          </w:p>
          <w:p w14:paraId="250DBC0A">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eastAsia="zh-CN"/>
              </w:rPr>
            </w:pPr>
            <w:r>
              <w:rPr>
                <w:rFonts w:hint="eastAsia"/>
                <w:b/>
                <w:bCs/>
                <w:color w:val="auto"/>
                <w:lang w:eastAsia="zh-CN"/>
              </w:rPr>
              <w:t>图 3-1</w:t>
            </w:r>
            <w:r>
              <w:rPr>
                <w:rFonts w:hint="eastAsia"/>
                <w:b/>
                <w:bCs/>
                <w:color w:val="auto"/>
                <w:lang w:val="en-US" w:eastAsia="zh-CN"/>
              </w:rPr>
              <w:t xml:space="preserve">  </w:t>
            </w:r>
            <w:r>
              <w:rPr>
                <w:rFonts w:hint="eastAsia"/>
                <w:b/>
                <w:bCs/>
                <w:color w:val="auto"/>
                <w:lang w:eastAsia="zh-CN"/>
              </w:rPr>
              <w:t>2024 年 12 月九江市水生态环境质量月报水截图</w:t>
            </w:r>
          </w:p>
          <w:p w14:paraId="0E9039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b w:val="0"/>
                <w:bCs/>
                <w:color w:val="auto"/>
                <w:sz w:val="24"/>
                <w:szCs w:val="24"/>
              </w:rPr>
            </w:pPr>
            <w:r>
              <w:rPr>
                <w:rFonts w:hint="eastAsia"/>
                <w:b w:val="0"/>
                <w:bCs/>
                <w:color w:val="auto"/>
                <w:sz w:val="24"/>
                <w:szCs w:val="24"/>
                <w:lang w:val="en-US" w:eastAsia="zh-CN"/>
              </w:rPr>
              <w:t>3</w:t>
            </w:r>
            <w:r>
              <w:rPr>
                <w:rFonts w:hint="eastAsia"/>
                <w:b w:val="0"/>
                <w:bCs/>
                <w:color w:val="auto"/>
                <w:sz w:val="24"/>
                <w:szCs w:val="24"/>
              </w:rPr>
              <w:t>、声环境质量现状</w:t>
            </w:r>
          </w:p>
          <w:p w14:paraId="36E6F018">
            <w:pPr>
              <w:pageBreakBefore w:val="0"/>
              <w:topLinePunct w:val="0"/>
              <w:bidi w:val="0"/>
              <w:adjustRightInd/>
              <w:snapToGrid/>
              <w:spacing w:beforeAutospacing="0" w:afterAutospacing="0" w:line="360" w:lineRule="auto"/>
              <w:ind w:left="0" w:leftChars="0" w:right="0" w:rightChars="0"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eastAsia="宋体" w:cs="Times New Roman"/>
                <w:b w:val="0"/>
                <w:bCs/>
                <w:color w:val="auto"/>
                <w:kern w:val="2"/>
                <w:sz w:val="24"/>
                <w:szCs w:val="24"/>
                <w:lang w:val="en-US" w:eastAsia="zh-CN" w:bidi="ar-SA"/>
              </w:rPr>
              <w:t>根据《建设项目环境影响报告表编制技术指南（污染影响类）（试行）》，厂界外周边50米范围内存在声环境保护目标的建设项目，应监测保护目标声环境质量现状并评价达标情况。本项目厂界外周边50米范围内不存在声环境保护目标，故不需要监测保护目标声环境质量现状</w:t>
            </w:r>
            <w:r>
              <w:rPr>
                <w:rFonts w:hint="default" w:ascii="Times New Roman" w:hAnsi="Times New Roman" w:cs="Times New Roman"/>
                <w:color w:val="auto"/>
                <w:sz w:val="24"/>
                <w:szCs w:val="24"/>
              </w:rPr>
              <w:t>。</w:t>
            </w:r>
          </w:p>
          <w:p w14:paraId="33C30E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hAnsi="宋体"/>
                <w:b w:val="0"/>
                <w:bCs/>
                <w:color w:val="auto"/>
                <w:sz w:val="24"/>
                <w:szCs w:val="24"/>
                <w:lang w:val="zh-CN" w:eastAsia="zh-CN"/>
              </w:rPr>
            </w:pPr>
            <w:r>
              <w:rPr>
                <w:rFonts w:hint="eastAsia" w:hAnsi="宋体"/>
                <w:b w:val="0"/>
                <w:bCs/>
                <w:color w:val="auto"/>
                <w:sz w:val="24"/>
                <w:szCs w:val="24"/>
                <w:lang w:val="en-US" w:eastAsia="zh-CN"/>
              </w:rPr>
              <w:t>4</w:t>
            </w:r>
            <w:r>
              <w:rPr>
                <w:rFonts w:hint="eastAsia" w:hAnsi="宋体"/>
                <w:b w:val="0"/>
                <w:bCs/>
                <w:color w:val="auto"/>
                <w:sz w:val="24"/>
                <w:szCs w:val="24"/>
                <w:lang w:val="zh-CN" w:eastAsia="zh-CN"/>
              </w:rPr>
              <w:t>、生态环境</w:t>
            </w:r>
          </w:p>
          <w:p w14:paraId="2AE7E6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Ansi="宋体"/>
                <w:color w:val="auto"/>
                <w:sz w:val="24"/>
                <w:szCs w:val="24"/>
              </w:rPr>
            </w:pPr>
            <w:r>
              <w:rPr>
                <w:rFonts w:hint="eastAsia" w:hAnsi="宋体"/>
                <w:color w:val="auto"/>
                <w:sz w:val="24"/>
                <w:szCs w:val="24"/>
              </w:rPr>
              <w:t>本项目位于产业园区内，用地范围内土地均已平整完毕，项目用地范围内无森林草原植被、珍惜动植物等环境敏感保护目标，则无需开展生态现状调查</w:t>
            </w:r>
            <w:r>
              <w:rPr>
                <w:rFonts w:hAnsi="宋体"/>
                <w:color w:val="auto"/>
                <w:sz w:val="24"/>
                <w:szCs w:val="24"/>
              </w:rPr>
              <w:t>。</w:t>
            </w:r>
          </w:p>
          <w:p w14:paraId="290DFFDB">
            <w:pPr>
              <w:pStyle w:val="27"/>
              <w:numPr>
                <w:ilvl w:val="0"/>
                <w:numId w:val="0"/>
              </w:numPr>
              <w:ind w:left="454" w:leftChars="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5、地下水、土壤环境质量现状</w:t>
            </w:r>
          </w:p>
          <w:p w14:paraId="7626FB7C">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rPr>
              <w:t>根据《建设项目环境影响报告表编制技术指南（污染影响类）》（试行）中地下水和土壤环境原则上不开展环境质量现状调查，</w:t>
            </w:r>
            <w:r>
              <w:rPr>
                <w:rFonts w:hint="default" w:ascii="Times New Roman" w:hAnsi="Times New Roman" w:eastAsia="宋体" w:cs="Times New Roman"/>
                <w:color w:val="auto"/>
                <w:sz w:val="24"/>
                <w:lang w:val="zh-CN"/>
              </w:rPr>
              <w:t>建设项目存在土壤、地下水环境污染途径的，应结合污染源、保护目标分布情况开展现状调查以留作背景值。</w:t>
            </w:r>
            <w:r>
              <w:rPr>
                <w:rFonts w:hint="eastAsia" w:ascii="宋体" w:hAnsi="宋体" w:eastAsia="宋体" w:cs="宋体"/>
                <w:color w:val="auto"/>
                <w:sz w:val="24"/>
                <w:szCs w:val="24"/>
                <w:lang w:eastAsia="zh-CN"/>
              </w:rPr>
              <w:t>根据现场踏勘，项目厂区地面已进行硬化防渗，所</w:t>
            </w:r>
            <w:r>
              <w:rPr>
                <w:rFonts w:hint="eastAsia" w:ascii="宋体" w:hAnsi="宋体" w:eastAsia="宋体" w:cs="宋体"/>
                <w:color w:val="auto"/>
                <w:sz w:val="24"/>
                <w:szCs w:val="24"/>
              </w:rPr>
              <w:t>有生产工序均在生产车间内进行，</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val="zh-CN"/>
              </w:rPr>
              <w:t>对</w:t>
            </w:r>
            <w:r>
              <w:rPr>
                <w:rFonts w:hint="default" w:ascii="Times New Roman" w:hAnsi="Times New Roman" w:eastAsia="宋体" w:cs="Times New Roman"/>
                <w:color w:val="auto"/>
                <w:sz w:val="24"/>
              </w:rPr>
              <w:t>危废暂存间</w:t>
            </w:r>
            <w:r>
              <w:rPr>
                <w:rFonts w:hint="eastAsia" w:ascii="Times New Roman" w:hAnsi="Times New Roman" w:eastAsia="宋体" w:cs="Times New Roman"/>
                <w:color w:val="auto"/>
                <w:sz w:val="24"/>
                <w:lang w:eastAsia="zh-CN"/>
              </w:rPr>
              <w:t>、污水处理站等</w:t>
            </w:r>
            <w:r>
              <w:rPr>
                <w:rFonts w:hint="default" w:ascii="Times New Roman" w:hAnsi="Times New Roman" w:eastAsia="宋体" w:cs="Times New Roman"/>
                <w:color w:val="auto"/>
                <w:sz w:val="24"/>
                <w:lang w:val="zh-CN"/>
              </w:rPr>
              <w:t>采取有效的防渗措施后，项目对地下水、土壤环境影响很小，基本不存在土壤、地下水环境污染途径，因此，本评价不对项目地下水、土壤环境质量补充监测。</w:t>
            </w:r>
          </w:p>
          <w:p w14:paraId="77A577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lang w:val="en-US" w:eastAsia="zh-CN"/>
              </w:rPr>
            </w:pPr>
            <w:r>
              <w:rPr>
                <w:rFonts w:hint="eastAsia" w:ascii="宋体" w:hAnsi="宋体" w:eastAsia="宋体" w:cs="宋体"/>
                <w:color w:val="auto"/>
                <w:sz w:val="24"/>
                <w:szCs w:val="24"/>
              </w:rPr>
              <w:t>综上所述，项目址周边环境空气质量、地表水环境质量、声环境质量、土壤环境质量以及生态环境都符合功能区划的要求。</w:t>
            </w:r>
          </w:p>
        </w:tc>
      </w:tr>
      <w:tr w14:paraId="02A81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68" w:type="dxa"/>
            <w:noWrap w:val="0"/>
            <w:vAlign w:val="center"/>
          </w:tcPr>
          <w:p w14:paraId="1C60BA8A">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环境</w:t>
            </w:r>
          </w:p>
          <w:p w14:paraId="4DAD1843">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保护</w:t>
            </w:r>
          </w:p>
          <w:p w14:paraId="102B7846">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目标</w:t>
            </w:r>
          </w:p>
        </w:tc>
        <w:tc>
          <w:tcPr>
            <w:tcW w:w="7754" w:type="dxa"/>
            <w:noWrap w:val="0"/>
            <w:vAlign w:val="center"/>
          </w:tcPr>
          <w:p w14:paraId="5A17A73A">
            <w:pPr>
              <w:pStyle w:val="7"/>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color w:val="auto"/>
                <w:lang w:val="en-US" w:eastAsia="zh-CN"/>
              </w:rPr>
            </w:pPr>
            <w:r>
              <w:rPr>
                <w:rFonts w:hint="eastAsia"/>
                <w:color w:val="auto"/>
                <w:lang w:val="en-US" w:eastAsia="zh-CN"/>
              </w:rPr>
              <w:t>1、环境保护目标</w:t>
            </w:r>
          </w:p>
          <w:p w14:paraId="640FE5A3">
            <w:pPr>
              <w:pStyle w:val="7"/>
              <w:bidi w:val="0"/>
              <w:rPr>
                <w:rFonts w:hint="eastAsia"/>
                <w:color w:val="auto"/>
              </w:rPr>
            </w:pPr>
            <w:r>
              <w:rPr>
                <w:rFonts w:hint="eastAsia"/>
                <w:color w:val="auto"/>
                <w:lang w:val="en-US" w:eastAsia="zh-CN"/>
              </w:rPr>
              <w:t>本项目</w:t>
            </w:r>
            <w:r>
              <w:rPr>
                <w:rFonts w:hint="eastAsia"/>
                <w:color w:val="auto"/>
              </w:rPr>
              <w:t>位于江西永修云山经济开发区</w:t>
            </w:r>
            <w:r>
              <w:rPr>
                <w:rFonts w:hint="eastAsia"/>
                <w:color w:val="auto"/>
                <w:lang w:val="en-US" w:eastAsia="zh-CN"/>
              </w:rPr>
              <w:t>星火</w:t>
            </w:r>
            <w:r>
              <w:rPr>
                <w:rFonts w:hint="eastAsia"/>
                <w:color w:val="auto"/>
                <w:lang w:eastAsia="zh-CN"/>
              </w:rPr>
              <w:t>工业园荣祺大道南侧</w:t>
            </w:r>
            <w:r>
              <w:rPr>
                <w:rFonts w:hint="eastAsia"/>
                <w:color w:val="auto"/>
              </w:rPr>
              <w:t>，评价范围不在生态红线保护区范围内，所在区域为工业生态系统，评价范围内无饮用水水源保护区、名胜古迹、风景名胜区、自然保护区、生态功能保护区，未发现国家及地方重点保护的珍稀濒危动植物。</w:t>
            </w:r>
          </w:p>
          <w:p w14:paraId="039D0504">
            <w:pPr>
              <w:pStyle w:val="7"/>
              <w:bidi w:val="0"/>
              <w:rPr>
                <w:rFonts w:hint="eastAsia"/>
                <w:color w:val="auto"/>
              </w:rPr>
            </w:pPr>
            <w:r>
              <w:rPr>
                <w:rFonts w:hint="eastAsia"/>
                <w:color w:val="auto"/>
              </w:rPr>
              <w:t>饮用水源取水口：项目产生的废水排入杨柳津河，杨柳津河上游12km（潦河内）有永修县饮用水源取水口，取水量为40000t/d；</w:t>
            </w:r>
            <w:r>
              <w:rPr>
                <w:rFonts w:hint="eastAsia"/>
                <w:color w:val="auto"/>
                <w:lang w:eastAsia="zh-CN"/>
              </w:rPr>
              <w:t>星火工业园污水处理厂</w:t>
            </w:r>
            <w:r>
              <w:rPr>
                <w:rFonts w:hint="eastAsia"/>
                <w:color w:val="auto"/>
              </w:rPr>
              <w:t>排污口下游与蚌湖交汇（岸线约36km，直线距离约17km）处有苏家垱取水口，最大取水量为5000t/d。</w:t>
            </w:r>
          </w:p>
          <w:p w14:paraId="2554E876">
            <w:pPr>
              <w:pStyle w:val="7"/>
              <w:bidi w:val="0"/>
              <w:rPr>
                <w:rFonts w:hint="default"/>
                <w:color w:val="auto"/>
              </w:rPr>
            </w:pPr>
            <w:r>
              <w:rPr>
                <w:color w:val="auto"/>
              </w:rPr>
              <w:t>根据《建设项目环境影响报告表编制技术指南（污染影响类）（试行）》要求，本评价考虑厂界外500米范围内大气及地下水，项目厂界外50米范围内声环境保护目标。根据现场踏勘情况，本项目厂界外500米范围内有大气环境保护目标，厂界50</w:t>
            </w:r>
            <w:r>
              <w:rPr>
                <w:rFonts w:hint="eastAsia"/>
                <w:color w:val="auto"/>
                <w:lang w:val="en-US" w:eastAsia="zh-CN"/>
              </w:rPr>
              <w:t>0</w:t>
            </w:r>
            <w:r>
              <w:rPr>
                <w:color w:val="auto"/>
              </w:rPr>
              <w:t>米范围内</w:t>
            </w:r>
            <w:r>
              <w:rPr>
                <w:rFonts w:hint="eastAsia"/>
                <w:color w:val="auto"/>
                <w:lang w:val="en-US" w:eastAsia="zh-CN"/>
              </w:rPr>
              <w:t>不</w:t>
            </w:r>
            <w:r>
              <w:rPr>
                <w:color w:val="auto"/>
              </w:rPr>
              <w:t>存在声环境保护目标。项目最近主要环境敏感点及其所处位置，具体分布情况见</w:t>
            </w:r>
            <w:r>
              <w:rPr>
                <w:rFonts w:hint="eastAsia"/>
                <w:color w:val="auto"/>
                <w:lang w:val="en-US" w:eastAsia="zh-CN"/>
              </w:rPr>
              <w:t>下</w:t>
            </w:r>
            <w:r>
              <w:rPr>
                <w:color w:val="auto"/>
              </w:rPr>
              <w:t>表</w:t>
            </w:r>
            <w:r>
              <w:rPr>
                <w:rFonts w:hint="default"/>
                <w:color w:val="auto"/>
              </w:rPr>
              <w:t>。</w:t>
            </w:r>
          </w:p>
          <w:p w14:paraId="2DD1D0FA">
            <w:pPr>
              <w:pStyle w:val="64"/>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color w:val="auto"/>
                <w:sz w:val="21"/>
                <w:szCs w:val="21"/>
                <w:lang w:eastAsia="zh-CN"/>
              </w:rPr>
            </w:pPr>
            <w:r>
              <w:rPr>
                <w:rFonts w:hint="default"/>
                <w:color w:val="auto"/>
                <w:sz w:val="21"/>
                <w:szCs w:val="21"/>
              </w:rPr>
              <w:t>表3-</w:t>
            </w:r>
            <w:r>
              <w:rPr>
                <w:rFonts w:hint="eastAsia"/>
                <w:color w:val="auto"/>
                <w:sz w:val="21"/>
                <w:szCs w:val="21"/>
                <w:lang w:val="en-US" w:eastAsia="zh-CN"/>
              </w:rPr>
              <w:t>3</w:t>
            </w:r>
            <w:r>
              <w:rPr>
                <w:rFonts w:hint="default"/>
                <w:color w:val="auto"/>
                <w:sz w:val="21"/>
                <w:szCs w:val="21"/>
              </w:rPr>
              <w:t xml:space="preserve">  项目主要环境</w:t>
            </w:r>
            <w:r>
              <w:rPr>
                <w:rFonts w:hint="default"/>
                <w:color w:val="auto"/>
                <w:sz w:val="21"/>
                <w:szCs w:val="21"/>
                <w:lang w:eastAsia="zh-CN"/>
              </w:rPr>
              <w:t>保护目标一览表</w:t>
            </w:r>
          </w:p>
          <w:tbl>
            <w:tblPr>
              <w:tblStyle w:val="2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60"/>
              <w:gridCol w:w="465"/>
              <w:gridCol w:w="1125"/>
              <w:gridCol w:w="585"/>
              <w:gridCol w:w="540"/>
              <w:gridCol w:w="825"/>
              <w:gridCol w:w="1044"/>
              <w:gridCol w:w="1266"/>
              <w:gridCol w:w="928"/>
            </w:tblGrid>
            <w:tr w14:paraId="7329EF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vMerge w:val="restart"/>
                  <w:noWrap w:val="0"/>
                  <w:vAlign w:val="center"/>
                </w:tcPr>
                <w:p w14:paraId="1EF3DCA8">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环境 要素</w:t>
                  </w:r>
                </w:p>
              </w:tc>
              <w:tc>
                <w:tcPr>
                  <w:tcW w:w="308" w:type="pct"/>
                  <w:vMerge w:val="restart"/>
                  <w:noWrap w:val="0"/>
                  <w:vAlign w:val="center"/>
                </w:tcPr>
                <w:p w14:paraId="3725A6A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编 号</w:t>
                  </w:r>
                </w:p>
              </w:tc>
              <w:tc>
                <w:tcPr>
                  <w:tcW w:w="746" w:type="pct"/>
                  <w:vMerge w:val="restart"/>
                  <w:noWrap w:val="0"/>
                  <w:vAlign w:val="center"/>
                </w:tcPr>
                <w:p w14:paraId="160ECF1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环境保</w:t>
                  </w:r>
                </w:p>
                <w:p w14:paraId="12FE3C52">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护对象</w:t>
                  </w:r>
                </w:p>
              </w:tc>
              <w:tc>
                <w:tcPr>
                  <w:tcW w:w="746" w:type="pct"/>
                  <w:gridSpan w:val="2"/>
                  <w:tcBorders>
                    <w:bottom w:val="single" w:color="000000" w:sz="6" w:space="0"/>
                  </w:tcBorders>
                  <w:noWrap w:val="0"/>
                  <w:vAlign w:val="center"/>
                </w:tcPr>
                <w:p w14:paraId="3294623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坐标*</w:t>
                  </w:r>
                </w:p>
              </w:tc>
              <w:tc>
                <w:tcPr>
                  <w:tcW w:w="547" w:type="pct"/>
                  <w:vMerge w:val="restart"/>
                  <w:noWrap w:val="0"/>
                  <w:vAlign w:val="center"/>
                </w:tcPr>
                <w:p w14:paraId="6DCA8472">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方位</w:t>
                  </w:r>
                </w:p>
              </w:tc>
              <w:tc>
                <w:tcPr>
                  <w:tcW w:w="692" w:type="pct"/>
                  <w:vMerge w:val="restart"/>
                  <w:noWrap w:val="0"/>
                  <w:vAlign w:val="center"/>
                </w:tcPr>
                <w:p w14:paraId="1A2CA44E">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与厂界距离</w:t>
                  </w:r>
                </w:p>
              </w:tc>
              <w:tc>
                <w:tcPr>
                  <w:tcW w:w="839" w:type="pct"/>
                  <w:vMerge w:val="restart"/>
                  <w:noWrap w:val="0"/>
                  <w:vAlign w:val="center"/>
                </w:tcPr>
                <w:p w14:paraId="56BDD16B">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规模（人数）</w:t>
                  </w:r>
                </w:p>
              </w:tc>
              <w:tc>
                <w:tcPr>
                  <w:tcW w:w="615" w:type="pct"/>
                  <w:vMerge w:val="restart"/>
                  <w:noWrap w:val="0"/>
                  <w:vAlign w:val="center"/>
                </w:tcPr>
                <w:p w14:paraId="236617DA">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lang w:eastAsia="zh-CN"/>
                    </w:rPr>
                  </w:pPr>
                  <w:r>
                    <w:rPr>
                      <w:rFonts w:hint="default"/>
                      <w:b/>
                      <w:bCs/>
                      <w:color w:val="auto"/>
                      <w:sz w:val="21"/>
                      <w:szCs w:val="21"/>
                      <w:lang w:eastAsia="zh-CN"/>
                    </w:rPr>
                    <w:t>环境功能区</w:t>
                  </w:r>
                </w:p>
              </w:tc>
            </w:tr>
            <w:tr w14:paraId="41156D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vMerge w:val="continue"/>
                  <w:noWrap w:val="0"/>
                  <w:vAlign w:val="center"/>
                </w:tcPr>
                <w:p w14:paraId="7F018DF1">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308" w:type="pct"/>
                  <w:vMerge w:val="continue"/>
                  <w:noWrap w:val="0"/>
                  <w:vAlign w:val="center"/>
                </w:tcPr>
                <w:p w14:paraId="3C49943C">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746" w:type="pct"/>
                  <w:vMerge w:val="continue"/>
                  <w:noWrap w:val="0"/>
                  <w:vAlign w:val="center"/>
                </w:tcPr>
                <w:p w14:paraId="70E5B1D2">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388" w:type="pct"/>
                  <w:tcBorders>
                    <w:top w:val="single" w:color="000000" w:sz="6" w:space="0"/>
                  </w:tcBorders>
                  <w:noWrap w:val="0"/>
                  <w:vAlign w:val="center"/>
                </w:tcPr>
                <w:p w14:paraId="21C5E769">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b/>
                      <w:bCs/>
                      <w:color w:val="auto"/>
                      <w:sz w:val="21"/>
                      <w:szCs w:val="21"/>
                    </w:rPr>
                  </w:pPr>
                  <w:r>
                    <w:rPr>
                      <w:rFonts w:hint="default"/>
                      <w:b/>
                      <w:bCs/>
                      <w:color w:val="auto"/>
                      <w:sz w:val="21"/>
                      <w:szCs w:val="21"/>
                    </w:rPr>
                    <w:t>X</w:t>
                  </w:r>
                </w:p>
              </w:tc>
              <w:tc>
                <w:tcPr>
                  <w:tcW w:w="358" w:type="pct"/>
                  <w:tcBorders>
                    <w:top w:val="single" w:color="000000" w:sz="6" w:space="0"/>
                  </w:tcBorders>
                  <w:noWrap w:val="0"/>
                  <w:vAlign w:val="center"/>
                </w:tcPr>
                <w:p w14:paraId="11C693F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eastAsia"/>
                      <w:b/>
                      <w:bCs/>
                      <w:color w:val="auto"/>
                      <w:sz w:val="21"/>
                      <w:szCs w:val="21"/>
                      <w:lang w:eastAsia="zh-CN"/>
                    </w:rPr>
                  </w:pPr>
                  <w:r>
                    <w:rPr>
                      <w:rFonts w:hint="eastAsia"/>
                      <w:b/>
                      <w:bCs/>
                      <w:color w:val="auto"/>
                      <w:sz w:val="21"/>
                      <w:szCs w:val="21"/>
                      <w:lang w:val="en-US" w:eastAsia="zh-CN"/>
                    </w:rPr>
                    <w:t>Y</w:t>
                  </w:r>
                </w:p>
              </w:tc>
              <w:tc>
                <w:tcPr>
                  <w:tcW w:w="547" w:type="pct"/>
                  <w:vMerge w:val="continue"/>
                  <w:noWrap w:val="0"/>
                  <w:vAlign w:val="center"/>
                </w:tcPr>
                <w:p w14:paraId="5814121A">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692" w:type="pct"/>
                  <w:vMerge w:val="continue"/>
                  <w:noWrap w:val="0"/>
                  <w:vAlign w:val="center"/>
                </w:tcPr>
                <w:p w14:paraId="64E1EC49">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839" w:type="pct"/>
                  <w:vMerge w:val="continue"/>
                  <w:noWrap w:val="0"/>
                  <w:vAlign w:val="center"/>
                </w:tcPr>
                <w:p w14:paraId="699685B4">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615" w:type="pct"/>
                  <w:vMerge w:val="continue"/>
                  <w:noWrap w:val="0"/>
                  <w:vAlign w:val="center"/>
                </w:tcPr>
                <w:p w14:paraId="2D004DCC">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r>
            <w:tr w14:paraId="12D3F8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9" w:hRule="atLeast"/>
              </w:trPr>
              <w:tc>
                <w:tcPr>
                  <w:tcW w:w="504" w:type="pct"/>
                  <w:noWrap w:val="0"/>
                  <w:vAlign w:val="center"/>
                </w:tcPr>
                <w:p w14:paraId="6CDCD731">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环境空气</w:t>
                  </w:r>
                </w:p>
              </w:tc>
              <w:tc>
                <w:tcPr>
                  <w:tcW w:w="4495" w:type="pct"/>
                  <w:gridSpan w:val="8"/>
                  <w:noWrap w:val="0"/>
                  <w:vAlign w:val="center"/>
                </w:tcPr>
                <w:p w14:paraId="75CDC1C9">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周边500m范围内无大气环境敏感点</w:t>
                  </w:r>
                </w:p>
              </w:tc>
            </w:tr>
            <w:tr w14:paraId="6AE8DA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vMerge w:val="restart"/>
                  <w:noWrap w:val="0"/>
                  <w:vAlign w:val="center"/>
                </w:tcPr>
                <w:p w14:paraId="33861340">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地表水环境</w:t>
                  </w:r>
                </w:p>
              </w:tc>
              <w:tc>
                <w:tcPr>
                  <w:tcW w:w="308" w:type="pct"/>
                  <w:noWrap w:val="0"/>
                  <w:vAlign w:val="center"/>
                </w:tcPr>
                <w:p w14:paraId="12178EE1">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eastAsia"/>
                      <w:color w:val="auto"/>
                      <w:sz w:val="21"/>
                      <w:szCs w:val="21"/>
                      <w:lang w:val="en-US" w:eastAsia="zh-CN"/>
                    </w:rPr>
                    <w:t>1</w:t>
                  </w:r>
                </w:p>
              </w:tc>
              <w:tc>
                <w:tcPr>
                  <w:tcW w:w="746" w:type="pct"/>
                  <w:noWrap w:val="0"/>
                  <w:vAlign w:val="center"/>
                </w:tcPr>
                <w:p w14:paraId="3B7B91BE">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杨柳津河</w:t>
                  </w:r>
                </w:p>
              </w:tc>
              <w:tc>
                <w:tcPr>
                  <w:tcW w:w="388" w:type="pct"/>
                  <w:noWrap w:val="0"/>
                  <w:vAlign w:val="center"/>
                </w:tcPr>
                <w:p w14:paraId="570DE0AD">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w:t>
                  </w:r>
                </w:p>
              </w:tc>
              <w:tc>
                <w:tcPr>
                  <w:tcW w:w="358" w:type="pct"/>
                  <w:noWrap w:val="0"/>
                  <w:vAlign w:val="center"/>
                </w:tcPr>
                <w:p w14:paraId="37A31BC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w:t>
                  </w:r>
                </w:p>
              </w:tc>
              <w:tc>
                <w:tcPr>
                  <w:tcW w:w="547" w:type="pct"/>
                  <w:noWrap w:val="0"/>
                  <w:vAlign w:val="center"/>
                </w:tcPr>
                <w:p w14:paraId="0095D328">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东</w:t>
                  </w:r>
                  <w:r>
                    <w:rPr>
                      <w:rFonts w:hint="default"/>
                      <w:color w:val="auto"/>
                      <w:sz w:val="21"/>
                      <w:szCs w:val="21"/>
                      <w:lang w:eastAsia="zh-CN"/>
                    </w:rPr>
                    <w:t>南</w:t>
                  </w:r>
                  <w:r>
                    <w:rPr>
                      <w:rFonts w:hint="default"/>
                      <w:color w:val="auto"/>
                      <w:sz w:val="21"/>
                      <w:szCs w:val="21"/>
                    </w:rPr>
                    <w:t>面</w:t>
                  </w:r>
                </w:p>
              </w:tc>
              <w:tc>
                <w:tcPr>
                  <w:tcW w:w="692" w:type="pct"/>
                  <w:noWrap w:val="0"/>
                  <w:vAlign w:val="center"/>
                </w:tcPr>
                <w:p w14:paraId="2842E0C1">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eastAsia"/>
                      <w:color w:val="auto"/>
                      <w:sz w:val="21"/>
                      <w:szCs w:val="21"/>
                      <w:lang w:val="en-US" w:eastAsia="zh-CN"/>
                    </w:rPr>
                    <w:t>2682</w:t>
                  </w:r>
                  <w:r>
                    <w:rPr>
                      <w:rFonts w:hint="default"/>
                      <w:color w:val="auto"/>
                      <w:sz w:val="21"/>
                      <w:szCs w:val="21"/>
                    </w:rPr>
                    <w:t>m</w:t>
                  </w:r>
                </w:p>
              </w:tc>
              <w:tc>
                <w:tcPr>
                  <w:tcW w:w="1455" w:type="pct"/>
                  <w:gridSpan w:val="2"/>
                  <w:noWrap w:val="0"/>
                  <w:vAlign w:val="center"/>
                </w:tcPr>
                <w:p w14:paraId="23682EAC">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6.01m</w:t>
                  </w:r>
                  <w:r>
                    <w:rPr>
                      <w:rFonts w:hint="default"/>
                      <w:color w:val="auto"/>
                      <w:sz w:val="21"/>
                      <w:szCs w:val="21"/>
                      <w:vertAlign w:val="superscript"/>
                    </w:rPr>
                    <w:t>3</w:t>
                  </w:r>
                  <w:r>
                    <w:rPr>
                      <w:rFonts w:hint="default"/>
                      <w:color w:val="auto"/>
                      <w:sz w:val="21"/>
                      <w:szCs w:val="21"/>
                    </w:rPr>
                    <w:t>/s，小河</w:t>
                  </w:r>
                </w:p>
              </w:tc>
            </w:tr>
            <w:tr w14:paraId="62F1E0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vMerge w:val="continue"/>
                  <w:noWrap w:val="0"/>
                  <w:vAlign w:val="center"/>
                </w:tcPr>
                <w:p w14:paraId="53260ABB">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308" w:type="pct"/>
                  <w:noWrap w:val="0"/>
                  <w:vAlign w:val="center"/>
                </w:tcPr>
                <w:p w14:paraId="1F4ACE1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val="en-US" w:eastAsia="zh-CN"/>
                    </w:rPr>
                  </w:pPr>
                  <w:r>
                    <w:rPr>
                      <w:rFonts w:hint="eastAsia"/>
                      <w:color w:val="auto"/>
                      <w:sz w:val="21"/>
                      <w:szCs w:val="21"/>
                      <w:lang w:val="en-US" w:eastAsia="zh-CN"/>
                    </w:rPr>
                    <w:t>2</w:t>
                  </w:r>
                </w:p>
              </w:tc>
              <w:tc>
                <w:tcPr>
                  <w:tcW w:w="746" w:type="pct"/>
                  <w:noWrap w:val="0"/>
                  <w:vAlign w:val="center"/>
                </w:tcPr>
                <w:p w14:paraId="40E060F6">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eastAsia" w:eastAsia="宋体"/>
                      <w:color w:val="auto"/>
                      <w:sz w:val="21"/>
                      <w:szCs w:val="21"/>
                      <w:lang w:val="en-US" w:eastAsia="zh-CN"/>
                    </w:rPr>
                  </w:pPr>
                  <w:r>
                    <w:rPr>
                      <w:rFonts w:hint="eastAsia"/>
                      <w:color w:val="auto"/>
                      <w:sz w:val="21"/>
                      <w:szCs w:val="21"/>
                      <w:lang w:val="en-US" w:eastAsia="zh-CN"/>
                    </w:rPr>
                    <w:t>马湾水库</w:t>
                  </w:r>
                </w:p>
              </w:tc>
              <w:tc>
                <w:tcPr>
                  <w:tcW w:w="388" w:type="pct"/>
                  <w:noWrap w:val="0"/>
                  <w:vAlign w:val="center"/>
                </w:tcPr>
                <w:p w14:paraId="7C2B4799">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58" w:type="pct"/>
                  <w:noWrap w:val="0"/>
                  <w:vAlign w:val="center"/>
                </w:tcPr>
                <w:p w14:paraId="2C350648">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547" w:type="pct"/>
                  <w:noWrap w:val="0"/>
                  <w:vAlign w:val="center"/>
                </w:tcPr>
                <w:p w14:paraId="2D542A8A">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eastAsia="宋体"/>
                      <w:color w:val="auto"/>
                      <w:sz w:val="21"/>
                      <w:szCs w:val="21"/>
                      <w:lang w:val="en-US" w:eastAsia="zh-CN"/>
                    </w:rPr>
                  </w:pPr>
                  <w:r>
                    <w:rPr>
                      <w:rFonts w:hint="eastAsia"/>
                      <w:color w:val="auto"/>
                      <w:sz w:val="21"/>
                      <w:szCs w:val="21"/>
                      <w:lang w:val="en-US" w:eastAsia="zh-CN"/>
                    </w:rPr>
                    <w:t>西面</w:t>
                  </w:r>
                </w:p>
              </w:tc>
              <w:tc>
                <w:tcPr>
                  <w:tcW w:w="692" w:type="pct"/>
                  <w:noWrap w:val="0"/>
                  <w:vAlign w:val="center"/>
                </w:tcPr>
                <w:p w14:paraId="3F1885AD">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eastAsia="宋体"/>
                      <w:color w:val="auto"/>
                      <w:sz w:val="21"/>
                      <w:szCs w:val="21"/>
                      <w:lang w:val="en-US" w:eastAsia="zh-CN"/>
                    </w:rPr>
                  </w:pPr>
                  <w:r>
                    <w:rPr>
                      <w:rFonts w:hint="eastAsia"/>
                      <w:color w:val="auto"/>
                      <w:sz w:val="21"/>
                      <w:szCs w:val="21"/>
                      <w:lang w:val="en-US" w:eastAsia="zh-CN"/>
                    </w:rPr>
                    <w:t>862m</w:t>
                  </w:r>
                </w:p>
              </w:tc>
              <w:tc>
                <w:tcPr>
                  <w:tcW w:w="1455" w:type="pct"/>
                  <w:gridSpan w:val="2"/>
                  <w:noWrap w:val="0"/>
                  <w:vAlign w:val="center"/>
                </w:tcPr>
                <w:p w14:paraId="27D2800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eastAsia="宋体"/>
                      <w:color w:val="auto"/>
                      <w:sz w:val="21"/>
                      <w:szCs w:val="21"/>
                      <w:lang w:val="en-US" w:eastAsia="zh-CN"/>
                    </w:rPr>
                  </w:pPr>
                  <w:r>
                    <w:rPr>
                      <w:rFonts w:hint="eastAsia"/>
                      <w:color w:val="auto"/>
                      <w:sz w:val="21"/>
                      <w:szCs w:val="21"/>
                      <w:lang w:val="en-US" w:eastAsia="zh-CN"/>
                    </w:rPr>
                    <w:t>有效库容3360万</w:t>
                  </w:r>
                  <w:r>
                    <w:rPr>
                      <w:rFonts w:hint="default"/>
                      <w:color w:val="auto"/>
                      <w:sz w:val="21"/>
                      <w:szCs w:val="21"/>
                    </w:rPr>
                    <w:t>m</w:t>
                  </w:r>
                  <w:r>
                    <w:rPr>
                      <w:rFonts w:hint="default"/>
                      <w:color w:val="auto"/>
                      <w:sz w:val="21"/>
                      <w:szCs w:val="21"/>
                      <w:vertAlign w:val="superscript"/>
                    </w:rPr>
                    <w:t>3</w:t>
                  </w:r>
                </w:p>
              </w:tc>
            </w:tr>
            <w:tr w14:paraId="7E88B9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vMerge w:val="continue"/>
                  <w:noWrap w:val="0"/>
                  <w:vAlign w:val="center"/>
                </w:tcPr>
                <w:p w14:paraId="27E9E0B3">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308" w:type="pct"/>
                  <w:noWrap w:val="0"/>
                  <w:vAlign w:val="center"/>
                </w:tcPr>
                <w:p w14:paraId="37836214">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val="en-US" w:eastAsia="zh-CN"/>
                    </w:rPr>
                  </w:pPr>
                  <w:r>
                    <w:rPr>
                      <w:rFonts w:hint="eastAsia"/>
                      <w:color w:val="auto"/>
                      <w:sz w:val="21"/>
                      <w:szCs w:val="21"/>
                      <w:lang w:val="en-US" w:eastAsia="zh-CN"/>
                    </w:rPr>
                    <w:t>3</w:t>
                  </w:r>
                </w:p>
              </w:tc>
              <w:tc>
                <w:tcPr>
                  <w:tcW w:w="746" w:type="pct"/>
                  <w:noWrap w:val="0"/>
                  <w:vAlign w:val="center"/>
                </w:tcPr>
                <w:p w14:paraId="5752B218">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val="en-US" w:eastAsia="zh-CN"/>
                    </w:rPr>
                  </w:pPr>
                  <w:r>
                    <w:rPr>
                      <w:rFonts w:hint="eastAsia"/>
                      <w:color w:val="auto"/>
                      <w:sz w:val="21"/>
                      <w:szCs w:val="21"/>
                      <w:lang w:val="en-US" w:eastAsia="zh-CN"/>
                    </w:rPr>
                    <w:t>新屋水库</w:t>
                  </w:r>
                </w:p>
              </w:tc>
              <w:tc>
                <w:tcPr>
                  <w:tcW w:w="388" w:type="pct"/>
                  <w:noWrap w:val="0"/>
                  <w:vAlign w:val="center"/>
                </w:tcPr>
                <w:p w14:paraId="73239346">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eastAsia"/>
                      <w:color w:val="auto"/>
                      <w:sz w:val="21"/>
                      <w:szCs w:val="21"/>
                      <w:lang w:val="en-US" w:eastAsia="zh-CN"/>
                    </w:rPr>
                  </w:pPr>
                </w:p>
              </w:tc>
              <w:tc>
                <w:tcPr>
                  <w:tcW w:w="358" w:type="pct"/>
                  <w:noWrap w:val="0"/>
                  <w:vAlign w:val="center"/>
                </w:tcPr>
                <w:p w14:paraId="70618C94">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eastAsia"/>
                      <w:color w:val="auto"/>
                      <w:sz w:val="21"/>
                      <w:szCs w:val="21"/>
                      <w:lang w:val="en-US" w:eastAsia="zh-CN"/>
                    </w:rPr>
                  </w:pPr>
                </w:p>
              </w:tc>
              <w:tc>
                <w:tcPr>
                  <w:tcW w:w="547" w:type="pct"/>
                  <w:noWrap w:val="0"/>
                  <w:vAlign w:val="center"/>
                </w:tcPr>
                <w:p w14:paraId="4E8B35B5">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val="en-US" w:eastAsia="zh-CN"/>
                    </w:rPr>
                  </w:pPr>
                  <w:r>
                    <w:rPr>
                      <w:rFonts w:hint="eastAsia"/>
                      <w:color w:val="auto"/>
                      <w:sz w:val="21"/>
                      <w:szCs w:val="21"/>
                      <w:lang w:val="en-US" w:eastAsia="zh-CN"/>
                    </w:rPr>
                    <w:t>东北面</w:t>
                  </w:r>
                </w:p>
              </w:tc>
              <w:tc>
                <w:tcPr>
                  <w:tcW w:w="692" w:type="pct"/>
                  <w:noWrap w:val="0"/>
                  <w:vAlign w:val="center"/>
                </w:tcPr>
                <w:p w14:paraId="612BD567">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val="en-US" w:eastAsia="zh-CN"/>
                    </w:rPr>
                  </w:pPr>
                  <w:r>
                    <w:rPr>
                      <w:rFonts w:hint="eastAsia"/>
                      <w:color w:val="auto"/>
                      <w:sz w:val="21"/>
                      <w:szCs w:val="21"/>
                      <w:lang w:val="en-US" w:eastAsia="zh-CN"/>
                    </w:rPr>
                    <w:t>2014m</w:t>
                  </w:r>
                </w:p>
              </w:tc>
              <w:tc>
                <w:tcPr>
                  <w:tcW w:w="1455" w:type="pct"/>
                  <w:gridSpan w:val="2"/>
                  <w:noWrap w:val="0"/>
                  <w:vAlign w:val="center"/>
                </w:tcPr>
                <w:p w14:paraId="0CA48AE1">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eastAsia"/>
                      <w:color w:val="auto"/>
                      <w:sz w:val="21"/>
                      <w:szCs w:val="21"/>
                      <w:lang w:val="en-US" w:eastAsia="zh-CN"/>
                    </w:rPr>
                  </w:pPr>
                  <w:r>
                    <w:rPr>
                      <w:rFonts w:hint="eastAsia"/>
                      <w:color w:val="auto"/>
                      <w:sz w:val="21"/>
                      <w:szCs w:val="21"/>
                      <w:lang w:val="en-US" w:eastAsia="zh-CN"/>
                    </w:rPr>
                    <w:t>有效库容229.77万m</w:t>
                  </w:r>
                  <w:r>
                    <w:rPr>
                      <w:rFonts w:hint="eastAsia"/>
                      <w:color w:val="auto"/>
                      <w:sz w:val="21"/>
                      <w:szCs w:val="21"/>
                      <w:vertAlign w:val="superscript"/>
                      <w:lang w:val="en-US" w:eastAsia="zh-CN"/>
                    </w:rPr>
                    <w:t>3</w:t>
                  </w:r>
                </w:p>
              </w:tc>
            </w:tr>
            <w:tr w14:paraId="6D6EFC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vMerge w:val="continue"/>
                  <w:noWrap w:val="0"/>
                  <w:vAlign w:val="center"/>
                </w:tcPr>
                <w:p w14:paraId="0FA0FC38">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p>
              </w:tc>
              <w:tc>
                <w:tcPr>
                  <w:tcW w:w="308" w:type="pct"/>
                  <w:noWrap w:val="0"/>
                  <w:vAlign w:val="center"/>
                </w:tcPr>
                <w:p w14:paraId="7B27AD90">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val="en-US" w:eastAsia="zh-CN"/>
                    </w:rPr>
                  </w:pPr>
                  <w:r>
                    <w:rPr>
                      <w:rFonts w:hint="eastAsia"/>
                      <w:color w:val="auto"/>
                      <w:sz w:val="21"/>
                      <w:szCs w:val="21"/>
                      <w:lang w:val="en-US" w:eastAsia="zh-CN"/>
                    </w:rPr>
                    <w:t>4</w:t>
                  </w:r>
                </w:p>
              </w:tc>
              <w:tc>
                <w:tcPr>
                  <w:tcW w:w="746" w:type="pct"/>
                  <w:noWrap w:val="0"/>
                  <w:vAlign w:val="center"/>
                </w:tcPr>
                <w:p w14:paraId="1627235D">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苏家垱取水口</w:t>
                  </w:r>
                </w:p>
              </w:tc>
              <w:tc>
                <w:tcPr>
                  <w:tcW w:w="388" w:type="pct"/>
                  <w:noWrap w:val="0"/>
                  <w:vAlign w:val="center"/>
                </w:tcPr>
                <w:p w14:paraId="2A8CD34E">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w:t>
                  </w:r>
                </w:p>
              </w:tc>
              <w:tc>
                <w:tcPr>
                  <w:tcW w:w="358" w:type="pct"/>
                  <w:noWrap w:val="0"/>
                  <w:vAlign w:val="center"/>
                </w:tcPr>
                <w:p w14:paraId="2756493C">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w:t>
                  </w:r>
                </w:p>
              </w:tc>
              <w:tc>
                <w:tcPr>
                  <w:tcW w:w="1239" w:type="pct"/>
                  <w:gridSpan w:val="2"/>
                  <w:noWrap w:val="0"/>
                  <w:vAlign w:val="center"/>
                </w:tcPr>
                <w:p w14:paraId="6E00D4C0">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污水排放口下游36km 处</w:t>
                  </w:r>
                </w:p>
              </w:tc>
              <w:tc>
                <w:tcPr>
                  <w:tcW w:w="1455" w:type="pct"/>
                  <w:gridSpan w:val="2"/>
                  <w:noWrap w:val="0"/>
                  <w:vAlign w:val="center"/>
                </w:tcPr>
                <w:p w14:paraId="321AFDA7">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取水量</w:t>
                  </w:r>
                </w:p>
                <w:p w14:paraId="505E749C">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5000m</w:t>
                  </w:r>
                  <w:r>
                    <w:rPr>
                      <w:rFonts w:hint="default"/>
                      <w:color w:val="auto"/>
                      <w:sz w:val="21"/>
                      <w:szCs w:val="21"/>
                      <w:vertAlign w:val="superscript"/>
                    </w:rPr>
                    <w:t>3</w:t>
                  </w:r>
                  <w:r>
                    <w:rPr>
                      <w:rFonts w:hint="default"/>
                      <w:color w:val="auto"/>
                      <w:sz w:val="21"/>
                      <w:szCs w:val="21"/>
                    </w:rPr>
                    <w:t>/d</w:t>
                  </w:r>
                </w:p>
              </w:tc>
            </w:tr>
            <w:tr w14:paraId="59E9DA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noWrap w:val="0"/>
                  <w:vAlign w:val="center"/>
                </w:tcPr>
                <w:p w14:paraId="324C30D6">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声环境</w:t>
                  </w:r>
                </w:p>
              </w:tc>
              <w:tc>
                <w:tcPr>
                  <w:tcW w:w="308" w:type="pct"/>
                  <w:noWrap w:val="0"/>
                  <w:vAlign w:val="center"/>
                </w:tcPr>
                <w:p w14:paraId="6A485DDF">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eastAsia"/>
                      <w:color w:val="auto"/>
                      <w:sz w:val="21"/>
                      <w:szCs w:val="21"/>
                      <w:lang w:val="en-US" w:eastAsia="zh-CN"/>
                    </w:rPr>
                    <w:t>1</w:t>
                  </w:r>
                </w:p>
              </w:tc>
              <w:tc>
                <w:tcPr>
                  <w:tcW w:w="4187" w:type="pct"/>
                  <w:gridSpan w:val="7"/>
                  <w:noWrap w:val="0"/>
                  <w:vAlign w:val="center"/>
                </w:tcPr>
                <w:p w14:paraId="08ECE2D9">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default"/>
                      <w:color w:val="auto"/>
                      <w:sz w:val="21"/>
                      <w:szCs w:val="21"/>
                      <w:lang w:eastAsia="zh-CN"/>
                    </w:rPr>
                    <w:t>根据调查，项目边界外 50m 范围内未有声环境敏感目标</w:t>
                  </w:r>
                </w:p>
              </w:tc>
            </w:tr>
            <w:tr w14:paraId="295494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noWrap w:val="0"/>
                  <w:vAlign w:val="center"/>
                </w:tcPr>
                <w:p w14:paraId="36FCDE4C">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地下水环境</w:t>
                  </w:r>
                </w:p>
              </w:tc>
              <w:tc>
                <w:tcPr>
                  <w:tcW w:w="308" w:type="pct"/>
                  <w:noWrap w:val="0"/>
                  <w:vAlign w:val="center"/>
                </w:tcPr>
                <w:p w14:paraId="394ECD3F">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eastAsia"/>
                      <w:color w:val="auto"/>
                      <w:sz w:val="21"/>
                      <w:szCs w:val="21"/>
                      <w:lang w:val="en-US" w:eastAsia="zh-CN"/>
                    </w:rPr>
                    <w:t>1</w:t>
                  </w:r>
                </w:p>
              </w:tc>
              <w:tc>
                <w:tcPr>
                  <w:tcW w:w="4187" w:type="pct"/>
                  <w:gridSpan w:val="7"/>
                  <w:noWrap w:val="0"/>
                  <w:vAlign w:val="center"/>
                </w:tcPr>
                <w:p w14:paraId="1B27D2A4">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default"/>
                      <w:color w:val="auto"/>
                      <w:sz w:val="21"/>
                      <w:szCs w:val="21"/>
                      <w:lang w:eastAsia="zh-CN"/>
                    </w:rPr>
                    <w:t>厂界外500 米范围内未有地下水集中式饮用水水源和热水、矿泉水、温 泉等特殊地下水资源。</w:t>
                  </w:r>
                </w:p>
              </w:tc>
            </w:tr>
            <w:tr w14:paraId="17876F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04" w:type="pct"/>
                  <w:noWrap w:val="0"/>
                  <w:vAlign w:val="center"/>
                </w:tcPr>
                <w:p w14:paraId="6699A8CC">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生态环境</w:t>
                  </w:r>
                </w:p>
              </w:tc>
              <w:tc>
                <w:tcPr>
                  <w:tcW w:w="308" w:type="pct"/>
                  <w:noWrap w:val="0"/>
                  <w:vAlign w:val="center"/>
                </w:tcPr>
                <w:p w14:paraId="11EAEDB8">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eastAsia"/>
                      <w:color w:val="auto"/>
                      <w:sz w:val="21"/>
                      <w:szCs w:val="21"/>
                      <w:lang w:val="en-US" w:eastAsia="zh-CN"/>
                    </w:rPr>
                    <w:t>1</w:t>
                  </w:r>
                </w:p>
              </w:tc>
              <w:tc>
                <w:tcPr>
                  <w:tcW w:w="4187" w:type="pct"/>
                  <w:gridSpan w:val="7"/>
                  <w:noWrap w:val="0"/>
                  <w:vAlign w:val="center"/>
                </w:tcPr>
                <w:p w14:paraId="5363FBCE">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default"/>
                      <w:color w:val="auto"/>
                      <w:sz w:val="21"/>
                      <w:szCs w:val="21"/>
                      <w:lang w:eastAsia="zh-CN"/>
                    </w:rPr>
                    <w:t>项目在产业园区内，无生态环境敏感目标</w:t>
                  </w:r>
                </w:p>
              </w:tc>
            </w:tr>
            <w:tr w14:paraId="7FE1BB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812" w:type="pct"/>
                  <w:gridSpan w:val="2"/>
                  <w:noWrap w:val="0"/>
                  <w:vAlign w:val="center"/>
                </w:tcPr>
                <w:p w14:paraId="2467969D">
                  <w:pPr>
                    <w:pStyle w:val="40"/>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rPr>
                  </w:pPr>
                  <w:r>
                    <w:rPr>
                      <w:rFonts w:hint="default"/>
                      <w:color w:val="auto"/>
                      <w:sz w:val="21"/>
                      <w:szCs w:val="21"/>
                    </w:rPr>
                    <w:t>注*</w:t>
                  </w:r>
                </w:p>
              </w:tc>
              <w:tc>
                <w:tcPr>
                  <w:tcW w:w="4187" w:type="pct"/>
                  <w:gridSpan w:val="7"/>
                  <w:noWrap w:val="0"/>
                  <w:vAlign w:val="center"/>
                </w:tcPr>
                <w:p w14:paraId="3DB69F67">
                  <w:pPr>
                    <w:pStyle w:val="40"/>
                    <w:keepNext w:val="0"/>
                    <w:keepLines w:val="0"/>
                    <w:pageBreakBefore w:val="0"/>
                    <w:widowControl w:val="0"/>
                    <w:kinsoku/>
                    <w:wordWrap w:val="0"/>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default"/>
                      <w:color w:val="auto"/>
                      <w:sz w:val="21"/>
                      <w:szCs w:val="21"/>
                      <w:lang w:eastAsia="zh-CN"/>
                    </w:rPr>
                    <w:t>以本项目中心为原点坐标（0，0）。</w:t>
                  </w:r>
                </w:p>
                <w:p w14:paraId="6C805C1E">
                  <w:pPr>
                    <w:pStyle w:val="40"/>
                    <w:keepNext w:val="0"/>
                    <w:keepLines w:val="0"/>
                    <w:pageBreakBefore w:val="0"/>
                    <w:widowControl w:val="0"/>
                    <w:kinsoku/>
                    <w:wordWrap w:val="0"/>
                    <w:overflowPunct/>
                    <w:topLinePunct w:val="0"/>
                    <w:autoSpaceDE/>
                    <w:autoSpaceDN/>
                    <w:bidi w:val="0"/>
                    <w:adjustRightInd/>
                    <w:snapToGrid/>
                    <w:spacing w:beforeLines="0" w:afterLines="0" w:line="240" w:lineRule="auto"/>
                    <w:ind w:left="0" w:firstLine="0" w:firstLineChars="0"/>
                    <w:textAlignment w:val="auto"/>
                    <w:rPr>
                      <w:rFonts w:hint="default"/>
                      <w:color w:val="auto"/>
                      <w:sz w:val="21"/>
                      <w:szCs w:val="21"/>
                      <w:lang w:eastAsia="zh-CN"/>
                    </w:rPr>
                  </w:pPr>
                  <w:r>
                    <w:rPr>
                      <w:rFonts w:hint="default"/>
                      <w:color w:val="auto"/>
                      <w:sz w:val="21"/>
                      <w:szCs w:val="21"/>
                      <w:lang w:eastAsia="zh-CN"/>
                    </w:rPr>
                    <w:t>（坐标：E115°45′13.756″,N29°7′58.792″）</w:t>
                  </w:r>
                </w:p>
              </w:tc>
            </w:tr>
          </w:tbl>
          <w:p w14:paraId="3F07D6B3">
            <w:pPr>
              <w:pStyle w:val="7"/>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rPr>
                <w:rFonts w:hint="default"/>
                <w:color w:val="auto"/>
              </w:rPr>
            </w:pPr>
            <w:r>
              <w:rPr>
                <w:rFonts w:hint="default"/>
                <w:color w:val="auto"/>
              </w:rPr>
              <w:t>2、主要污染控制目标</w:t>
            </w:r>
          </w:p>
          <w:p w14:paraId="34A1D36C">
            <w:pPr>
              <w:pStyle w:val="7"/>
              <w:bidi w:val="0"/>
              <w:rPr>
                <w:rFonts w:hint="default"/>
                <w:color w:val="auto"/>
              </w:rPr>
            </w:pPr>
            <w:r>
              <w:rPr>
                <w:rFonts w:hint="default"/>
                <w:color w:val="auto"/>
              </w:rPr>
              <w:t>①排水实行雨污分流；本项目产生的生产废水</w:t>
            </w:r>
            <w:r>
              <w:rPr>
                <w:rFonts w:hint="eastAsia"/>
                <w:color w:val="auto"/>
                <w:lang w:eastAsia="zh-CN"/>
              </w:rPr>
              <w:t>、</w:t>
            </w:r>
            <w:r>
              <w:rPr>
                <w:rFonts w:hint="eastAsia"/>
                <w:color w:val="auto"/>
                <w:lang w:val="en-US" w:eastAsia="zh-CN"/>
              </w:rPr>
              <w:t>生活污水</w:t>
            </w:r>
            <w:r>
              <w:rPr>
                <w:rFonts w:hint="default"/>
                <w:color w:val="auto"/>
              </w:rPr>
              <w:t>经厂区污水处理设施预处理后达到永修县星火工业园污水处理厂接管标准后排入园区市政污水管网，之后排入星火工业园污水处理厂进一步处理达标后，排入杨柳津河。保护项目所在区域地表水水质，符合《地表水环境质量标准》(GB3838-2002)中Ⅲ类标准要求。</w:t>
            </w:r>
          </w:p>
          <w:p w14:paraId="02A30EFD">
            <w:pPr>
              <w:pStyle w:val="7"/>
              <w:bidi w:val="0"/>
              <w:rPr>
                <w:rFonts w:hint="default"/>
                <w:color w:val="auto"/>
              </w:rPr>
            </w:pPr>
            <w:r>
              <w:rPr>
                <w:rFonts w:hint="default"/>
                <w:color w:val="auto"/>
              </w:rPr>
              <w:t>②环境空气污染物以保护敏感目标和不对周围环境空气质量产生不利影响为控制目标，保护周围环境空气质量符合《环境空气质量标准》（GB3095-2012）二级标准。</w:t>
            </w:r>
          </w:p>
          <w:p w14:paraId="64314BA7">
            <w:pPr>
              <w:pStyle w:val="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3 \* GB3 </w:instrText>
            </w:r>
            <w:r>
              <w:rPr>
                <w:rFonts w:hint="default"/>
                <w:color w:val="auto"/>
                <w:sz w:val="24"/>
                <w:szCs w:val="24"/>
              </w:rPr>
              <w:fldChar w:fldCharType="separate"/>
            </w:r>
            <w:r>
              <w:rPr>
                <w:rFonts w:hint="default"/>
                <w:color w:val="auto"/>
                <w:sz w:val="24"/>
                <w:szCs w:val="24"/>
              </w:rPr>
              <w:t>③</w:t>
            </w:r>
            <w:r>
              <w:rPr>
                <w:rFonts w:hint="default"/>
                <w:color w:val="auto"/>
                <w:sz w:val="24"/>
                <w:szCs w:val="24"/>
              </w:rPr>
              <w:fldChar w:fldCharType="end"/>
            </w:r>
            <w:r>
              <w:rPr>
                <w:rFonts w:hint="default"/>
                <w:color w:val="auto"/>
                <w:sz w:val="24"/>
                <w:szCs w:val="24"/>
              </w:rPr>
              <w:t>严格控制噪声源，厂界噪声应达到《声环境质量标准》（GB3096-2008）中的3类标准。</w:t>
            </w:r>
          </w:p>
          <w:p w14:paraId="0AD487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宋体" w:hAnsi="宋体" w:eastAsia="宋体" w:cs="宋体"/>
                <w:color w:val="auto"/>
                <w:kern w:val="0"/>
                <w:szCs w:val="21"/>
                <w:lang w:val="en-US" w:eastAsia="zh-CN"/>
              </w:rPr>
            </w:pPr>
            <w:r>
              <w:rPr>
                <w:rFonts w:hint="default"/>
                <w:color w:val="auto"/>
                <w:sz w:val="24"/>
                <w:szCs w:val="24"/>
              </w:rPr>
              <w:fldChar w:fldCharType="begin"/>
            </w:r>
            <w:r>
              <w:rPr>
                <w:rFonts w:hint="default"/>
                <w:color w:val="auto"/>
                <w:sz w:val="24"/>
                <w:szCs w:val="24"/>
              </w:rPr>
              <w:instrText xml:space="preserve"> = 4 \* GB3 </w:instrText>
            </w:r>
            <w:r>
              <w:rPr>
                <w:rFonts w:hint="default"/>
                <w:color w:val="auto"/>
                <w:sz w:val="24"/>
                <w:szCs w:val="24"/>
              </w:rPr>
              <w:fldChar w:fldCharType="separate"/>
            </w:r>
            <w:r>
              <w:rPr>
                <w:rFonts w:hint="default"/>
                <w:color w:val="auto"/>
                <w:sz w:val="24"/>
                <w:szCs w:val="24"/>
              </w:rPr>
              <w:t>④</w:t>
            </w:r>
            <w:r>
              <w:rPr>
                <w:rFonts w:hint="default"/>
                <w:color w:val="auto"/>
                <w:sz w:val="24"/>
                <w:szCs w:val="24"/>
              </w:rPr>
              <w:fldChar w:fldCharType="end"/>
            </w:r>
            <w:r>
              <w:rPr>
                <w:rFonts w:hint="default"/>
                <w:color w:val="auto"/>
                <w:sz w:val="24"/>
                <w:szCs w:val="24"/>
              </w:rPr>
              <w:t>妥善处理固体废弃物，以不对外界环境造成不良影响。</w:t>
            </w:r>
          </w:p>
        </w:tc>
      </w:tr>
      <w:tr w14:paraId="254B9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68" w:type="dxa"/>
            <w:noWrap w:val="0"/>
            <w:vAlign w:val="center"/>
          </w:tcPr>
          <w:p w14:paraId="326719EF">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污染</w:t>
            </w:r>
          </w:p>
          <w:p w14:paraId="69368FA5">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物排</w:t>
            </w:r>
          </w:p>
          <w:p w14:paraId="191C9331">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放控</w:t>
            </w:r>
          </w:p>
          <w:p w14:paraId="64BBA397">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制标</w:t>
            </w:r>
          </w:p>
          <w:p w14:paraId="6A53FC6D">
            <w:pPr>
              <w:pageBreakBefore w:val="0"/>
              <w:topLinePunct w:val="0"/>
              <w:bidi w:val="0"/>
              <w:adjustRightInd/>
              <w:snapToGrid/>
              <w:spacing w:beforeAutospacing="0" w:afterAutospacing="0"/>
              <w:ind w:left="0" w:leftChars="0" w:right="0" w:rightChars="0"/>
              <w:jc w:val="center"/>
              <w:rPr>
                <w:rFonts w:hint="eastAsia" w:ascii="宋体" w:hAnsi="宋体" w:cs="宋体"/>
                <w:color w:val="auto"/>
                <w:kern w:val="0"/>
                <w:sz w:val="24"/>
                <w:szCs w:val="24"/>
              </w:rPr>
            </w:pPr>
            <w:r>
              <w:rPr>
                <w:rFonts w:hint="eastAsia" w:ascii="宋体" w:hAnsi="宋体" w:cs="宋体"/>
                <w:color w:val="auto"/>
                <w:kern w:val="0"/>
                <w:sz w:val="24"/>
                <w:szCs w:val="24"/>
              </w:rPr>
              <w:t>准</w:t>
            </w:r>
          </w:p>
        </w:tc>
        <w:tc>
          <w:tcPr>
            <w:tcW w:w="7754" w:type="dxa"/>
            <w:noWrap w:val="0"/>
            <w:vAlign w:val="center"/>
          </w:tcPr>
          <w:p w14:paraId="3E5CD1C2">
            <w:pPr>
              <w:pStyle w:val="63"/>
              <w:keepNext w:val="0"/>
              <w:keepLines w:val="0"/>
              <w:pageBreakBefore w:val="0"/>
              <w:widowControl w:val="0"/>
              <w:tabs>
                <w:tab w:val="center" w:pos="4180"/>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b/>
                <w:color w:val="auto"/>
                <w:sz w:val="24"/>
                <w:szCs w:val="24"/>
              </w:rPr>
            </w:pPr>
            <w:r>
              <w:rPr>
                <w:b/>
                <w:color w:val="auto"/>
                <w:sz w:val="24"/>
                <w:szCs w:val="24"/>
              </w:rPr>
              <w:t>1、废气</w:t>
            </w:r>
          </w:p>
          <w:p w14:paraId="3C7016A9">
            <w:pPr>
              <w:spacing w:line="360" w:lineRule="auto"/>
              <w:ind w:right="26" w:firstLine="480" w:firstLineChars="200"/>
              <w:rPr>
                <w:color w:val="auto"/>
                <w:sz w:val="24"/>
              </w:rPr>
            </w:pPr>
            <w:r>
              <w:rPr>
                <w:color w:val="auto"/>
                <w:sz w:val="24"/>
              </w:rPr>
              <w:t>项目生产过程的工艺粉尘排放执行上海市《大气污染物综合排放标准》（DB31/933-2015）表1中大气污染物排放浓度限值及表3中厂界大气污染物监控点浓度限值；废塑料</w:t>
            </w:r>
            <w:r>
              <w:rPr>
                <w:rFonts w:hint="eastAsia" w:eastAsia="宋体"/>
                <w:color w:val="auto"/>
                <w:sz w:val="24"/>
                <w:lang w:val="en-US" w:eastAsia="zh-CN"/>
              </w:rPr>
              <w:t>熔融挤出</w:t>
            </w:r>
            <w:r>
              <w:rPr>
                <w:color w:val="auto"/>
                <w:sz w:val="24"/>
              </w:rPr>
              <w:t>造粒产生的</w:t>
            </w:r>
            <w:r>
              <w:rPr>
                <w:rFonts w:hint="eastAsia"/>
                <w:color w:val="auto"/>
                <w:sz w:val="24"/>
              </w:rPr>
              <w:t>VOCs</w:t>
            </w:r>
            <w:r>
              <w:rPr>
                <w:color w:val="auto"/>
                <w:sz w:val="24"/>
              </w:rPr>
              <w:t>排放执行《</w:t>
            </w:r>
            <w:r>
              <w:rPr>
                <w:rFonts w:hint="eastAsia"/>
                <w:color w:val="auto"/>
                <w:sz w:val="24"/>
              </w:rPr>
              <w:t>江西省地方标准：挥发性有机物排放标准第4部分：塑料制品业</w:t>
            </w:r>
            <w:r>
              <w:rPr>
                <w:color w:val="auto"/>
                <w:sz w:val="24"/>
              </w:rPr>
              <w:t>》（</w:t>
            </w:r>
            <w:r>
              <w:rPr>
                <w:rFonts w:hint="eastAsia"/>
                <w:color w:val="auto"/>
                <w:sz w:val="24"/>
              </w:rPr>
              <w:t>DB36/1101.4-2019</w:t>
            </w:r>
            <w:r>
              <w:rPr>
                <w:color w:val="auto"/>
                <w:sz w:val="24"/>
              </w:rPr>
              <w:t>）表</w:t>
            </w:r>
            <w:r>
              <w:rPr>
                <w:rFonts w:hint="eastAsia"/>
                <w:color w:val="auto"/>
                <w:sz w:val="24"/>
              </w:rPr>
              <w:t>1</w:t>
            </w:r>
            <w:r>
              <w:rPr>
                <w:rFonts w:hint="eastAsia" w:ascii="宋体" w:hAnsi="宋体" w:cs="宋体"/>
                <w:color w:val="auto"/>
                <w:sz w:val="24"/>
              </w:rPr>
              <w:t>及</w:t>
            </w:r>
            <w:r>
              <w:rPr>
                <w:color w:val="auto"/>
                <w:sz w:val="24"/>
              </w:rPr>
              <w:t>表</w:t>
            </w:r>
            <w:r>
              <w:rPr>
                <w:rFonts w:hint="eastAsia"/>
                <w:color w:val="auto"/>
                <w:sz w:val="24"/>
              </w:rPr>
              <w:t>2</w:t>
            </w:r>
            <w:r>
              <w:rPr>
                <w:rFonts w:hint="eastAsia" w:ascii="宋体" w:hAnsi="宋体" w:cs="宋体"/>
                <w:color w:val="auto"/>
                <w:sz w:val="24"/>
              </w:rPr>
              <w:t>相关</w:t>
            </w:r>
            <w:r>
              <w:rPr>
                <w:color w:val="auto"/>
                <w:sz w:val="24"/>
              </w:rPr>
              <w:t>标准</w:t>
            </w:r>
            <w:r>
              <w:rPr>
                <w:rFonts w:hint="eastAsia"/>
                <w:color w:val="auto"/>
                <w:sz w:val="24"/>
              </w:rPr>
              <w:t>；臭气排放参照执行上海市《恶臭（异味）污染物排放标准》（DB31/1025-2016）表1及表3中相应标准。</w:t>
            </w:r>
          </w:p>
          <w:p w14:paraId="54A79FF3">
            <w:pPr>
              <w:pStyle w:val="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Ansi="宋体"/>
                <w:b/>
                <w:color w:val="auto"/>
                <w:sz w:val="21"/>
                <w:szCs w:val="21"/>
              </w:rPr>
            </w:pPr>
          </w:p>
          <w:p w14:paraId="75FAE38B">
            <w:pPr>
              <w:pStyle w:val="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Ansi="宋体"/>
                <w:b/>
                <w:color w:val="auto"/>
                <w:sz w:val="21"/>
                <w:szCs w:val="21"/>
              </w:rPr>
            </w:pPr>
          </w:p>
          <w:p w14:paraId="74A33448">
            <w:pPr>
              <w:pStyle w:val="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Ansi="宋体"/>
                <w:b/>
                <w:color w:val="auto"/>
                <w:sz w:val="21"/>
                <w:szCs w:val="21"/>
              </w:rPr>
            </w:pPr>
          </w:p>
          <w:p w14:paraId="1F29F409">
            <w:pPr>
              <w:pStyle w:val="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Ansi="宋体"/>
                <w:b/>
                <w:color w:val="auto"/>
                <w:sz w:val="21"/>
                <w:szCs w:val="21"/>
              </w:rPr>
            </w:pPr>
          </w:p>
          <w:p w14:paraId="075D5623">
            <w:pPr>
              <w:pStyle w:val="7"/>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b/>
                <w:bCs/>
                <w:snapToGrid w:val="0"/>
                <w:color w:val="auto"/>
                <w:kern w:val="0"/>
                <w:sz w:val="21"/>
                <w:szCs w:val="21"/>
              </w:rPr>
            </w:pPr>
            <w:r>
              <w:rPr>
                <w:rFonts w:hAnsi="宋体"/>
                <w:b/>
                <w:color w:val="auto"/>
                <w:sz w:val="21"/>
                <w:szCs w:val="21"/>
              </w:rPr>
              <w:t>表</w:t>
            </w:r>
            <w:r>
              <w:rPr>
                <w:rFonts w:hint="eastAsia"/>
                <w:b/>
                <w:color w:val="auto"/>
                <w:sz w:val="21"/>
                <w:szCs w:val="21"/>
                <w:lang w:val="en-US" w:eastAsia="zh-CN"/>
              </w:rPr>
              <w:t>3-4</w:t>
            </w:r>
            <w:r>
              <w:rPr>
                <w:rFonts w:hint="eastAsia"/>
                <w:b/>
                <w:color w:val="auto"/>
                <w:sz w:val="21"/>
                <w:szCs w:val="21"/>
              </w:rPr>
              <w:t xml:space="preserve">  </w:t>
            </w:r>
            <w:r>
              <w:rPr>
                <w:b/>
                <w:color w:val="auto"/>
                <w:sz w:val="21"/>
                <w:szCs w:val="21"/>
                <w:lang w:val="en-GB"/>
              </w:rPr>
              <w:t xml:space="preserve"> </w:t>
            </w:r>
            <w:r>
              <w:rPr>
                <w:b/>
                <w:bCs/>
                <w:snapToGrid w:val="0"/>
                <w:color w:val="auto"/>
                <w:kern w:val="0"/>
                <w:sz w:val="21"/>
                <w:szCs w:val="21"/>
              </w:rPr>
              <w:t>本项目工艺废气大气污染物排放标准</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
            <w:tblGrid>
              <w:gridCol w:w="837"/>
              <w:gridCol w:w="813"/>
              <w:gridCol w:w="1200"/>
              <w:gridCol w:w="945"/>
              <w:gridCol w:w="780"/>
              <w:gridCol w:w="1125"/>
              <w:gridCol w:w="1838"/>
            </w:tblGrid>
            <w:tr w14:paraId="5CC8A901">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0" w:hRule="atLeast"/>
                <w:jc w:val="center"/>
              </w:trPr>
              <w:tc>
                <w:tcPr>
                  <w:tcW w:w="837" w:type="dxa"/>
                  <w:vMerge w:val="restart"/>
                  <w:tcBorders>
                    <w:tl2br w:val="nil"/>
                    <w:tr2bl w:val="nil"/>
                  </w:tcBorders>
                  <w:vAlign w:val="center"/>
                </w:tcPr>
                <w:p w14:paraId="4FA4CD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污染物</w:t>
                  </w:r>
                </w:p>
              </w:tc>
              <w:tc>
                <w:tcPr>
                  <w:tcW w:w="2958" w:type="dxa"/>
                  <w:gridSpan w:val="3"/>
                  <w:tcBorders>
                    <w:tl2br w:val="nil"/>
                    <w:tr2bl w:val="nil"/>
                  </w:tcBorders>
                  <w:vAlign w:val="center"/>
                </w:tcPr>
                <w:p w14:paraId="447F3B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排放标准</w:t>
                  </w:r>
                </w:p>
              </w:tc>
              <w:tc>
                <w:tcPr>
                  <w:tcW w:w="1905" w:type="dxa"/>
                  <w:gridSpan w:val="2"/>
                  <w:tcBorders>
                    <w:tl2br w:val="nil"/>
                    <w:tr2bl w:val="nil"/>
                  </w:tcBorders>
                  <w:vAlign w:val="center"/>
                </w:tcPr>
                <w:p w14:paraId="3E3A3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无组织排放浓度限值</w:t>
                  </w:r>
                </w:p>
              </w:tc>
              <w:tc>
                <w:tcPr>
                  <w:tcW w:w="1838" w:type="dxa"/>
                  <w:vMerge w:val="restart"/>
                  <w:tcBorders>
                    <w:tl2br w:val="nil"/>
                    <w:tr2bl w:val="nil"/>
                  </w:tcBorders>
                  <w:vAlign w:val="center"/>
                </w:tcPr>
                <w:p w14:paraId="3210AD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标准来源</w:t>
                  </w:r>
                </w:p>
              </w:tc>
            </w:tr>
            <w:tr w14:paraId="6AFDE8C3">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0" w:hRule="atLeast"/>
                <w:jc w:val="center"/>
              </w:trPr>
              <w:tc>
                <w:tcPr>
                  <w:tcW w:w="837" w:type="dxa"/>
                  <w:vMerge w:val="continue"/>
                  <w:tcBorders>
                    <w:tl2br w:val="nil"/>
                    <w:tr2bl w:val="nil"/>
                  </w:tcBorders>
                  <w:vAlign w:val="center"/>
                </w:tcPr>
                <w:p w14:paraId="4538E7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813" w:type="dxa"/>
                  <w:tcBorders>
                    <w:tl2br w:val="nil"/>
                    <w:tr2bl w:val="nil"/>
                  </w:tcBorders>
                  <w:vAlign w:val="center"/>
                </w:tcPr>
                <w:p w14:paraId="371B1D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烟囱高度（m）</w:t>
                  </w:r>
                </w:p>
              </w:tc>
              <w:tc>
                <w:tcPr>
                  <w:tcW w:w="1200" w:type="dxa"/>
                  <w:tcBorders>
                    <w:tl2br w:val="nil"/>
                    <w:tr2bl w:val="nil"/>
                  </w:tcBorders>
                  <w:vAlign w:val="center"/>
                </w:tcPr>
                <w:p w14:paraId="71195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排放浓度（mg/m</w:t>
                  </w:r>
                  <w:r>
                    <w:rPr>
                      <w:b/>
                      <w:color w:val="auto"/>
                      <w:vertAlign w:val="superscript"/>
                    </w:rPr>
                    <w:t>3</w:t>
                  </w:r>
                  <w:r>
                    <w:rPr>
                      <w:b/>
                      <w:color w:val="auto"/>
                    </w:rPr>
                    <w:t>）</w:t>
                  </w:r>
                </w:p>
              </w:tc>
              <w:tc>
                <w:tcPr>
                  <w:tcW w:w="945" w:type="dxa"/>
                  <w:tcBorders>
                    <w:tl2br w:val="nil"/>
                    <w:tr2bl w:val="nil"/>
                  </w:tcBorders>
                  <w:vAlign w:val="center"/>
                </w:tcPr>
                <w:p w14:paraId="36ACBF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排放速率（kg/h)</w:t>
                  </w:r>
                </w:p>
              </w:tc>
              <w:tc>
                <w:tcPr>
                  <w:tcW w:w="780" w:type="dxa"/>
                  <w:tcBorders>
                    <w:tl2br w:val="nil"/>
                    <w:tr2bl w:val="nil"/>
                  </w:tcBorders>
                  <w:vAlign w:val="center"/>
                </w:tcPr>
                <w:p w14:paraId="0F7046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监控点</w:t>
                  </w:r>
                </w:p>
              </w:tc>
              <w:tc>
                <w:tcPr>
                  <w:tcW w:w="1125" w:type="dxa"/>
                  <w:tcBorders>
                    <w:tl2br w:val="nil"/>
                    <w:tr2bl w:val="nil"/>
                  </w:tcBorders>
                  <w:vAlign w:val="center"/>
                </w:tcPr>
                <w:p w14:paraId="074EE0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rPr>
                  </w:pPr>
                  <w:r>
                    <w:rPr>
                      <w:b/>
                      <w:color w:val="auto"/>
                    </w:rPr>
                    <w:t>浓度（mg/m</w:t>
                  </w:r>
                  <w:r>
                    <w:rPr>
                      <w:b/>
                      <w:color w:val="auto"/>
                      <w:vertAlign w:val="superscript"/>
                    </w:rPr>
                    <w:t>3</w:t>
                  </w:r>
                  <w:r>
                    <w:rPr>
                      <w:b/>
                      <w:color w:val="auto"/>
                    </w:rPr>
                    <w:t>）</w:t>
                  </w:r>
                </w:p>
              </w:tc>
              <w:tc>
                <w:tcPr>
                  <w:tcW w:w="1838" w:type="dxa"/>
                  <w:vMerge w:val="continue"/>
                  <w:tcBorders>
                    <w:tl2br w:val="nil"/>
                    <w:tr2bl w:val="nil"/>
                  </w:tcBorders>
                  <w:vAlign w:val="center"/>
                </w:tcPr>
                <w:p w14:paraId="691FB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14:paraId="51BEF45A">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0" w:hRule="atLeast"/>
                <w:jc w:val="center"/>
              </w:trPr>
              <w:tc>
                <w:tcPr>
                  <w:tcW w:w="837" w:type="dxa"/>
                  <w:tcBorders>
                    <w:tl2br w:val="nil"/>
                    <w:tr2bl w:val="nil"/>
                  </w:tcBorders>
                  <w:vAlign w:val="center"/>
                </w:tcPr>
                <w:p w14:paraId="6EEB60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VOCs</w:t>
                  </w:r>
                </w:p>
              </w:tc>
              <w:tc>
                <w:tcPr>
                  <w:tcW w:w="813" w:type="dxa"/>
                  <w:tcBorders>
                    <w:tl2br w:val="nil"/>
                    <w:tr2bl w:val="nil"/>
                  </w:tcBorders>
                  <w:vAlign w:val="center"/>
                </w:tcPr>
                <w:p w14:paraId="09C7B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15</w:t>
                  </w:r>
                </w:p>
              </w:tc>
              <w:tc>
                <w:tcPr>
                  <w:tcW w:w="1200" w:type="dxa"/>
                  <w:tcBorders>
                    <w:tl2br w:val="nil"/>
                    <w:tr2bl w:val="nil"/>
                  </w:tcBorders>
                  <w:vAlign w:val="center"/>
                </w:tcPr>
                <w:p w14:paraId="323FA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40</w:t>
                  </w:r>
                </w:p>
              </w:tc>
              <w:tc>
                <w:tcPr>
                  <w:tcW w:w="945" w:type="dxa"/>
                  <w:tcBorders>
                    <w:tl2br w:val="nil"/>
                    <w:tr2bl w:val="nil"/>
                  </w:tcBorders>
                  <w:vAlign w:val="center"/>
                </w:tcPr>
                <w:p w14:paraId="1F422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1.2</w:t>
                  </w:r>
                </w:p>
              </w:tc>
              <w:tc>
                <w:tcPr>
                  <w:tcW w:w="780" w:type="dxa"/>
                  <w:tcBorders>
                    <w:tl2br w:val="nil"/>
                    <w:tr2bl w:val="nil"/>
                  </w:tcBorders>
                  <w:vAlign w:val="center"/>
                </w:tcPr>
                <w:p w14:paraId="0316C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周界外浓度最高点</w:t>
                  </w:r>
                </w:p>
              </w:tc>
              <w:tc>
                <w:tcPr>
                  <w:tcW w:w="1125" w:type="dxa"/>
                  <w:tcBorders>
                    <w:tl2br w:val="nil"/>
                    <w:tr2bl w:val="nil"/>
                  </w:tcBorders>
                  <w:vAlign w:val="center"/>
                </w:tcPr>
                <w:p w14:paraId="5C4EB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2.0</w:t>
                  </w:r>
                </w:p>
              </w:tc>
              <w:tc>
                <w:tcPr>
                  <w:tcW w:w="1838" w:type="dxa"/>
                  <w:tcBorders>
                    <w:tl2br w:val="nil"/>
                    <w:tr2bl w:val="nil"/>
                  </w:tcBorders>
                  <w:vAlign w:val="center"/>
                </w:tcPr>
                <w:p w14:paraId="49B592D6">
                  <w:pPr>
                    <w:pStyle w:val="52"/>
                    <w:keepNext w:val="0"/>
                    <w:keepLines w:val="0"/>
                    <w:pageBreakBefore w:val="0"/>
                    <w:widowControl w:val="0"/>
                    <w:kinsoku/>
                    <w:wordWrap w:val="0"/>
                    <w:overflowPunct/>
                    <w:topLinePunct w:val="0"/>
                    <w:autoSpaceDE/>
                    <w:autoSpaceDN/>
                    <w:bidi w:val="0"/>
                    <w:adjustRightInd/>
                    <w:snapToGrid/>
                    <w:spacing w:line="240" w:lineRule="auto"/>
                    <w:textAlignment w:val="auto"/>
                    <w:rPr>
                      <w:color w:val="auto"/>
                    </w:rPr>
                  </w:pPr>
                  <w:r>
                    <w:rPr>
                      <w:color w:val="auto"/>
                      <w:szCs w:val="21"/>
                    </w:rPr>
                    <w:t>《</w:t>
                  </w:r>
                  <w:r>
                    <w:rPr>
                      <w:rFonts w:hint="eastAsia"/>
                      <w:color w:val="auto"/>
                      <w:szCs w:val="21"/>
                    </w:rPr>
                    <w:t>江西省地方标准：挥发性有机物排放标准第4部分：塑料制品业</w:t>
                  </w:r>
                  <w:r>
                    <w:rPr>
                      <w:color w:val="auto"/>
                      <w:szCs w:val="21"/>
                    </w:rPr>
                    <w:t>》（</w:t>
                  </w:r>
                  <w:r>
                    <w:rPr>
                      <w:rFonts w:hint="eastAsia"/>
                      <w:color w:val="auto"/>
                      <w:szCs w:val="21"/>
                    </w:rPr>
                    <w:t>DB36/1101.4-2019</w:t>
                  </w:r>
                  <w:r>
                    <w:rPr>
                      <w:color w:val="auto"/>
                      <w:szCs w:val="21"/>
                    </w:rPr>
                    <w:t>）</w:t>
                  </w:r>
                </w:p>
              </w:tc>
            </w:tr>
            <w:tr w14:paraId="1A5555D2">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0" w:hRule="atLeast"/>
                <w:jc w:val="center"/>
              </w:trPr>
              <w:tc>
                <w:tcPr>
                  <w:tcW w:w="837" w:type="dxa"/>
                  <w:tcBorders>
                    <w:tl2br w:val="nil"/>
                    <w:tr2bl w:val="nil"/>
                  </w:tcBorders>
                  <w:vAlign w:val="center"/>
                </w:tcPr>
                <w:p w14:paraId="035F4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颗粒物</w:t>
                  </w:r>
                </w:p>
              </w:tc>
              <w:tc>
                <w:tcPr>
                  <w:tcW w:w="813" w:type="dxa"/>
                  <w:tcBorders>
                    <w:tl2br w:val="nil"/>
                    <w:tr2bl w:val="nil"/>
                  </w:tcBorders>
                  <w:vAlign w:val="center"/>
                </w:tcPr>
                <w:p w14:paraId="10827C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15</w:t>
                  </w:r>
                </w:p>
              </w:tc>
              <w:tc>
                <w:tcPr>
                  <w:tcW w:w="1200" w:type="dxa"/>
                  <w:tcBorders>
                    <w:right w:val="single" w:color="000000" w:sz="2" w:space="0"/>
                    <w:tl2br w:val="nil"/>
                    <w:tr2bl w:val="nil"/>
                  </w:tcBorders>
                  <w:vAlign w:val="center"/>
                </w:tcPr>
                <w:p w14:paraId="2AE99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szCs w:val="21"/>
                    </w:rPr>
                    <w:t>30</w:t>
                  </w:r>
                </w:p>
              </w:tc>
              <w:tc>
                <w:tcPr>
                  <w:tcW w:w="945" w:type="dxa"/>
                  <w:tcBorders>
                    <w:left w:val="single" w:color="000000" w:sz="2" w:space="0"/>
                    <w:tl2br w:val="nil"/>
                    <w:tr2bl w:val="nil"/>
                  </w:tcBorders>
                  <w:vAlign w:val="center"/>
                </w:tcPr>
                <w:p w14:paraId="629D73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szCs w:val="21"/>
                    </w:rPr>
                    <w:t>1.5</w:t>
                  </w:r>
                </w:p>
              </w:tc>
              <w:tc>
                <w:tcPr>
                  <w:tcW w:w="780" w:type="dxa"/>
                  <w:tcBorders>
                    <w:tl2br w:val="nil"/>
                    <w:tr2bl w:val="nil"/>
                  </w:tcBorders>
                  <w:vAlign w:val="center"/>
                </w:tcPr>
                <w:p w14:paraId="31EF71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t>周界外浓度最高点</w:t>
                  </w:r>
                </w:p>
              </w:tc>
              <w:tc>
                <w:tcPr>
                  <w:tcW w:w="1125" w:type="dxa"/>
                  <w:tcBorders>
                    <w:tl2br w:val="nil"/>
                    <w:tr2bl w:val="nil"/>
                  </w:tcBorders>
                  <w:vAlign w:val="center"/>
                </w:tcPr>
                <w:p w14:paraId="349C02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0.5</w:t>
                  </w:r>
                </w:p>
              </w:tc>
              <w:tc>
                <w:tcPr>
                  <w:tcW w:w="1838" w:type="dxa"/>
                  <w:tcBorders>
                    <w:tl2br w:val="nil"/>
                    <w:tr2bl w:val="nil"/>
                  </w:tcBorders>
                  <w:vAlign w:val="center"/>
                </w:tcPr>
                <w:p w14:paraId="182FEB58">
                  <w:pPr>
                    <w:pStyle w:val="52"/>
                    <w:keepNext w:val="0"/>
                    <w:keepLines w:val="0"/>
                    <w:pageBreakBefore w:val="0"/>
                    <w:widowControl w:val="0"/>
                    <w:kinsoku/>
                    <w:wordWrap w:val="0"/>
                    <w:overflowPunct/>
                    <w:topLinePunct w:val="0"/>
                    <w:autoSpaceDE/>
                    <w:autoSpaceDN/>
                    <w:bidi w:val="0"/>
                    <w:adjustRightInd/>
                    <w:snapToGrid/>
                    <w:spacing w:line="240" w:lineRule="auto"/>
                    <w:textAlignment w:val="auto"/>
                    <w:rPr>
                      <w:color w:val="auto"/>
                    </w:rPr>
                  </w:pPr>
                  <w:r>
                    <w:rPr>
                      <w:color w:val="auto"/>
                    </w:rPr>
                    <w:t>《大气污染物综合排放标准》（</w:t>
                  </w:r>
                  <w:r>
                    <w:rPr>
                      <w:color w:val="auto"/>
                      <w:szCs w:val="21"/>
                    </w:rPr>
                    <w:t>DB31/933-2015）</w:t>
                  </w:r>
                </w:p>
              </w:tc>
            </w:tr>
            <w:tr w14:paraId="46FA2220">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0" w:hRule="atLeast"/>
                <w:jc w:val="center"/>
              </w:trPr>
              <w:tc>
                <w:tcPr>
                  <w:tcW w:w="837" w:type="dxa"/>
                  <w:tcBorders>
                    <w:tl2br w:val="nil"/>
                    <w:tr2bl w:val="nil"/>
                  </w:tcBorders>
                  <w:vAlign w:val="center"/>
                </w:tcPr>
                <w:p w14:paraId="1F87A6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宋体"/>
                      <w:color w:val="auto"/>
                      <w:lang w:val="en-US" w:eastAsia="zh-CN"/>
                    </w:rPr>
                    <w:t>氨</w:t>
                  </w:r>
                </w:p>
              </w:tc>
              <w:tc>
                <w:tcPr>
                  <w:tcW w:w="813" w:type="dxa"/>
                  <w:vMerge w:val="restart"/>
                  <w:tcBorders>
                    <w:tl2br w:val="nil"/>
                    <w:tr2bl w:val="nil"/>
                  </w:tcBorders>
                  <w:vAlign w:val="center"/>
                </w:tcPr>
                <w:p w14:paraId="6B7D86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eastAsia="宋体"/>
                      <w:color w:val="auto"/>
                      <w:lang w:val="en-US" w:eastAsia="zh-CN"/>
                    </w:rPr>
                    <w:t>15</w:t>
                  </w:r>
                </w:p>
              </w:tc>
              <w:tc>
                <w:tcPr>
                  <w:tcW w:w="1200" w:type="dxa"/>
                  <w:tcBorders>
                    <w:right w:val="single" w:color="000000" w:sz="2" w:space="0"/>
                    <w:tl2br w:val="nil"/>
                    <w:tr2bl w:val="nil"/>
                  </w:tcBorders>
                  <w:vAlign w:val="center"/>
                </w:tcPr>
                <w:p w14:paraId="1ED6A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eastAsia="宋体"/>
                      <w:color w:val="auto"/>
                      <w:lang w:val="en-US" w:eastAsia="zh-CN"/>
                    </w:rPr>
                    <w:t>30</w:t>
                  </w:r>
                </w:p>
              </w:tc>
              <w:tc>
                <w:tcPr>
                  <w:tcW w:w="945" w:type="dxa"/>
                  <w:tcBorders>
                    <w:left w:val="single" w:color="000000" w:sz="2" w:space="0"/>
                    <w:tl2br w:val="nil"/>
                    <w:tr2bl w:val="nil"/>
                  </w:tcBorders>
                  <w:vAlign w:val="center"/>
                </w:tcPr>
                <w:p w14:paraId="61CE0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宋体"/>
                      <w:color w:val="auto"/>
                      <w:lang w:val="en-US" w:eastAsia="zh-CN"/>
                    </w:rPr>
                    <w:t>1</w:t>
                  </w:r>
                </w:p>
              </w:tc>
              <w:tc>
                <w:tcPr>
                  <w:tcW w:w="1905" w:type="dxa"/>
                  <w:gridSpan w:val="2"/>
                  <w:tcBorders>
                    <w:tl2br w:val="nil"/>
                    <w:tr2bl w:val="nil"/>
                  </w:tcBorders>
                  <w:vAlign w:val="center"/>
                </w:tcPr>
                <w:p w14:paraId="672489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eastAsia="宋体"/>
                      <w:color w:val="auto"/>
                      <w:lang w:val="en-US" w:eastAsia="zh-CN"/>
                    </w:rPr>
                    <w:t>1.0</w:t>
                  </w:r>
                </w:p>
              </w:tc>
              <w:tc>
                <w:tcPr>
                  <w:tcW w:w="1838" w:type="dxa"/>
                  <w:vMerge w:val="restart"/>
                  <w:tcBorders>
                    <w:tl2br w:val="nil"/>
                    <w:tr2bl w:val="nil"/>
                  </w:tcBorders>
                  <w:vAlign w:val="center"/>
                </w:tcPr>
                <w:p w14:paraId="401F9A0C">
                  <w:pPr>
                    <w:pStyle w:val="52"/>
                    <w:keepNext w:val="0"/>
                    <w:keepLines w:val="0"/>
                    <w:pageBreakBefore w:val="0"/>
                    <w:widowControl w:val="0"/>
                    <w:kinsoku/>
                    <w:wordWrap w:val="0"/>
                    <w:overflowPunct/>
                    <w:topLinePunct w:val="0"/>
                    <w:autoSpaceDE/>
                    <w:autoSpaceDN/>
                    <w:bidi w:val="0"/>
                    <w:adjustRightInd/>
                    <w:snapToGrid/>
                    <w:spacing w:line="240" w:lineRule="auto"/>
                    <w:textAlignment w:val="auto"/>
                    <w:rPr>
                      <w:color w:val="auto"/>
                    </w:rPr>
                  </w:pPr>
                  <w:r>
                    <w:rPr>
                      <w:rFonts w:hint="eastAsia"/>
                      <w:color w:val="auto"/>
                    </w:rPr>
                    <w:t>《恶臭（异味）污染物排放标准》（DB31/1025-2016）</w:t>
                  </w:r>
                </w:p>
              </w:tc>
            </w:tr>
            <w:tr w14:paraId="67AA12B4">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0" w:hRule="atLeast"/>
                <w:jc w:val="center"/>
              </w:trPr>
              <w:tc>
                <w:tcPr>
                  <w:tcW w:w="837" w:type="dxa"/>
                  <w:tcBorders>
                    <w:tl2br w:val="nil"/>
                    <w:tr2bl w:val="nil"/>
                  </w:tcBorders>
                  <w:vAlign w:val="center"/>
                </w:tcPr>
                <w:p w14:paraId="3B4797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宋体"/>
                      <w:color w:val="auto"/>
                      <w:lang w:val="en-US" w:eastAsia="zh-CN"/>
                    </w:rPr>
                    <w:t>硫化氢</w:t>
                  </w:r>
                </w:p>
              </w:tc>
              <w:tc>
                <w:tcPr>
                  <w:tcW w:w="813" w:type="dxa"/>
                  <w:vMerge w:val="continue"/>
                  <w:tcBorders>
                    <w:tl2br w:val="nil"/>
                    <w:tr2bl w:val="nil"/>
                  </w:tcBorders>
                  <w:vAlign w:val="center"/>
                </w:tcPr>
                <w:p w14:paraId="248CD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p>
              </w:tc>
              <w:tc>
                <w:tcPr>
                  <w:tcW w:w="1200" w:type="dxa"/>
                  <w:tcBorders>
                    <w:right w:val="single" w:color="000000" w:sz="2" w:space="0"/>
                    <w:tl2br w:val="nil"/>
                    <w:tr2bl w:val="nil"/>
                  </w:tcBorders>
                  <w:vAlign w:val="center"/>
                </w:tcPr>
                <w:p w14:paraId="6B4D10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eastAsia="宋体"/>
                      <w:color w:val="auto"/>
                      <w:lang w:val="en-US" w:eastAsia="zh-CN"/>
                    </w:rPr>
                    <w:t>5</w:t>
                  </w:r>
                </w:p>
              </w:tc>
              <w:tc>
                <w:tcPr>
                  <w:tcW w:w="945" w:type="dxa"/>
                  <w:tcBorders>
                    <w:left w:val="single" w:color="000000" w:sz="2" w:space="0"/>
                    <w:tl2br w:val="nil"/>
                    <w:tr2bl w:val="nil"/>
                  </w:tcBorders>
                  <w:vAlign w:val="center"/>
                </w:tcPr>
                <w:p w14:paraId="3EBAB7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eastAsia="宋体"/>
                      <w:color w:val="auto"/>
                      <w:lang w:val="en-US" w:eastAsia="zh-CN"/>
                    </w:rPr>
                    <w:t>0.1</w:t>
                  </w:r>
                </w:p>
              </w:tc>
              <w:tc>
                <w:tcPr>
                  <w:tcW w:w="1905" w:type="dxa"/>
                  <w:gridSpan w:val="2"/>
                  <w:tcBorders>
                    <w:tl2br w:val="nil"/>
                    <w:tr2bl w:val="nil"/>
                  </w:tcBorders>
                  <w:vAlign w:val="center"/>
                </w:tcPr>
                <w:p w14:paraId="6D1BEE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eastAsia="宋体"/>
                      <w:color w:val="auto"/>
                      <w:lang w:val="en-US" w:eastAsia="zh-CN"/>
                    </w:rPr>
                    <w:t>0.06</w:t>
                  </w:r>
                </w:p>
              </w:tc>
              <w:tc>
                <w:tcPr>
                  <w:tcW w:w="1838" w:type="dxa"/>
                  <w:vMerge w:val="continue"/>
                  <w:tcBorders>
                    <w:tl2br w:val="nil"/>
                    <w:tr2bl w:val="nil"/>
                  </w:tcBorders>
                  <w:vAlign w:val="center"/>
                </w:tcPr>
                <w:p w14:paraId="2552FA96">
                  <w:pPr>
                    <w:pStyle w:val="52"/>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color w:val="auto"/>
                    </w:rPr>
                  </w:pPr>
                </w:p>
              </w:tc>
            </w:tr>
            <w:tr w14:paraId="5C689A5C">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20" w:hRule="atLeast"/>
                <w:jc w:val="center"/>
              </w:trPr>
              <w:tc>
                <w:tcPr>
                  <w:tcW w:w="837" w:type="dxa"/>
                  <w:tcBorders>
                    <w:tl2br w:val="nil"/>
                    <w:tr2bl w:val="nil"/>
                  </w:tcBorders>
                  <w:vAlign w:val="center"/>
                </w:tcPr>
                <w:p w14:paraId="66DE5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臭气浓度</w:t>
                  </w:r>
                </w:p>
              </w:tc>
              <w:tc>
                <w:tcPr>
                  <w:tcW w:w="813" w:type="dxa"/>
                  <w:vMerge w:val="continue"/>
                  <w:tcBorders>
                    <w:tl2br w:val="nil"/>
                    <w:tr2bl w:val="nil"/>
                  </w:tcBorders>
                  <w:vAlign w:val="center"/>
                </w:tcPr>
                <w:p w14:paraId="420856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p>
              </w:tc>
              <w:tc>
                <w:tcPr>
                  <w:tcW w:w="2145" w:type="dxa"/>
                  <w:gridSpan w:val="2"/>
                  <w:tcBorders>
                    <w:tl2br w:val="nil"/>
                    <w:tr2bl w:val="nil"/>
                  </w:tcBorders>
                  <w:vAlign w:val="center"/>
                </w:tcPr>
                <w:p w14:paraId="66D2D2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1000（无量纲）</w:t>
                  </w:r>
                </w:p>
              </w:tc>
              <w:tc>
                <w:tcPr>
                  <w:tcW w:w="1905" w:type="dxa"/>
                  <w:gridSpan w:val="2"/>
                  <w:tcBorders>
                    <w:tl2br w:val="nil"/>
                    <w:tr2bl w:val="nil"/>
                  </w:tcBorders>
                  <w:vAlign w:val="center"/>
                </w:tcPr>
                <w:p w14:paraId="094503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rPr>
                    <w:t>20（无量纲）</w:t>
                  </w:r>
                </w:p>
              </w:tc>
              <w:tc>
                <w:tcPr>
                  <w:tcW w:w="1838" w:type="dxa"/>
                  <w:vMerge w:val="continue"/>
                  <w:tcBorders>
                    <w:tl2br w:val="nil"/>
                    <w:tr2bl w:val="nil"/>
                  </w:tcBorders>
                  <w:vAlign w:val="center"/>
                </w:tcPr>
                <w:p w14:paraId="35C242ED">
                  <w:pPr>
                    <w:pStyle w:val="52"/>
                    <w:keepNext w:val="0"/>
                    <w:keepLines w:val="0"/>
                    <w:pageBreakBefore w:val="0"/>
                    <w:widowControl w:val="0"/>
                    <w:kinsoku/>
                    <w:wordWrap w:val="0"/>
                    <w:overflowPunct/>
                    <w:topLinePunct w:val="0"/>
                    <w:autoSpaceDE/>
                    <w:autoSpaceDN/>
                    <w:bidi w:val="0"/>
                    <w:adjustRightInd/>
                    <w:snapToGrid/>
                    <w:spacing w:line="240" w:lineRule="auto"/>
                    <w:textAlignment w:val="auto"/>
                    <w:rPr>
                      <w:color w:val="auto"/>
                    </w:rPr>
                  </w:pPr>
                </w:p>
              </w:tc>
            </w:tr>
          </w:tbl>
          <w:p w14:paraId="6A4376AE">
            <w:pPr>
              <w:keepNext w:val="0"/>
              <w:keepLines w:val="0"/>
              <w:pageBreakBefore w:val="0"/>
              <w:widowControl w:val="0"/>
              <w:tabs>
                <w:tab w:val="left" w:pos="5280"/>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baseline"/>
              <w:outlineLvl w:val="9"/>
              <w:rPr>
                <w:b/>
                <w:color w:val="auto"/>
                <w:sz w:val="24"/>
                <w:szCs w:val="24"/>
              </w:rPr>
            </w:pPr>
            <w:r>
              <w:rPr>
                <w:rFonts w:hint="eastAsia"/>
                <w:b/>
                <w:color w:val="auto"/>
                <w:sz w:val="24"/>
                <w:szCs w:val="24"/>
                <w:lang w:val="en-US" w:eastAsia="zh-CN"/>
              </w:rPr>
              <w:t>2</w:t>
            </w:r>
            <w:r>
              <w:rPr>
                <w:b/>
                <w:color w:val="auto"/>
                <w:sz w:val="24"/>
                <w:szCs w:val="24"/>
              </w:rPr>
              <w:t>、废水</w:t>
            </w:r>
          </w:p>
          <w:p w14:paraId="77579F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Times New Roman" w:hAnsi="Times New Roman" w:cs="Times New Roman"/>
                <w:b/>
                <w:bCs/>
                <w:color w:val="auto"/>
                <w:sz w:val="24"/>
                <w:szCs w:val="24"/>
                <w:lang w:val="zh-CN" w:eastAsia="zh-CN"/>
              </w:rPr>
            </w:pPr>
            <w:r>
              <w:rPr>
                <w:rFonts w:hint="eastAsia" w:ascii="Times New Roman" w:hAnsi="Times New Roman" w:cs="Times New Roman"/>
                <w:color w:val="auto"/>
                <w:sz w:val="24"/>
                <w:szCs w:val="24"/>
                <w:lang w:eastAsia="zh-CN"/>
              </w:rPr>
              <w:t>项目运营期</w:t>
            </w:r>
            <w:r>
              <w:rPr>
                <w:rFonts w:hint="eastAsia" w:ascii="Times New Roman" w:hAnsi="Times New Roman" w:cs="Times New Roman"/>
                <w:color w:val="auto"/>
                <w:sz w:val="24"/>
                <w:szCs w:val="24"/>
                <w:lang w:val="en-US" w:eastAsia="zh-CN"/>
              </w:rPr>
              <w:t>生产废水经厂区污水站预处理后与经化粪池处理后的生活污水一并排入园区污水管网入星火工业园污水处理厂进行处理，</w:t>
            </w:r>
            <w:r>
              <w:rPr>
                <w:rFonts w:hint="default" w:ascii="Times New Roman" w:hAnsi="Times New Roman" w:cs="Times New Roman"/>
                <w:color w:val="auto"/>
                <w:sz w:val="24"/>
                <w:szCs w:val="24"/>
                <w:lang w:eastAsia="zh-CN"/>
              </w:rPr>
              <w:t>废水排放执行星火工业园污水处理厂接管标准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污水处理厂</w:t>
            </w:r>
            <w:r>
              <w:rPr>
                <w:rFonts w:hint="default" w:ascii="Times New Roman" w:hAnsi="Times New Roman" w:cs="Times New Roman"/>
                <w:color w:val="auto"/>
                <w:sz w:val="24"/>
                <w:szCs w:val="24"/>
              </w:rPr>
              <w:t>尾水排放执行《城镇污水处理厂污染物排放标准》（GB18918-2002）表1中一级</w:t>
            </w:r>
            <w:r>
              <w:rPr>
                <w:rFonts w:hint="eastAsia"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具体见</w:t>
            </w:r>
            <w:r>
              <w:rPr>
                <w:rFonts w:hint="eastAsia" w:ascii="Times New Roman" w:hAnsi="Times New Roman" w:cs="Times New Roman"/>
                <w:color w:val="auto"/>
                <w:sz w:val="24"/>
                <w:szCs w:val="24"/>
                <w:lang w:eastAsia="zh-CN"/>
              </w:rPr>
              <w:t>下</w:t>
            </w:r>
            <w:r>
              <w:rPr>
                <w:rFonts w:hint="default" w:ascii="Times New Roman" w:hAnsi="Times New Roman" w:cs="Times New Roman"/>
                <w:color w:val="auto"/>
                <w:sz w:val="24"/>
                <w:szCs w:val="24"/>
              </w:rPr>
              <w:t>表。</w:t>
            </w:r>
          </w:p>
          <w:p w14:paraId="6116E81B">
            <w:pPr>
              <w:pageBreakBefore w:val="0"/>
              <w:topLinePunct w:val="0"/>
              <w:autoSpaceDE w:val="0"/>
              <w:autoSpaceDN w:val="0"/>
              <w:bidi w:val="0"/>
              <w:adjustRightInd/>
              <w:snapToGrid/>
              <w:spacing w:beforeAutospacing="0" w:afterAutospacing="0" w:line="240" w:lineRule="auto"/>
              <w:ind w:left="0" w:leftChars="0" w:right="0" w:rightChars="0"/>
              <w:jc w:val="center"/>
              <w:rPr>
                <w:rFonts w:hint="eastAsia" w:ascii="Times New Roman" w:hAnsi="Times New Roman" w:cs="Times New Roman"/>
                <w:b/>
                <w:bCs/>
                <w:color w:val="auto"/>
                <w:sz w:val="21"/>
                <w:szCs w:val="21"/>
                <w:vertAlign w:val="superscript"/>
                <w:lang w:val="en-US" w:eastAsia="zh-CN"/>
              </w:rPr>
            </w:pPr>
            <w:r>
              <w:rPr>
                <w:rFonts w:hint="default" w:ascii="Times New Roman" w:hAnsi="Times New Roman" w:cs="Times New Roman"/>
                <w:b/>
                <w:bCs/>
                <w:color w:val="auto"/>
                <w:sz w:val="21"/>
                <w:szCs w:val="21"/>
                <w:lang w:val="zh-CN" w:eastAsia="zh-CN"/>
              </w:rPr>
              <w:t>表</w:t>
            </w:r>
            <w:r>
              <w:rPr>
                <w:rFonts w:hint="eastAsia" w:ascii="Times New Roman" w:hAnsi="Times New Roman" w:cs="Times New Roman"/>
                <w:b/>
                <w:bCs/>
                <w:color w:val="auto"/>
                <w:sz w:val="21"/>
                <w:szCs w:val="21"/>
                <w:lang w:val="en-US" w:eastAsia="zh-CN"/>
              </w:rPr>
              <w:t>3-</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zh-CN" w:eastAsia="zh-CN"/>
              </w:rPr>
              <w:t xml:space="preserve">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zh-CN" w:eastAsia="zh-CN"/>
              </w:rPr>
              <w:t xml:space="preserve">  </w:t>
            </w:r>
            <w:r>
              <w:rPr>
                <w:rFonts w:hint="eastAsia" w:ascii="Times New Roman" w:hAnsi="Times New Roman" w:cs="Times New Roman"/>
                <w:b/>
                <w:bCs/>
                <w:color w:val="auto"/>
                <w:sz w:val="21"/>
                <w:szCs w:val="21"/>
                <w:lang w:val="zh-CN" w:eastAsia="zh-CN"/>
              </w:rPr>
              <w:t>废水</w:t>
            </w:r>
            <w:r>
              <w:rPr>
                <w:rFonts w:hint="default" w:ascii="Times New Roman" w:hAnsi="Times New Roman" w:cs="Times New Roman"/>
                <w:b/>
                <w:bCs/>
                <w:color w:val="auto"/>
                <w:sz w:val="21"/>
                <w:szCs w:val="21"/>
                <w:lang w:val="zh-CN" w:eastAsia="zh-CN"/>
              </w:rPr>
              <w:t>排放标准</w:t>
            </w:r>
            <w:r>
              <w:rPr>
                <w:rFonts w:hint="eastAsia" w:ascii="Times New Roman" w:hAnsi="Times New Roman" w:cs="Times New Roman"/>
                <w:b/>
                <w:bCs/>
                <w:color w:val="auto"/>
                <w:sz w:val="21"/>
                <w:szCs w:val="21"/>
                <w:lang w:val="zh-CN" w:eastAsia="zh-CN"/>
              </w:rPr>
              <w:t xml:space="preserve">   单位</w:t>
            </w:r>
            <w:r>
              <w:rPr>
                <w:rFonts w:hint="default" w:ascii="Times New Roman" w:hAnsi="Times New Roman" w:cs="Times New Roman"/>
                <w:b/>
                <w:bCs/>
                <w:color w:val="auto"/>
                <w:sz w:val="21"/>
                <w:szCs w:val="21"/>
                <w:lang w:val="zh-CN" w:eastAsia="zh-CN"/>
              </w:rPr>
              <w:t>：除pH外均为mg/L</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808"/>
              <w:gridCol w:w="649"/>
              <w:gridCol w:w="1058"/>
              <w:gridCol w:w="1020"/>
              <w:gridCol w:w="656"/>
              <w:gridCol w:w="1020"/>
              <w:gridCol w:w="680"/>
              <w:gridCol w:w="647"/>
            </w:tblGrid>
            <w:tr w14:paraId="390706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99" w:type="pct"/>
                  <w:noWrap w:val="0"/>
                  <w:vAlign w:val="center"/>
                </w:tcPr>
                <w:p w14:paraId="38E1EED9">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污染物指标</w:t>
                  </w:r>
                </w:p>
              </w:tc>
              <w:tc>
                <w:tcPr>
                  <w:tcW w:w="430" w:type="pct"/>
                  <w:noWrap w:val="0"/>
                  <w:vAlign w:val="center"/>
                </w:tcPr>
                <w:p w14:paraId="05E40853">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pH</w:t>
                  </w:r>
                </w:p>
              </w:tc>
              <w:tc>
                <w:tcPr>
                  <w:tcW w:w="701" w:type="pct"/>
                  <w:shd w:val="clear" w:color="auto" w:fill="auto"/>
                  <w:noWrap w:val="0"/>
                  <w:vAlign w:val="center"/>
                </w:tcPr>
                <w:p w14:paraId="0EE4BCDD">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b/>
                      <w:bCs/>
                      <w:color w:val="auto"/>
                      <w:kern w:val="2"/>
                      <w:sz w:val="21"/>
                      <w:szCs w:val="21"/>
                      <w:lang w:val="en-US" w:eastAsia="zh-CN" w:bidi="ar-SA"/>
                    </w:rPr>
                  </w:pPr>
                  <w:r>
                    <w:rPr>
                      <w:rFonts w:hint="default" w:ascii="Times New Roman" w:hAnsi="Times New Roman" w:cs="Times New Roman"/>
                      <w:b/>
                      <w:bCs/>
                      <w:color w:val="auto"/>
                      <w:sz w:val="21"/>
                      <w:szCs w:val="21"/>
                    </w:rPr>
                    <w:t>COD</w:t>
                  </w:r>
                  <w:r>
                    <w:rPr>
                      <w:rFonts w:hint="default" w:ascii="Times New Roman" w:hAnsi="Times New Roman" w:cs="Times New Roman"/>
                      <w:b/>
                      <w:bCs/>
                      <w:color w:val="auto"/>
                      <w:sz w:val="21"/>
                      <w:szCs w:val="21"/>
                      <w:vertAlign w:val="subscript"/>
                      <w:lang w:val="en-US" w:eastAsia="zh-CN"/>
                    </w:rPr>
                    <w:t>Cr</w:t>
                  </w:r>
                </w:p>
              </w:tc>
              <w:tc>
                <w:tcPr>
                  <w:tcW w:w="676" w:type="pct"/>
                  <w:shd w:val="clear" w:color="auto" w:fill="auto"/>
                  <w:noWrap w:val="0"/>
                  <w:vAlign w:val="center"/>
                </w:tcPr>
                <w:p w14:paraId="27C084CF">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b/>
                      <w:bCs/>
                      <w:color w:val="auto"/>
                      <w:kern w:val="2"/>
                      <w:sz w:val="21"/>
                      <w:szCs w:val="21"/>
                      <w:lang w:val="en-US" w:eastAsia="zh-CN" w:bidi="ar-SA"/>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p>
              </w:tc>
              <w:tc>
                <w:tcPr>
                  <w:tcW w:w="435" w:type="pct"/>
                  <w:shd w:val="clear" w:color="auto" w:fill="auto"/>
                  <w:noWrap w:val="0"/>
                  <w:vAlign w:val="center"/>
                </w:tcPr>
                <w:p w14:paraId="602FA29D">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b/>
                      <w:bCs/>
                      <w:color w:val="auto"/>
                      <w:kern w:val="2"/>
                      <w:sz w:val="21"/>
                      <w:szCs w:val="21"/>
                      <w:lang w:val="en-US" w:eastAsia="zh-CN" w:bidi="ar-SA"/>
                    </w:rPr>
                  </w:pPr>
                  <w:r>
                    <w:rPr>
                      <w:rFonts w:hint="default" w:ascii="Times New Roman" w:hAnsi="Times New Roman" w:cs="Times New Roman"/>
                      <w:b/>
                      <w:bCs/>
                      <w:color w:val="auto"/>
                      <w:sz w:val="21"/>
                      <w:szCs w:val="21"/>
                    </w:rPr>
                    <w:t>SS</w:t>
                  </w:r>
                </w:p>
              </w:tc>
              <w:tc>
                <w:tcPr>
                  <w:tcW w:w="676" w:type="pct"/>
                  <w:shd w:val="clear" w:color="auto" w:fill="auto"/>
                  <w:noWrap w:val="0"/>
                  <w:vAlign w:val="center"/>
                </w:tcPr>
                <w:p w14:paraId="6AB1C199">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b/>
                      <w:bCs/>
                      <w:color w:val="auto"/>
                      <w:kern w:val="2"/>
                      <w:sz w:val="21"/>
                      <w:szCs w:val="21"/>
                      <w:lang w:val="en-US" w:eastAsia="zh-CN" w:bidi="ar-SA"/>
                    </w:rPr>
                  </w:pPr>
                  <w:r>
                    <w:rPr>
                      <w:rFonts w:hint="default" w:ascii="Times New Roman" w:hAnsi="Times New Roman" w:cs="Times New Roman"/>
                      <w:b/>
                      <w:bCs/>
                      <w:color w:val="auto"/>
                      <w:sz w:val="21"/>
                      <w:szCs w:val="21"/>
                    </w:rPr>
                    <w:t>NH</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rPr>
                    <w:t>-N</w:t>
                  </w:r>
                </w:p>
              </w:tc>
              <w:tc>
                <w:tcPr>
                  <w:tcW w:w="451" w:type="pct"/>
                  <w:shd w:val="clear" w:color="auto" w:fill="auto"/>
                  <w:noWrap w:val="0"/>
                  <w:vAlign w:val="center"/>
                </w:tcPr>
                <w:p w14:paraId="20E13928">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b/>
                      <w:bCs/>
                      <w:color w:val="auto"/>
                      <w:kern w:val="2"/>
                      <w:sz w:val="21"/>
                      <w:szCs w:val="21"/>
                      <w:lang w:val="en-US" w:eastAsia="zh-CN" w:bidi="ar-SA"/>
                    </w:rPr>
                  </w:pPr>
                  <w:r>
                    <w:rPr>
                      <w:rFonts w:hint="eastAsia" w:ascii="Times New Roman" w:hAnsi="Times New Roman" w:cs="Times New Roman"/>
                      <w:b/>
                      <w:bCs/>
                      <w:color w:val="auto"/>
                      <w:sz w:val="21"/>
                      <w:szCs w:val="21"/>
                      <w:lang w:val="en-US" w:eastAsia="zh-CN"/>
                    </w:rPr>
                    <w:t>TP</w:t>
                  </w:r>
                </w:p>
              </w:tc>
              <w:tc>
                <w:tcPr>
                  <w:tcW w:w="429" w:type="pct"/>
                  <w:shd w:val="clear" w:color="auto" w:fill="auto"/>
                  <w:noWrap w:val="0"/>
                  <w:vAlign w:val="center"/>
                </w:tcPr>
                <w:p w14:paraId="0CAE8EAD">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b/>
                      <w:bCs/>
                      <w:color w:val="auto"/>
                      <w:kern w:val="2"/>
                      <w:sz w:val="21"/>
                      <w:szCs w:val="21"/>
                      <w:lang w:val="en-US" w:eastAsia="zh-CN" w:bidi="ar-SA"/>
                    </w:rPr>
                  </w:pPr>
                  <w:r>
                    <w:rPr>
                      <w:rFonts w:hint="eastAsia" w:ascii="Times New Roman" w:hAnsi="Times New Roman" w:cs="Times New Roman"/>
                      <w:b/>
                      <w:bCs/>
                      <w:color w:val="auto"/>
                      <w:sz w:val="21"/>
                      <w:szCs w:val="21"/>
                      <w:lang w:val="en-US" w:eastAsia="zh-CN"/>
                    </w:rPr>
                    <w:t>TN</w:t>
                  </w:r>
                </w:p>
              </w:tc>
            </w:tr>
            <w:tr w14:paraId="4599CF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99" w:type="pct"/>
                  <w:noWrap w:val="0"/>
                  <w:vAlign w:val="center"/>
                </w:tcPr>
                <w:p w14:paraId="34003E49">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color w:val="auto"/>
                    </w:rPr>
                    <w:t>星火工业园污水处理厂</w:t>
                  </w:r>
                  <w:r>
                    <w:rPr>
                      <w:rFonts w:hint="default" w:ascii="Times New Roman" w:hAnsi="Times New Roman" w:cs="Times New Roman"/>
                      <w:color w:val="auto"/>
                      <w:sz w:val="21"/>
                      <w:szCs w:val="21"/>
                      <w:lang w:eastAsia="zh-CN"/>
                    </w:rPr>
                    <w:t>接管标准</w:t>
                  </w:r>
                </w:p>
              </w:tc>
              <w:tc>
                <w:tcPr>
                  <w:tcW w:w="430" w:type="pct"/>
                  <w:noWrap w:val="0"/>
                  <w:vAlign w:val="center"/>
                </w:tcPr>
                <w:p w14:paraId="045231FC">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6-9</w:t>
                  </w:r>
                </w:p>
              </w:tc>
              <w:tc>
                <w:tcPr>
                  <w:tcW w:w="1058" w:type="dxa"/>
                  <w:shd w:val="clear" w:color="auto" w:fill="auto"/>
                  <w:noWrap w:val="0"/>
                  <w:vAlign w:val="center"/>
                </w:tcPr>
                <w:p w14:paraId="02F9D85B">
                  <w:pPr>
                    <w:pStyle w:val="40"/>
                    <w:bidi w:val="0"/>
                    <w:ind w:left="420" w:leftChars="0" w:hanging="420" w:hangingChars="200"/>
                    <w:rPr>
                      <w:rFonts w:hint="default" w:ascii="Times New Roman" w:hAnsi="Times New Roman" w:eastAsia="Times New Roman" w:cs="Times New Roman"/>
                      <w:color w:val="auto"/>
                      <w:kern w:val="2"/>
                      <w:sz w:val="21"/>
                      <w:szCs w:val="21"/>
                      <w:lang w:val="en-US" w:eastAsia="zh-CN" w:bidi="ar-SA"/>
                    </w:rPr>
                  </w:pPr>
                  <w:r>
                    <w:rPr>
                      <w:rFonts w:hint="default"/>
                      <w:color w:val="auto"/>
                    </w:rPr>
                    <w:t>500</w:t>
                  </w:r>
                </w:p>
              </w:tc>
              <w:tc>
                <w:tcPr>
                  <w:tcW w:w="1020" w:type="dxa"/>
                  <w:shd w:val="clear" w:color="auto" w:fill="auto"/>
                  <w:noWrap w:val="0"/>
                  <w:vAlign w:val="center"/>
                </w:tcPr>
                <w:p w14:paraId="45E14D25">
                  <w:pPr>
                    <w:pStyle w:val="40"/>
                    <w:bidi w:val="0"/>
                    <w:ind w:left="420" w:leftChars="0" w:hanging="420" w:hangingChars="200"/>
                    <w:rPr>
                      <w:rFonts w:hint="default" w:ascii="Times New Roman" w:hAnsi="Times New Roman" w:eastAsia="宋体" w:cs="Times New Roman"/>
                      <w:color w:val="auto"/>
                      <w:kern w:val="2"/>
                      <w:sz w:val="21"/>
                      <w:szCs w:val="21"/>
                      <w:lang w:val="en-US" w:eastAsia="zh-CN" w:bidi="ar-SA"/>
                    </w:rPr>
                  </w:pPr>
                  <w:r>
                    <w:rPr>
                      <w:rFonts w:hint="default"/>
                      <w:color w:val="auto"/>
                    </w:rPr>
                    <w:t>300</w:t>
                  </w:r>
                </w:p>
              </w:tc>
              <w:tc>
                <w:tcPr>
                  <w:tcW w:w="656" w:type="dxa"/>
                  <w:shd w:val="clear" w:color="auto" w:fill="auto"/>
                  <w:noWrap w:val="0"/>
                  <w:vAlign w:val="center"/>
                </w:tcPr>
                <w:p w14:paraId="7844C201">
                  <w:pPr>
                    <w:pStyle w:val="40"/>
                    <w:bidi w:val="0"/>
                    <w:ind w:left="420" w:leftChars="0" w:hanging="420" w:hangingChars="200"/>
                    <w:rPr>
                      <w:rFonts w:hint="default" w:ascii="Times New Roman" w:hAnsi="Times New Roman" w:eastAsia="Times New Roman" w:cs="Times New Roman"/>
                      <w:color w:val="auto"/>
                      <w:kern w:val="2"/>
                      <w:sz w:val="21"/>
                      <w:szCs w:val="21"/>
                      <w:lang w:val="en-US" w:eastAsia="zh-CN" w:bidi="ar-SA"/>
                    </w:rPr>
                  </w:pPr>
                  <w:r>
                    <w:rPr>
                      <w:rFonts w:hint="default"/>
                      <w:color w:val="auto"/>
                    </w:rPr>
                    <w:t>400</w:t>
                  </w:r>
                </w:p>
              </w:tc>
              <w:tc>
                <w:tcPr>
                  <w:tcW w:w="676" w:type="pct"/>
                  <w:shd w:val="clear" w:color="auto" w:fill="auto"/>
                  <w:noWrap w:val="0"/>
                  <w:vAlign w:val="center"/>
                </w:tcPr>
                <w:p w14:paraId="7E2CA8E5">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color w:val="auto"/>
                      <w:kern w:val="2"/>
                      <w:sz w:val="21"/>
                      <w:szCs w:val="21"/>
                      <w:lang w:val="en-US" w:eastAsia="zh-CN" w:bidi="ar-SA"/>
                    </w:rPr>
                  </w:pPr>
                  <w:r>
                    <w:rPr>
                      <w:rFonts w:hint="eastAsia"/>
                      <w:color w:val="auto"/>
                      <w:sz w:val="21"/>
                      <w:szCs w:val="21"/>
                      <w:lang w:val="en-US" w:eastAsia="zh-CN"/>
                    </w:rPr>
                    <w:t>50</w:t>
                  </w:r>
                </w:p>
              </w:tc>
              <w:tc>
                <w:tcPr>
                  <w:tcW w:w="680" w:type="dxa"/>
                  <w:shd w:val="clear" w:color="auto" w:fill="auto"/>
                  <w:noWrap w:val="0"/>
                  <w:vAlign w:val="center"/>
                </w:tcPr>
                <w:p w14:paraId="6F70AAB4">
                  <w:pPr>
                    <w:pStyle w:val="40"/>
                    <w:bidi w:val="0"/>
                    <w:ind w:left="420" w:leftChars="0" w:hanging="420" w:hangingChars="200"/>
                    <w:rPr>
                      <w:rFonts w:hint="default" w:ascii="Times New Roman" w:hAnsi="Times New Roman" w:eastAsia="Times New Roman" w:cs="Times New Roman"/>
                      <w:color w:val="auto"/>
                      <w:kern w:val="2"/>
                      <w:sz w:val="21"/>
                      <w:szCs w:val="21"/>
                      <w:lang w:val="en-US" w:eastAsia="zh-CN" w:bidi="ar-SA"/>
                    </w:rPr>
                  </w:pPr>
                  <w:r>
                    <w:rPr>
                      <w:rFonts w:hint="eastAsia"/>
                      <w:color w:val="auto"/>
                      <w:lang w:val="en-US" w:eastAsia="zh-CN"/>
                    </w:rPr>
                    <w:t>4</w:t>
                  </w:r>
                </w:p>
              </w:tc>
              <w:tc>
                <w:tcPr>
                  <w:tcW w:w="647" w:type="dxa"/>
                  <w:shd w:val="clear" w:color="auto" w:fill="auto"/>
                  <w:noWrap w:val="0"/>
                  <w:vAlign w:val="center"/>
                </w:tcPr>
                <w:p w14:paraId="55BD018F">
                  <w:pPr>
                    <w:pStyle w:val="40"/>
                    <w:bidi w:val="0"/>
                    <w:ind w:left="420" w:leftChars="0" w:hanging="420" w:hangingChars="200"/>
                    <w:rPr>
                      <w:rFonts w:hint="default" w:ascii="Times New Roman" w:hAnsi="Times New Roman" w:eastAsia="Times New Roman" w:cs="Times New Roman"/>
                      <w:color w:val="auto"/>
                      <w:kern w:val="2"/>
                      <w:sz w:val="21"/>
                      <w:szCs w:val="21"/>
                      <w:lang w:val="en-US" w:eastAsia="zh-CN" w:bidi="ar-SA"/>
                    </w:rPr>
                  </w:pPr>
                  <w:r>
                    <w:rPr>
                      <w:rFonts w:hint="eastAsia"/>
                      <w:color w:val="auto"/>
                      <w:lang w:val="en-US" w:eastAsia="zh-CN"/>
                    </w:rPr>
                    <w:t>70</w:t>
                  </w:r>
                </w:p>
              </w:tc>
            </w:tr>
            <w:tr w14:paraId="6C63A3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808" w:type="dxa"/>
                  <w:noWrap w:val="0"/>
                  <w:vAlign w:val="center"/>
                </w:tcPr>
                <w:p w14:paraId="6F78BB31">
                  <w:pPr>
                    <w:pStyle w:val="40"/>
                    <w:keepNext w:val="0"/>
                    <w:keepLines w:val="0"/>
                    <w:pageBreakBefore w:val="0"/>
                    <w:widowControl w:val="0"/>
                    <w:kinsoku/>
                    <w:wordWrap w:val="0"/>
                    <w:overflowPunct/>
                    <w:topLinePunct w:val="0"/>
                    <w:autoSpaceDE/>
                    <w:autoSpaceDN/>
                    <w:bidi w:val="0"/>
                    <w:adjustRightInd/>
                    <w:snapToGrid w:val="0"/>
                    <w:spacing w:beforeLines="0" w:afterLines="0" w:line="240" w:lineRule="auto"/>
                    <w:ind w:left="0" w:leftChars="0" w:firstLine="0" w:firstLineChars="0"/>
                    <w:textAlignment w:val="auto"/>
                    <w:rPr>
                      <w:rFonts w:hint="default" w:ascii="Times New Roman" w:hAnsi="Times New Roman" w:cs="Times New Roman"/>
                      <w:color w:val="auto"/>
                      <w:sz w:val="21"/>
                      <w:szCs w:val="21"/>
                    </w:rPr>
                  </w:pPr>
                  <w:r>
                    <w:rPr>
                      <w:rFonts w:hint="default"/>
                      <w:color w:val="auto"/>
                    </w:rPr>
                    <w:t>《城镇污水处理厂污染物排放标准》（GB18918-2002）中的一级A标准</w:t>
                  </w:r>
                </w:p>
              </w:tc>
              <w:tc>
                <w:tcPr>
                  <w:tcW w:w="430" w:type="pct"/>
                  <w:noWrap w:val="0"/>
                  <w:vAlign w:val="center"/>
                </w:tcPr>
                <w:p w14:paraId="0615003E">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9</w:t>
                  </w:r>
                </w:p>
              </w:tc>
              <w:tc>
                <w:tcPr>
                  <w:tcW w:w="701" w:type="pct"/>
                  <w:shd w:val="clear" w:color="auto" w:fill="auto"/>
                  <w:noWrap w:val="0"/>
                  <w:vAlign w:val="center"/>
                </w:tcPr>
                <w:p w14:paraId="705DCED2">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50</w:t>
                  </w:r>
                </w:p>
              </w:tc>
              <w:tc>
                <w:tcPr>
                  <w:tcW w:w="676" w:type="pct"/>
                  <w:shd w:val="clear" w:color="auto" w:fill="auto"/>
                  <w:noWrap w:val="0"/>
                  <w:vAlign w:val="center"/>
                </w:tcPr>
                <w:p w14:paraId="65B541E3">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p>
              </w:tc>
              <w:tc>
                <w:tcPr>
                  <w:tcW w:w="435" w:type="pct"/>
                  <w:shd w:val="clear" w:color="auto" w:fill="auto"/>
                  <w:noWrap w:val="0"/>
                  <w:vAlign w:val="center"/>
                </w:tcPr>
                <w:p w14:paraId="1021F888">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p>
              </w:tc>
              <w:tc>
                <w:tcPr>
                  <w:tcW w:w="676" w:type="pct"/>
                  <w:shd w:val="clear" w:color="auto" w:fill="auto"/>
                  <w:noWrap w:val="0"/>
                  <w:vAlign w:val="center"/>
                </w:tcPr>
                <w:p w14:paraId="05F148D3">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451" w:type="pct"/>
                  <w:shd w:val="clear" w:color="auto" w:fill="auto"/>
                  <w:noWrap w:val="0"/>
                  <w:vAlign w:val="center"/>
                </w:tcPr>
                <w:p w14:paraId="4E937453">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0.5</w:t>
                  </w:r>
                </w:p>
              </w:tc>
              <w:tc>
                <w:tcPr>
                  <w:tcW w:w="429" w:type="pct"/>
                  <w:shd w:val="clear" w:color="auto" w:fill="auto"/>
                  <w:noWrap w:val="0"/>
                  <w:vAlign w:val="center"/>
                </w:tcPr>
                <w:p w14:paraId="2D8BB81D">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p>
              </w:tc>
            </w:tr>
          </w:tbl>
          <w:p w14:paraId="2B7516A1">
            <w:pPr>
              <w:keepNext w:val="0"/>
              <w:keepLines w:val="0"/>
              <w:pageBreakBefore w:val="0"/>
              <w:widowControl w:val="0"/>
              <w:tabs>
                <w:tab w:val="left" w:pos="5280"/>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baseline"/>
              <w:outlineLvl w:val="9"/>
              <w:rPr>
                <w:b/>
                <w:color w:val="auto"/>
                <w:sz w:val="24"/>
                <w:szCs w:val="24"/>
              </w:rPr>
            </w:pPr>
            <w:r>
              <w:rPr>
                <w:b/>
                <w:color w:val="auto"/>
                <w:sz w:val="24"/>
                <w:szCs w:val="24"/>
              </w:rPr>
              <w:t>3、噪声</w:t>
            </w:r>
          </w:p>
          <w:p w14:paraId="371D8F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运营期</w:t>
            </w:r>
            <w:r>
              <w:rPr>
                <w:rFonts w:hint="default" w:ascii="Times New Roman" w:hAnsi="Times New Roman" w:cs="Times New Roman"/>
                <w:color w:val="auto"/>
                <w:sz w:val="24"/>
                <w:szCs w:val="24"/>
              </w:rPr>
              <w:t>项目厂界噪声执行《工业企业厂界环境噪声排放标准》（GB12348-2008）</w:t>
            </w:r>
            <w:r>
              <w:rPr>
                <w:rFonts w:hint="eastAsia" w:cs="Times New Roman"/>
                <w:color w:val="auto"/>
                <w:sz w:val="24"/>
                <w:szCs w:val="24"/>
                <w:lang w:val="en-US" w:eastAsia="zh-CN"/>
              </w:rPr>
              <w:t>3</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具体标准值见</w:t>
            </w:r>
            <w:r>
              <w:rPr>
                <w:rFonts w:hint="eastAsia" w:ascii="Times New Roman" w:hAnsi="Times New Roman" w:cs="Times New Roman"/>
                <w:color w:val="auto"/>
                <w:sz w:val="24"/>
                <w:szCs w:val="24"/>
                <w:lang w:eastAsia="zh-CN"/>
              </w:rPr>
              <w:t>下</w:t>
            </w:r>
            <w:r>
              <w:rPr>
                <w:rFonts w:hint="default" w:ascii="Times New Roman" w:hAnsi="Times New Roman" w:cs="Times New Roman"/>
                <w:color w:val="auto"/>
                <w:sz w:val="24"/>
                <w:szCs w:val="24"/>
              </w:rPr>
              <w:t>表。</w:t>
            </w:r>
          </w:p>
          <w:p w14:paraId="71E5928F">
            <w:pPr>
              <w:pageBreakBefore w:val="0"/>
              <w:topLinePunct w:val="0"/>
              <w:autoSpaceDE w:val="0"/>
              <w:autoSpaceDN w:val="0"/>
              <w:bidi w:val="0"/>
              <w:adjustRightInd/>
              <w:snapToGrid/>
              <w:spacing w:beforeAutospacing="0" w:afterAutospacing="0" w:line="240" w:lineRule="auto"/>
              <w:ind w:left="0" w:leftChars="0" w:right="0" w:rightChars="0"/>
              <w:jc w:val="center"/>
              <w:rPr>
                <w:rFonts w:hint="eastAsia" w:ascii="Times New Roman" w:hAnsi="Times New Roman" w:cs="Times New Roman"/>
                <w:b/>
                <w:bCs/>
                <w:color w:val="auto"/>
                <w:sz w:val="21"/>
                <w:szCs w:val="21"/>
                <w:lang w:val="zh-CN" w:eastAsia="zh-CN"/>
              </w:rPr>
            </w:pPr>
            <w:r>
              <w:rPr>
                <w:rFonts w:hint="default" w:ascii="Times New Roman" w:hAnsi="Times New Roman" w:cs="Times New Roman"/>
                <w:b/>
                <w:bCs/>
                <w:color w:val="auto"/>
                <w:sz w:val="21"/>
                <w:szCs w:val="21"/>
                <w:lang w:val="zh-CN" w:eastAsia="zh-CN"/>
              </w:rPr>
              <w:t>表</w:t>
            </w:r>
            <w:r>
              <w:rPr>
                <w:rFonts w:hint="eastAsia" w:ascii="Times New Roman" w:hAnsi="Times New Roman" w:cs="Times New Roman"/>
                <w:b/>
                <w:bCs/>
                <w:color w:val="auto"/>
                <w:sz w:val="21"/>
                <w:szCs w:val="21"/>
                <w:lang w:val="en-US" w:eastAsia="zh-CN"/>
              </w:rPr>
              <w:t>3-</w:t>
            </w:r>
            <w:r>
              <w:rPr>
                <w:rFonts w:hint="eastAsia" w:cs="Times New Roman"/>
                <w:b/>
                <w:bCs/>
                <w:color w:val="auto"/>
                <w:sz w:val="21"/>
                <w:szCs w:val="21"/>
                <w:lang w:val="en-US" w:eastAsia="zh-CN"/>
              </w:rPr>
              <w:t>6</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zh-CN" w:eastAsia="zh-CN"/>
              </w:rPr>
              <w:t xml:space="preserve">  噪声排放标准   单位：dB（A）</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91"/>
              <w:gridCol w:w="939"/>
              <w:gridCol w:w="5605"/>
            </w:tblGrid>
            <w:tr w14:paraId="5705CA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7" w:type="pct"/>
                  <w:tcBorders>
                    <w:top w:val="single" w:color="auto" w:sz="12" w:space="0"/>
                    <w:bottom w:val="single" w:color="auto" w:sz="2" w:space="0"/>
                  </w:tcBorders>
                  <w:noWrap w:val="0"/>
                  <w:vAlign w:val="center"/>
                </w:tcPr>
                <w:p w14:paraId="0B6397B8">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623" w:type="pct"/>
                  <w:tcBorders>
                    <w:top w:val="single" w:color="auto" w:sz="12" w:space="0"/>
                    <w:left w:val="single" w:color="auto" w:sz="4" w:space="0"/>
                    <w:bottom w:val="single" w:color="auto" w:sz="2" w:space="0"/>
                  </w:tcBorders>
                  <w:noWrap w:val="0"/>
                  <w:vAlign w:val="center"/>
                </w:tcPr>
                <w:p w14:paraId="60E16C98">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3719" w:type="pct"/>
                  <w:tcBorders>
                    <w:top w:val="single" w:color="auto" w:sz="12" w:space="0"/>
                    <w:bottom w:val="single" w:color="auto" w:sz="2" w:space="0"/>
                  </w:tcBorders>
                  <w:noWrap w:val="0"/>
                  <w:vAlign w:val="center"/>
                </w:tcPr>
                <w:p w14:paraId="7FAD8D27">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依据</w:t>
                  </w:r>
                </w:p>
              </w:tc>
            </w:tr>
            <w:tr w14:paraId="595F82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57" w:type="pct"/>
                  <w:noWrap w:val="0"/>
                  <w:vAlign w:val="center"/>
                </w:tcPr>
                <w:p w14:paraId="70FB2486">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65</w:t>
                  </w:r>
                </w:p>
              </w:tc>
              <w:tc>
                <w:tcPr>
                  <w:tcW w:w="623" w:type="pct"/>
                  <w:tcBorders>
                    <w:left w:val="single" w:color="auto" w:sz="4" w:space="0"/>
                  </w:tcBorders>
                  <w:noWrap w:val="0"/>
                  <w:vAlign w:val="center"/>
                </w:tcPr>
                <w:p w14:paraId="1B3201AE">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3719" w:type="pct"/>
                  <w:noWrap w:val="0"/>
                  <w:vAlign w:val="center"/>
                </w:tcPr>
                <w:p w14:paraId="20F337FF">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类</w:t>
                  </w:r>
                </w:p>
              </w:tc>
            </w:tr>
          </w:tbl>
          <w:p w14:paraId="379B7C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b/>
                <w:color w:val="auto"/>
                <w:sz w:val="24"/>
                <w:szCs w:val="24"/>
              </w:rPr>
            </w:pPr>
            <w:r>
              <w:rPr>
                <w:b/>
                <w:color w:val="auto"/>
                <w:sz w:val="24"/>
                <w:szCs w:val="24"/>
              </w:rPr>
              <w:t>4、固体废弃物</w:t>
            </w:r>
          </w:p>
          <w:p w14:paraId="3AB862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jc w:val="both"/>
              <w:textAlignment w:val="auto"/>
              <w:rPr>
                <w:rFonts w:hint="eastAsia" w:ascii="宋体" w:hAnsi="宋体" w:eastAsia="宋体" w:cs="宋体"/>
                <w:color w:val="auto"/>
                <w:kern w:val="0"/>
                <w:szCs w:val="21"/>
                <w:lang w:val="en-US" w:eastAsia="zh-CN"/>
              </w:rPr>
            </w:pPr>
            <w:r>
              <w:rPr>
                <w:rFonts w:hint="default"/>
                <w:color w:val="auto"/>
              </w:rPr>
              <w:t>一般固体废物</w:t>
            </w:r>
            <w:r>
              <w:rPr>
                <w:rFonts w:hint="eastAsia"/>
                <w:color w:val="auto"/>
                <w:lang w:val="en-US" w:eastAsia="zh-CN"/>
              </w:rPr>
              <w:t>贮存过程应满足相应防渗漏、防雨淋、防扬尘等环境保护要求，</w:t>
            </w:r>
            <w:r>
              <w:rPr>
                <w:color w:val="auto"/>
                <w:sz w:val="24"/>
                <w:szCs w:val="24"/>
              </w:rPr>
              <w:t>危险废物执行《危险废物贮存污染控制标准》（GB18597-20</w:t>
            </w:r>
            <w:r>
              <w:rPr>
                <w:rFonts w:hint="eastAsia"/>
                <w:color w:val="auto"/>
                <w:sz w:val="24"/>
                <w:szCs w:val="24"/>
                <w:lang w:val="en-US" w:eastAsia="zh-CN"/>
              </w:rPr>
              <w:t>23</w:t>
            </w:r>
            <w:r>
              <w:rPr>
                <w:color w:val="auto"/>
                <w:sz w:val="24"/>
                <w:szCs w:val="24"/>
              </w:rPr>
              <w:t>）。</w:t>
            </w:r>
          </w:p>
        </w:tc>
      </w:tr>
      <w:tr w14:paraId="25AF7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68" w:type="dxa"/>
            <w:shd w:val="clear" w:color="auto" w:fill="auto"/>
            <w:noWrap w:val="0"/>
            <w:vAlign w:val="center"/>
          </w:tcPr>
          <w:p w14:paraId="50BE52D2">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宋体" w:hAnsi="Times New Roman" w:eastAsia="宋体" w:cs="宋体"/>
                <w:color w:val="auto"/>
                <w:kern w:val="0"/>
                <w:sz w:val="24"/>
                <w:szCs w:val="24"/>
                <w:lang w:val="en-US" w:eastAsia="zh-CN" w:bidi="ar-SA"/>
              </w:rPr>
            </w:pPr>
            <w:r>
              <w:rPr>
                <w:rFonts w:hint="eastAsia" w:hAnsi="Times New Roman" w:cs="宋体"/>
                <w:color w:val="auto"/>
                <w:sz w:val="24"/>
                <w:szCs w:val="24"/>
              </w:rPr>
              <w:t>总量控制指标</w:t>
            </w:r>
          </w:p>
        </w:tc>
        <w:tc>
          <w:tcPr>
            <w:tcW w:w="7754" w:type="dxa"/>
            <w:shd w:val="clear" w:color="auto" w:fill="auto"/>
            <w:noWrap w:val="0"/>
            <w:vAlign w:val="center"/>
          </w:tcPr>
          <w:p w14:paraId="32E1914F">
            <w:pPr>
              <w:pStyle w:val="65"/>
              <w:keepNext w:val="0"/>
              <w:keepLines w:val="0"/>
              <w:pageBreakBefore w:val="0"/>
              <w:kinsoku/>
              <w:wordWrap/>
              <w:overflowPunct/>
              <w:topLinePunct w:val="0"/>
              <w:autoSpaceDE/>
              <w:autoSpaceDN/>
              <w:bidi w:val="0"/>
              <w:adjustRightInd/>
              <w:snapToGrid/>
              <w:ind w:left="0" w:leftChars="0" w:firstLine="480" w:firstLineChars="200"/>
              <w:textAlignment w:val="auto"/>
              <w:rPr>
                <w:color w:val="auto"/>
              </w:rPr>
            </w:pPr>
            <w:r>
              <w:rPr>
                <w:rFonts w:hint="eastAsia" w:ascii="宋体" w:hAnsi="宋体" w:eastAsia="宋体" w:cs="宋体"/>
                <w:color w:val="auto"/>
                <w:sz w:val="24"/>
                <w:szCs w:val="24"/>
              </w:rPr>
              <w:t>污染物排放实施总量控制是执行环保管理目标责任制的基本原则之一。本环评结合 环保管理要求，对项目主要污染物的排放量进行总量控制分析。根据《关于印发“十四五” 生态保护监管规划的通知》（环生态〔2022〕15号）以及《江西省“十四五”生态环境保 护规划的通知》（赣府发〔2021〕25号），建设项目总量指标审核和管理的污染物范围包括：NO</w:t>
            </w:r>
            <w:r>
              <w:rPr>
                <w:rFonts w:hint="eastAsia" w:ascii="宋体" w:hAnsi="宋体" w:eastAsia="宋体" w:cs="宋体"/>
                <w:color w:val="auto"/>
                <w:sz w:val="24"/>
                <w:szCs w:val="24"/>
                <w:vertAlign w:val="subscript"/>
              </w:rPr>
              <w:t>X</w:t>
            </w:r>
            <w:r>
              <w:rPr>
                <w:rFonts w:hint="eastAsia" w:ascii="宋体" w:hAnsi="宋体" w:eastAsia="宋体" w:cs="宋体"/>
                <w:color w:val="auto"/>
                <w:sz w:val="24"/>
                <w:szCs w:val="24"/>
              </w:rPr>
              <w:t>、挥发性有机物及COD</w:t>
            </w:r>
            <w:r>
              <w:rPr>
                <w:rFonts w:hint="eastAsia" w:ascii="宋体" w:hAnsi="宋体" w:eastAsia="宋体" w:cs="宋体"/>
                <w:color w:val="auto"/>
                <w:sz w:val="24"/>
                <w:szCs w:val="24"/>
                <w:vertAlign w:val="subscript"/>
              </w:rPr>
              <w:t>Cr</w:t>
            </w:r>
            <w:r>
              <w:rPr>
                <w:rFonts w:hint="eastAsia" w:ascii="宋体" w:hAnsi="宋体" w:eastAsia="宋体" w:cs="宋体"/>
                <w:color w:val="auto"/>
                <w:sz w:val="24"/>
                <w:szCs w:val="24"/>
              </w:rPr>
              <w:t>、NH</w:t>
            </w:r>
            <w:r>
              <w:rPr>
                <w:rFonts w:hint="eastAsia" w:ascii="宋体" w:hAnsi="宋体" w:eastAsia="宋体" w:cs="宋体"/>
                <w:color w:val="auto"/>
                <w:sz w:val="24"/>
                <w:szCs w:val="24"/>
                <w:vertAlign w:val="subscript"/>
              </w:rPr>
              <w:t>3</w:t>
            </w:r>
            <w:r>
              <w:rPr>
                <w:rFonts w:hint="eastAsia" w:ascii="宋体" w:hAnsi="宋体" w:eastAsia="宋体" w:cs="宋体"/>
                <w:color w:val="auto"/>
                <w:sz w:val="24"/>
                <w:szCs w:val="24"/>
              </w:rPr>
              <w:t>-N。</w:t>
            </w:r>
            <w:r>
              <w:rPr>
                <w:color w:val="auto"/>
              </w:rPr>
              <w:t>要求项目各污染物排放达到国家有关环保标准。</w:t>
            </w:r>
          </w:p>
          <w:p w14:paraId="4D097F84">
            <w:pPr>
              <w:pStyle w:val="65"/>
              <w:keepNext w:val="0"/>
              <w:keepLines w:val="0"/>
              <w:pageBreakBefore w:val="0"/>
              <w:kinsoku/>
              <w:wordWrap/>
              <w:overflowPunct/>
              <w:topLinePunct w:val="0"/>
              <w:autoSpaceDE/>
              <w:autoSpaceDN/>
              <w:bidi w:val="0"/>
              <w:adjustRightInd/>
              <w:snapToGrid/>
              <w:ind w:left="0" w:leftChars="0" w:firstLine="480" w:firstLineChars="200"/>
              <w:textAlignment w:val="auto"/>
              <w:rPr>
                <w:rFonts w:ascii="宋体" w:hAnsi="宋体" w:eastAsia="宋体" w:cs="宋体"/>
                <w:color w:val="auto"/>
                <w:sz w:val="24"/>
                <w:szCs w:val="24"/>
              </w:rPr>
            </w:pPr>
            <w:r>
              <w:rPr>
                <w:rFonts w:hint="eastAsia" w:eastAsia="宋体"/>
                <w:color w:val="auto"/>
                <w:lang w:val="en-US" w:eastAsia="zh-CN"/>
              </w:rPr>
              <w:t>根据</w:t>
            </w:r>
            <w:r>
              <w:rPr>
                <w:rFonts w:ascii="宋体" w:hAnsi="宋体" w:eastAsia="宋体" w:cs="宋体"/>
                <w:color w:val="auto"/>
                <w:sz w:val="24"/>
                <w:szCs w:val="24"/>
              </w:rPr>
              <w:t>九江市人民政府办公室关于印发《九江市深化排污权储备交易试点工作方案（试行）》的通知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九府办发</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34号），</w:t>
            </w:r>
            <w:r>
              <w:rPr>
                <w:rFonts w:ascii="宋体" w:hAnsi="宋体" w:eastAsia="宋体" w:cs="宋体"/>
                <w:color w:val="auto"/>
                <w:sz w:val="24"/>
                <w:szCs w:val="24"/>
              </w:rPr>
              <w:t>九江市排污权储备类别拓展至8项污染物，具体为化学需氧量、氨氮、总磷、颗粒物、二氧化硫、氮氧化物、挥发性有机物和重点重金属（铅、汞、镉、铬、砷）。其中，化学需氧量、氨氮、颗粒物、二氧化硫、氮氧化物、挥发性有机物和重点重金属等</w:t>
            </w:r>
            <w:r>
              <w:rPr>
                <w:rFonts w:hint="eastAsia" w:ascii="宋体" w:hAnsi="宋体" w:eastAsia="宋体" w:cs="宋体"/>
                <w:color w:val="auto"/>
                <w:sz w:val="24"/>
                <w:szCs w:val="24"/>
                <w:lang w:val="en-US" w:eastAsia="zh-CN"/>
              </w:rPr>
              <w:t>7</w:t>
            </w:r>
            <w:r>
              <w:rPr>
                <w:rFonts w:ascii="宋体" w:hAnsi="宋体" w:eastAsia="宋体" w:cs="宋体"/>
                <w:color w:val="auto"/>
                <w:sz w:val="24"/>
                <w:szCs w:val="24"/>
              </w:rPr>
              <w:t>大类污染物先行纳入试点交易范围。</w:t>
            </w:r>
          </w:p>
          <w:p w14:paraId="2005FBDC">
            <w:pPr>
              <w:pStyle w:val="65"/>
              <w:keepNext w:val="0"/>
              <w:keepLines w:val="0"/>
              <w:pageBreakBefore w:val="0"/>
              <w:kinsoku/>
              <w:wordWrap/>
              <w:overflowPunct/>
              <w:topLinePunct w:val="0"/>
              <w:autoSpaceDE/>
              <w:autoSpaceDN/>
              <w:bidi w:val="0"/>
              <w:adjustRightInd/>
              <w:snapToGrid/>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根据本项目排污特征，要求将废气中</w:t>
            </w:r>
            <w:r>
              <w:rPr>
                <w:rFonts w:ascii="宋体" w:hAnsi="宋体" w:eastAsia="宋体" w:cs="宋体"/>
                <w:color w:val="auto"/>
                <w:sz w:val="24"/>
                <w:szCs w:val="24"/>
              </w:rPr>
              <w:t>颗粒物、二氧化硫、氮氧化物、挥发性有机物</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废水中</w:t>
            </w:r>
            <w:r>
              <w:rPr>
                <w:rFonts w:ascii="宋体" w:hAnsi="宋体" w:eastAsia="宋体" w:cs="宋体"/>
                <w:color w:val="auto"/>
                <w:sz w:val="24"/>
                <w:szCs w:val="24"/>
              </w:rPr>
              <w:t>化学需氧量、氨氮</w:t>
            </w:r>
            <w:r>
              <w:rPr>
                <w:rFonts w:hint="eastAsia" w:ascii="宋体" w:hAnsi="宋体" w:eastAsia="宋体" w:cs="宋体"/>
                <w:color w:val="auto"/>
                <w:sz w:val="24"/>
                <w:szCs w:val="24"/>
                <w:lang w:val="en-US" w:eastAsia="zh-CN"/>
              </w:rPr>
              <w:t>作为总量控制因子。</w:t>
            </w:r>
          </w:p>
          <w:p w14:paraId="5AA189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0"/>
                <w:lang w:val="en-US" w:eastAsia="zh-CN" w:bidi="ar-SA"/>
              </w:rPr>
            </w:pPr>
            <w:r>
              <w:rPr>
                <w:rFonts w:hint="eastAsia" w:eastAsia="宋体" w:cs="Times New Roman"/>
                <w:color w:val="auto"/>
                <w:kern w:val="0"/>
                <w:sz w:val="24"/>
                <w:szCs w:val="20"/>
                <w:lang w:val="en-US" w:eastAsia="zh-CN" w:bidi="ar-SA"/>
              </w:rPr>
              <w:t>1、</w:t>
            </w:r>
            <w:r>
              <w:rPr>
                <w:rFonts w:hint="eastAsia" w:ascii="Times New Roman" w:hAnsi="Times New Roman" w:eastAsia="宋体" w:cs="Times New Roman"/>
                <w:color w:val="auto"/>
                <w:kern w:val="0"/>
                <w:sz w:val="24"/>
                <w:szCs w:val="20"/>
                <w:lang w:val="en-US" w:eastAsia="zh-CN" w:bidi="ar-SA"/>
              </w:rPr>
              <w:t>废水：</w:t>
            </w:r>
          </w:p>
          <w:p w14:paraId="59B6B1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sz w:val="24"/>
                <w:szCs w:val="24"/>
                <w:lang w:val="en-US" w:eastAsia="zh-CN"/>
              </w:rPr>
              <w:t>本次技改新增水洗废水</w:t>
            </w:r>
            <w:r>
              <w:rPr>
                <w:rFonts w:hint="eastAsia" w:ascii="宋体" w:hAnsi="宋体" w:eastAsia="宋体" w:cs="宋体"/>
                <w:color w:val="auto"/>
                <w:sz w:val="24"/>
                <w:szCs w:val="24"/>
              </w:rPr>
              <w:t>通过</w:t>
            </w:r>
            <w:r>
              <w:rPr>
                <w:rFonts w:hint="eastAsia" w:ascii="宋体" w:hAnsi="宋体" w:eastAsia="宋体" w:cs="宋体"/>
                <w:color w:val="auto"/>
                <w:sz w:val="24"/>
                <w:szCs w:val="24"/>
                <w:lang w:val="en-US" w:eastAsia="zh-CN"/>
              </w:rPr>
              <w:t>厂内</w:t>
            </w:r>
            <w:r>
              <w:rPr>
                <w:rFonts w:hint="eastAsia" w:ascii="宋体" w:hAnsi="宋体" w:eastAsia="宋体" w:cs="宋体"/>
                <w:color w:val="auto"/>
                <w:sz w:val="24"/>
                <w:szCs w:val="24"/>
              </w:rPr>
              <w:t>污水处理回用设施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处理工艺为“格栅+调节池+初沉池+絮凝沉淀池+二沉池+回用水池”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处理后9</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%回用</w:t>
            </w:r>
            <w:r>
              <w:rPr>
                <w:rFonts w:hint="eastAsia" w:ascii="宋体" w:hAnsi="宋体" w:eastAsia="宋体" w:cs="宋体"/>
                <w:color w:val="auto"/>
                <w:sz w:val="24"/>
                <w:szCs w:val="24"/>
                <w:lang w:val="en-US" w:eastAsia="zh-CN"/>
              </w:rPr>
              <w:t>清洗工序</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的水洗</w:t>
            </w:r>
            <w:r>
              <w:rPr>
                <w:rFonts w:hint="eastAsia" w:ascii="宋体" w:hAnsi="宋体" w:eastAsia="宋体" w:cs="宋体"/>
                <w:color w:val="auto"/>
                <w:sz w:val="24"/>
                <w:szCs w:val="24"/>
              </w:rPr>
              <w:t>废水</w:t>
            </w:r>
            <w:r>
              <w:rPr>
                <w:rFonts w:hint="eastAsia" w:hAnsi="宋体" w:cs="宋体"/>
                <w:color w:val="auto"/>
                <w:sz w:val="24"/>
                <w:szCs w:val="24"/>
              </w:rPr>
              <w:t>与</w:t>
            </w:r>
            <w:r>
              <w:rPr>
                <w:rFonts w:hint="eastAsia" w:hAnsi="宋体" w:cs="宋体"/>
                <w:color w:val="auto"/>
                <w:sz w:val="24"/>
                <w:szCs w:val="24"/>
                <w:lang w:eastAsia="zh-CN"/>
              </w:rPr>
              <w:t>经化粪池预处理的生活污水</w:t>
            </w:r>
            <w:r>
              <w:rPr>
                <w:rFonts w:hint="eastAsia" w:ascii="宋体" w:hAnsi="宋体" w:eastAsia="宋体" w:cs="宋体"/>
                <w:color w:val="auto"/>
                <w:sz w:val="24"/>
                <w:szCs w:val="24"/>
              </w:rPr>
              <w:t>混合</w:t>
            </w:r>
            <w:r>
              <w:rPr>
                <w:rFonts w:hint="eastAsia" w:ascii="宋体" w:hAnsi="宋体" w:eastAsia="宋体" w:cs="宋体"/>
                <w:color w:val="auto"/>
                <w:sz w:val="24"/>
                <w:szCs w:val="24"/>
                <w:lang w:val="en-US" w:eastAsia="zh-CN"/>
              </w:rPr>
              <w:t>后通过园区管网进入星火工业园污水处理厂处理。项目生产废水经厂内预处理后达到星火工业园污水处理厂接管标准</w:t>
            </w:r>
            <w:r>
              <w:rPr>
                <w:rFonts w:ascii="宋体" w:hAnsi="宋体" w:eastAsia="宋体" w:cs="宋体"/>
                <w:color w:val="auto"/>
                <w:sz w:val="24"/>
                <w:szCs w:val="24"/>
              </w:rPr>
              <w:t>。</w:t>
            </w:r>
          </w:p>
          <w:p w14:paraId="4EF8EF1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本</w:t>
            </w:r>
            <w:r>
              <w:rPr>
                <w:rFonts w:hint="eastAsia" w:eastAsia="宋体"/>
                <w:color w:val="auto"/>
                <w:sz w:val="24"/>
                <w:highlight w:val="none"/>
                <w:lang w:val="en-US" w:eastAsia="zh-CN"/>
              </w:rPr>
              <w:t>次技改新增外排清洗废水1250</w:t>
            </w:r>
            <w:r>
              <w:rPr>
                <w:color w:val="auto"/>
                <w:sz w:val="24"/>
                <w:highlight w:val="none"/>
              </w:rPr>
              <w:t>m</w:t>
            </w:r>
            <w:r>
              <w:rPr>
                <w:color w:val="auto"/>
                <w:sz w:val="24"/>
                <w:highlight w:val="none"/>
                <w:vertAlign w:val="superscript"/>
              </w:rPr>
              <w:t>3</w:t>
            </w:r>
            <w:r>
              <w:rPr>
                <w:color w:val="auto"/>
                <w:sz w:val="24"/>
                <w:highlight w:val="none"/>
              </w:rPr>
              <w:t>/a</w:t>
            </w:r>
            <w:r>
              <w:rPr>
                <w:rFonts w:hint="eastAsia" w:eastAsia="宋体"/>
                <w:color w:val="auto"/>
                <w:sz w:val="24"/>
                <w:highlight w:val="none"/>
                <w:lang w:eastAsia="zh-CN"/>
              </w:rPr>
              <w:t>，</w:t>
            </w:r>
            <w:r>
              <w:rPr>
                <w:color w:val="auto"/>
                <w:sz w:val="24"/>
                <w:highlight w:val="none"/>
              </w:rPr>
              <w:t>项目</w:t>
            </w:r>
            <w:r>
              <w:rPr>
                <w:rFonts w:hint="eastAsia" w:eastAsia="宋体"/>
                <w:color w:val="auto"/>
                <w:sz w:val="24"/>
                <w:highlight w:val="none"/>
                <w:lang w:val="en-US" w:eastAsia="zh-CN"/>
              </w:rPr>
              <w:t>全厂</w:t>
            </w:r>
            <w:r>
              <w:rPr>
                <w:color w:val="auto"/>
                <w:sz w:val="24"/>
                <w:highlight w:val="none"/>
              </w:rPr>
              <w:t>废水排放总量为</w:t>
            </w:r>
            <w:r>
              <w:rPr>
                <w:rFonts w:hint="eastAsia"/>
                <w:color w:val="auto"/>
                <w:sz w:val="24"/>
                <w:highlight w:val="none"/>
                <w:lang w:val="en-US" w:eastAsia="zh-CN"/>
              </w:rPr>
              <w:t>1490</w:t>
            </w:r>
            <w:r>
              <w:rPr>
                <w:color w:val="auto"/>
                <w:sz w:val="24"/>
                <w:highlight w:val="none"/>
              </w:rPr>
              <w:t>m</w:t>
            </w:r>
            <w:r>
              <w:rPr>
                <w:color w:val="auto"/>
                <w:sz w:val="24"/>
                <w:highlight w:val="none"/>
                <w:vertAlign w:val="superscript"/>
              </w:rPr>
              <w:t>3</w:t>
            </w:r>
            <w:r>
              <w:rPr>
                <w:color w:val="auto"/>
                <w:sz w:val="24"/>
                <w:highlight w:val="none"/>
              </w:rPr>
              <w:t>/a，</w:t>
            </w:r>
          </w:p>
          <w:p w14:paraId="0192DA9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kern w:val="21"/>
                <w:sz w:val="24"/>
                <w:highlight w:val="none"/>
              </w:rPr>
            </w:pPr>
          </w:p>
          <w:p w14:paraId="41375E7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kern w:val="21"/>
                <w:sz w:val="24"/>
                <w:highlight w:val="none"/>
              </w:rPr>
            </w:pPr>
            <w:r>
              <w:rPr>
                <w:color w:val="auto"/>
                <w:kern w:val="21"/>
                <w:sz w:val="24"/>
                <w:highlight w:val="none"/>
              </w:rPr>
              <w:t>CODcr总量考核指标为：</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sz w:val="24"/>
                <w:highlight w:val="none"/>
                <w:lang w:val="en-US" w:eastAsia="zh-CN"/>
              </w:rPr>
              <w:t>294</w:t>
            </w:r>
            <w:r>
              <w:rPr>
                <w:color w:val="auto"/>
                <w:kern w:val="21"/>
                <w:sz w:val="24"/>
                <w:highlight w:val="none"/>
              </w:rPr>
              <w:t>＝</w:t>
            </w:r>
            <w:r>
              <w:rPr>
                <w:rFonts w:hint="eastAsia"/>
                <w:color w:val="auto"/>
                <w:kern w:val="21"/>
                <w:sz w:val="24"/>
                <w:highlight w:val="none"/>
                <w:lang w:val="en-US" w:eastAsia="zh-CN"/>
              </w:rPr>
              <w:t>0.438</w:t>
            </w:r>
            <w:r>
              <w:rPr>
                <w:color w:val="auto"/>
                <w:kern w:val="21"/>
                <w:sz w:val="24"/>
                <w:highlight w:val="none"/>
              </w:rPr>
              <w:t>t/a</w:t>
            </w:r>
            <w:r>
              <w:rPr>
                <w:rFonts w:hint="eastAsia"/>
                <w:color w:val="auto"/>
                <w:kern w:val="21"/>
                <w:sz w:val="24"/>
                <w:highlight w:val="none"/>
              </w:rPr>
              <w:t>；</w:t>
            </w:r>
          </w:p>
          <w:p w14:paraId="72572AB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kern w:val="21"/>
                <w:sz w:val="24"/>
                <w:highlight w:val="none"/>
              </w:rPr>
            </w:pPr>
            <w:r>
              <w:rPr>
                <w:rFonts w:hint="eastAsia"/>
                <w:color w:val="auto"/>
                <w:kern w:val="21"/>
                <w:sz w:val="24"/>
                <w:highlight w:val="none"/>
                <w:lang w:val="en-US" w:eastAsia="zh-CN"/>
              </w:rPr>
              <w:t>NH</w:t>
            </w:r>
            <w:r>
              <w:rPr>
                <w:rFonts w:hint="eastAsia"/>
                <w:color w:val="auto"/>
                <w:kern w:val="21"/>
                <w:sz w:val="24"/>
                <w:highlight w:val="none"/>
                <w:vertAlign w:val="subscript"/>
                <w:lang w:val="en-US" w:eastAsia="zh-CN"/>
              </w:rPr>
              <w:t>3</w:t>
            </w:r>
            <w:r>
              <w:rPr>
                <w:rFonts w:hint="eastAsia"/>
                <w:color w:val="auto"/>
                <w:kern w:val="21"/>
                <w:sz w:val="24"/>
                <w:highlight w:val="none"/>
                <w:lang w:val="en-US" w:eastAsia="zh-CN"/>
              </w:rPr>
              <w:t>-N</w:t>
            </w:r>
            <w:r>
              <w:rPr>
                <w:color w:val="auto"/>
                <w:kern w:val="21"/>
                <w:sz w:val="24"/>
                <w:highlight w:val="none"/>
              </w:rPr>
              <w:t>总考核制指标为：</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kern w:val="21"/>
                <w:sz w:val="24"/>
                <w:highlight w:val="none"/>
                <w:lang w:val="en-US" w:eastAsia="zh-CN"/>
              </w:rPr>
              <w:t>23</w:t>
            </w:r>
            <w:r>
              <w:rPr>
                <w:color w:val="auto"/>
                <w:kern w:val="21"/>
                <w:sz w:val="24"/>
                <w:highlight w:val="none"/>
              </w:rPr>
              <w:t>＝</w:t>
            </w:r>
            <w:r>
              <w:rPr>
                <w:rFonts w:hint="eastAsia"/>
                <w:color w:val="auto"/>
                <w:kern w:val="21"/>
                <w:sz w:val="24"/>
                <w:highlight w:val="none"/>
                <w:lang w:val="en-US" w:eastAsia="zh-CN"/>
              </w:rPr>
              <w:t>0.034</w:t>
            </w:r>
            <w:r>
              <w:rPr>
                <w:color w:val="auto"/>
                <w:kern w:val="21"/>
                <w:sz w:val="24"/>
                <w:highlight w:val="none"/>
              </w:rPr>
              <w:t>t/a</w:t>
            </w:r>
            <w:r>
              <w:rPr>
                <w:rFonts w:hint="eastAsia"/>
                <w:color w:val="auto"/>
                <w:kern w:val="21"/>
                <w:sz w:val="24"/>
                <w:highlight w:val="none"/>
              </w:rPr>
              <w:t>。</w:t>
            </w:r>
          </w:p>
          <w:p w14:paraId="3294A99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kern w:val="21"/>
                <w:sz w:val="24"/>
                <w:highlight w:val="none"/>
              </w:rPr>
            </w:pPr>
            <w:r>
              <w:rPr>
                <w:rFonts w:hint="eastAsia" w:eastAsia="宋体"/>
                <w:color w:val="auto"/>
                <w:sz w:val="24"/>
                <w:highlight w:val="none"/>
                <w:lang w:val="en-US" w:eastAsia="zh-CN"/>
              </w:rPr>
              <w:t>TP</w:t>
            </w:r>
            <w:r>
              <w:rPr>
                <w:color w:val="auto"/>
                <w:kern w:val="21"/>
                <w:sz w:val="24"/>
                <w:highlight w:val="none"/>
              </w:rPr>
              <w:t>总量考核指标为：</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sz w:val="24"/>
                <w:highlight w:val="none"/>
                <w:lang w:val="en-US" w:eastAsia="zh-CN"/>
              </w:rPr>
              <w:t>3.8</w:t>
            </w:r>
            <w:r>
              <w:rPr>
                <w:color w:val="auto"/>
                <w:kern w:val="21"/>
                <w:sz w:val="24"/>
                <w:highlight w:val="none"/>
              </w:rPr>
              <w:t>＝</w:t>
            </w:r>
            <w:r>
              <w:rPr>
                <w:rFonts w:hint="eastAsia"/>
                <w:color w:val="auto"/>
                <w:kern w:val="21"/>
                <w:sz w:val="24"/>
                <w:highlight w:val="none"/>
                <w:lang w:val="en-US" w:eastAsia="zh-CN"/>
              </w:rPr>
              <w:t>0.006</w:t>
            </w:r>
            <w:r>
              <w:rPr>
                <w:color w:val="auto"/>
                <w:kern w:val="21"/>
                <w:sz w:val="24"/>
                <w:highlight w:val="none"/>
              </w:rPr>
              <w:t>t/a</w:t>
            </w:r>
            <w:r>
              <w:rPr>
                <w:rFonts w:hint="eastAsia"/>
                <w:color w:val="auto"/>
                <w:kern w:val="21"/>
                <w:sz w:val="24"/>
                <w:highlight w:val="none"/>
              </w:rPr>
              <w:t>；</w:t>
            </w:r>
          </w:p>
          <w:p w14:paraId="4072200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kern w:val="21"/>
                <w:sz w:val="24"/>
                <w:highlight w:val="none"/>
              </w:rPr>
            </w:pPr>
            <w:r>
              <w:rPr>
                <w:rFonts w:hint="eastAsia" w:eastAsia="宋体"/>
                <w:color w:val="auto"/>
                <w:kern w:val="21"/>
                <w:sz w:val="24"/>
                <w:highlight w:val="none"/>
                <w:lang w:val="en-US" w:eastAsia="zh-CN"/>
              </w:rPr>
              <w:t>TN</w:t>
            </w:r>
            <w:r>
              <w:rPr>
                <w:color w:val="auto"/>
                <w:kern w:val="21"/>
                <w:sz w:val="24"/>
                <w:highlight w:val="none"/>
              </w:rPr>
              <w:t>总量考核指标为：</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kern w:val="21"/>
                <w:sz w:val="24"/>
                <w:highlight w:val="none"/>
                <w:lang w:val="en-US" w:eastAsia="zh-CN"/>
              </w:rPr>
              <w:t>56</w:t>
            </w:r>
            <w:r>
              <w:rPr>
                <w:color w:val="auto"/>
                <w:kern w:val="21"/>
                <w:sz w:val="24"/>
                <w:highlight w:val="none"/>
              </w:rPr>
              <w:t>＝</w:t>
            </w:r>
            <w:r>
              <w:rPr>
                <w:rFonts w:hint="eastAsia"/>
                <w:color w:val="auto"/>
                <w:kern w:val="21"/>
                <w:sz w:val="24"/>
                <w:highlight w:val="none"/>
                <w:lang w:val="en-US" w:eastAsia="zh-CN"/>
              </w:rPr>
              <w:t>0.083</w:t>
            </w:r>
            <w:r>
              <w:rPr>
                <w:color w:val="auto"/>
                <w:kern w:val="21"/>
                <w:sz w:val="24"/>
                <w:highlight w:val="none"/>
              </w:rPr>
              <w:t>t/a</w:t>
            </w:r>
            <w:r>
              <w:rPr>
                <w:rFonts w:hint="eastAsia"/>
                <w:color w:val="auto"/>
                <w:kern w:val="21"/>
                <w:sz w:val="24"/>
                <w:highlight w:val="none"/>
              </w:rPr>
              <w:t>。</w:t>
            </w:r>
          </w:p>
          <w:p w14:paraId="37F35AB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kern w:val="21"/>
                <w:sz w:val="24"/>
                <w:highlight w:val="none"/>
              </w:rPr>
            </w:pPr>
            <w:r>
              <w:rPr>
                <w:color w:val="auto"/>
                <w:kern w:val="21"/>
                <w:sz w:val="24"/>
                <w:highlight w:val="none"/>
              </w:rPr>
              <w:t>CODcr总量</w:t>
            </w:r>
            <w:r>
              <w:rPr>
                <w:rFonts w:hint="eastAsia" w:ascii="Times New Roman" w:hAnsi="Times New Roman" w:eastAsia="宋体" w:cs="Times New Roman"/>
                <w:color w:val="auto"/>
                <w:spacing w:val="-2"/>
                <w:sz w:val="24"/>
                <w:highlight w:val="none"/>
                <w:lang w:eastAsia="zh-CN"/>
              </w:rPr>
              <w:t>申请</w:t>
            </w:r>
            <w:r>
              <w:rPr>
                <w:color w:val="auto"/>
                <w:kern w:val="21"/>
                <w:sz w:val="24"/>
                <w:highlight w:val="none"/>
              </w:rPr>
              <w:t>指标为：</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sz w:val="24"/>
                <w:highlight w:val="none"/>
                <w:lang w:val="en-US" w:eastAsia="zh-CN"/>
              </w:rPr>
              <w:t>50</w:t>
            </w:r>
            <w:r>
              <w:rPr>
                <w:color w:val="auto"/>
                <w:kern w:val="21"/>
                <w:sz w:val="24"/>
                <w:highlight w:val="none"/>
              </w:rPr>
              <w:t>＝</w:t>
            </w:r>
            <w:r>
              <w:rPr>
                <w:rFonts w:hint="eastAsia"/>
                <w:color w:val="auto"/>
                <w:kern w:val="21"/>
                <w:sz w:val="24"/>
                <w:highlight w:val="none"/>
                <w:lang w:val="en-US" w:eastAsia="zh-CN"/>
              </w:rPr>
              <w:t>0.075</w:t>
            </w:r>
            <w:r>
              <w:rPr>
                <w:color w:val="auto"/>
                <w:kern w:val="21"/>
                <w:sz w:val="24"/>
                <w:highlight w:val="none"/>
              </w:rPr>
              <w:t>t/a</w:t>
            </w:r>
            <w:r>
              <w:rPr>
                <w:rFonts w:hint="eastAsia"/>
                <w:color w:val="auto"/>
                <w:kern w:val="21"/>
                <w:sz w:val="24"/>
                <w:highlight w:val="none"/>
              </w:rPr>
              <w:t>；</w:t>
            </w:r>
          </w:p>
          <w:p w14:paraId="62FDA46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kern w:val="21"/>
                <w:sz w:val="24"/>
                <w:highlight w:val="none"/>
              </w:rPr>
            </w:pPr>
            <w:r>
              <w:rPr>
                <w:rFonts w:hint="eastAsia"/>
                <w:color w:val="auto"/>
                <w:kern w:val="21"/>
                <w:sz w:val="24"/>
                <w:highlight w:val="none"/>
                <w:lang w:val="en-US" w:eastAsia="zh-CN"/>
              </w:rPr>
              <w:t>NH</w:t>
            </w:r>
            <w:r>
              <w:rPr>
                <w:rFonts w:hint="eastAsia"/>
                <w:color w:val="auto"/>
                <w:kern w:val="21"/>
                <w:sz w:val="24"/>
                <w:highlight w:val="none"/>
                <w:vertAlign w:val="subscript"/>
                <w:lang w:val="en-US" w:eastAsia="zh-CN"/>
              </w:rPr>
              <w:t>3</w:t>
            </w:r>
            <w:r>
              <w:rPr>
                <w:rFonts w:hint="eastAsia"/>
                <w:color w:val="auto"/>
                <w:kern w:val="21"/>
                <w:sz w:val="24"/>
                <w:highlight w:val="none"/>
                <w:lang w:val="en-US" w:eastAsia="zh-CN"/>
              </w:rPr>
              <w:t>-N</w:t>
            </w:r>
            <w:r>
              <w:rPr>
                <w:color w:val="auto"/>
                <w:kern w:val="21"/>
                <w:sz w:val="24"/>
                <w:highlight w:val="none"/>
              </w:rPr>
              <w:t>总量</w:t>
            </w:r>
            <w:r>
              <w:rPr>
                <w:rFonts w:hint="eastAsia" w:ascii="Times New Roman" w:hAnsi="Times New Roman" w:eastAsia="宋体" w:cs="Times New Roman"/>
                <w:color w:val="auto"/>
                <w:spacing w:val="-2"/>
                <w:sz w:val="24"/>
                <w:highlight w:val="none"/>
                <w:lang w:eastAsia="zh-CN"/>
              </w:rPr>
              <w:t>申请</w:t>
            </w:r>
            <w:r>
              <w:rPr>
                <w:color w:val="auto"/>
                <w:kern w:val="21"/>
                <w:sz w:val="24"/>
                <w:highlight w:val="none"/>
              </w:rPr>
              <w:t>指标为：</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kern w:val="21"/>
                <w:sz w:val="24"/>
                <w:highlight w:val="none"/>
                <w:lang w:val="en-US" w:eastAsia="zh-CN"/>
              </w:rPr>
              <w:t>5</w:t>
            </w:r>
            <w:r>
              <w:rPr>
                <w:color w:val="auto"/>
                <w:kern w:val="21"/>
                <w:sz w:val="24"/>
                <w:highlight w:val="none"/>
              </w:rPr>
              <w:t>＝</w:t>
            </w:r>
            <w:r>
              <w:rPr>
                <w:rFonts w:hint="eastAsia"/>
                <w:color w:val="auto"/>
                <w:kern w:val="21"/>
                <w:sz w:val="24"/>
                <w:highlight w:val="none"/>
                <w:lang w:val="en-US" w:eastAsia="zh-CN"/>
              </w:rPr>
              <w:t>0.007</w:t>
            </w:r>
            <w:r>
              <w:rPr>
                <w:color w:val="auto"/>
                <w:kern w:val="21"/>
                <w:sz w:val="24"/>
                <w:highlight w:val="none"/>
              </w:rPr>
              <w:t>t/a</w:t>
            </w:r>
            <w:r>
              <w:rPr>
                <w:rFonts w:hint="eastAsia"/>
                <w:color w:val="auto"/>
                <w:kern w:val="21"/>
                <w:sz w:val="24"/>
                <w:highlight w:val="none"/>
              </w:rPr>
              <w:t>。</w:t>
            </w:r>
          </w:p>
          <w:p w14:paraId="58F4186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kern w:val="21"/>
                <w:sz w:val="24"/>
                <w:highlight w:val="none"/>
              </w:rPr>
            </w:pPr>
            <w:r>
              <w:rPr>
                <w:rFonts w:hint="eastAsia" w:eastAsia="宋体"/>
                <w:color w:val="auto"/>
                <w:sz w:val="24"/>
                <w:highlight w:val="none"/>
                <w:lang w:val="en-US" w:eastAsia="zh-CN"/>
              </w:rPr>
              <w:t>TP</w:t>
            </w:r>
            <w:r>
              <w:rPr>
                <w:color w:val="auto"/>
                <w:kern w:val="21"/>
                <w:sz w:val="24"/>
                <w:highlight w:val="none"/>
              </w:rPr>
              <w:t>总量</w:t>
            </w:r>
            <w:r>
              <w:rPr>
                <w:rFonts w:hint="eastAsia" w:ascii="Times New Roman" w:hAnsi="Times New Roman" w:eastAsia="宋体" w:cs="Times New Roman"/>
                <w:color w:val="auto"/>
                <w:spacing w:val="-2"/>
                <w:sz w:val="24"/>
                <w:highlight w:val="none"/>
                <w:lang w:eastAsia="zh-CN"/>
              </w:rPr>
              <w:t>申请</w:t>
            </w:r>
            <w:r>
              <w:rPr>
                <w:color w:val="auto"/>
                <w:kern w:val="21"/>
                <w:sz w:val="24"/>
                <w:highlight w:val="none"/>
              </w:rPr>
              <w:t>指标为：</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sz w:val="24"/>
                <w:highlight w:val="none"/>
                <w:lang w:val="en-US" w:eastAsia="zh-CN"/>
              </w:rPr>
              <w:t>0.5</w:t>
            </w:r>
            <w:r>
              <w:rPr>
                <w:color w:val="auto"/>
                <w:kern w:val="21"/>
                <w:sz w:val="24"/>
                <w:highlight w:val="none"/>
              </w:rPr>
              <w:t>＝</w:t>
            </w:r>
            <w:r>
              <w:rPr>
                <w:rFonts w:hint="eastAsia"/>
                <w:color w:val="auto"/>
                <w:kern w:val="21"/>
                <w:sz w:val="24"/>
                <w:highlight w:val="none"/>
                <w:lang w:val="en-US" w:eastAsia="zh-CN"/>
              </w:rPr>
              <w:t>0.001</w:t>
            </w:r>
            <w:r>
              <w:rPr>
                <w:color w:val="auto"/>
                <w:kern w:val="21"/>
                <w:sz w:val="24"/>
                <w:highlight w:val="none"/>
              </w:rPr>
              <w:t>t/a</w:t>
            </w:r>
            <w:r>
              <w:rPr>
                <w:rFonts w:hint="eastAsia"/>
                <w:color w:val="auto"/>
                <w:kern w:val="21"/>
                <w:sz w:val="24"/>
                <w:highlight w:val="none"/>
              </w:rPr>
              <w:t>；</w:t>
            </w:r>
          </w:p>
          <w:p w14:paraId="0E7BF21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kern w:val="21"/>
                <w:sz w:val="24"/>
                <w:highlight w:val="none"/>
              </w:rPr>
            </w:pPr>
            <w:r>
              <w:rPr>
                <w:rFonts w:hint="eastAsia" w:eastAsia="宋体"/>
                <w:color w:val="auto"/>
                <w:kern w:val="21"/>
                <w:sz w:val="24"/>
                <w:highlight w:val="none"/>
                <w:lang w:val="en-US" w:eastAsia="zh-CN"/>
              </w:rPr>
              <w:t>TN</w:t>
            </w:r>
            <w:r>
              <w:rPr>
                <w:rFonts w:hint="eastAsia" w:ascii="Times New Roman" w:hAnsi="Times New Roman" w:eastAsia="宋体" w:cs="Times New Roman"/>
                <w:color w:val="auto"/>
                <w:spacing w:val="-2"/>
                <w:sz w:val="24"/>
                <w:highlight w:val="none"/>
                <w:lang w:eastAsia="zh-CN"/>
              </w:rPr>
              <w:t>总量申请指标：</w:t>
            </w:r>
            <w:r>
              <w:rPr>
                <w:rFonts w:hint="eastAsia"/>
                <w:color w:val="auto"/>
                <w:sz w:val="24"/>
                <w:highlight w:val="none"/>
                <w:lang w:val="en-US" w:eastAsia="zh-CN"/>
              </w:rPr>
              <w:t>1490</w:t>
            </w:r>
            <w:r>
              <w:rPr>
                <w:color w:val="auto"/>
                <w:kern w:val="21"/>
                <w:sz w:val="24"/>
                <w:highlight w:val="none"/>
              </w:rPr>
              <w:t>×10</w:t>
            </w:r>
            <w:r>
              <w:rPr>
                <w:color w:val="auto"/>
                <w:kern w:val="21"/>
                <w:sz w:val="24"/>
                <w:highlight w:val="none"/>
                <w:vertAlign w:val="superscript"/>
              </w:rPr>
              <w:t>-6</w:t>
            </w:r>
            <w:r>
              <w:rPr>
                <w:color w:val="auto"/>
                <w:kern w:val="21"/>
                <w:sz w:val="24"/>
                <w:highlight w:val="none"/>
              </w:rPr>
              <w:t>×</w:t>
            </w:r>
            <w:r>
              <w:rPr>
                <w:rFonts w:hint="eastAsia" w:eastAsia="宋体"/>
                <w:color w:val="auto"/>
                <w:kern w:val="21"/>
                <w:sz w:val="24"/>
                <w:highlight w:val="none"/>
                <w:lang w:val="en-US" w:eastAsia="zh-CN"/>
              </w:rPr>
              <w:t>15</w:t>
            </w:r>
            <w:r>
              <w:rPr>
                <w:color w:val="auto"/>
                <w:kern w:val="21"/>
                <w:sz w:val="24"/>
                <w:highlight w:val="none"/>
              </w:rPr>
              <w:t>＝</w:t>
            </w:r>
            <w:r>
              <w:rPr>
                <w:rFonts w:hint="eastAsia"/>
                <w:color w:val="auto"/>
                <w:kern w:val="21"/>
                <w:sz w:val="24"/>
                <w:highlight w:val="none"/>
                <w:lang w:val="en-US" w:eastAsia="zh-CN"/>
              </w:rPr>
              <w:t>0.022</w:t>
            </w:r>
            <w:r>
              <w:rPr>
                <w:color w:val="auto"/>
                <w:kern w:val="21"/>
                <w:sz w:val="24"/>
                <w:highlight w:val="none"/>
              </w:rPr>
              <w:t>t/a</w:t>
            </w:r>
            <w:r>
              <w:rPr>
                <w:rFonts w:hint="eastAsia"/>
                <w:color w:val="auto"/>
                <w:kern w:val="21"/>
                <w:sz w:val="24"/>
                <w:highlight w:val="none"/>
              </w:rPr>
              <w:t>。</w:t>
            </w:r>
          </w:p>
          <w:p w14:paraId="3893B956">
            <w:pPr>
              <w:jc w:val="center"/>
              <w:rPr>
                <w:b/>
                <w:bCs/>
                <w:color w:val="auto"/>
                <w:kern w:val="21"/>
                <w:sz w:val="21"/>
                <w:szCs w:val="21"/>
                <w:highlight w:val="none"/>
              </w:rPr>
            </w:pPr>
            <w:r>
              <w:rPr>
                <w:rFonts w:hint="eastAsia"/>
                <w:b/>
                <w:bCs/>
                <w:color w:val="auto"/>
                <w:kern w:val="21"/>
                <w:sz w:val="21"/>
                <w:szCs w:val="21"/>
                <w:highlight w:val="none"/>
              </w:rPr>
              <w:t>表 3-</w:t>
            </w:r>
            <w:r>
              <w:rPr>
                <w:rFonts w:hint="eastAsia" w:eastAsia="宋体"/>
                <w:b/>
                <w:bCs/>
                <w:color w:val="auto"/>
                <w:kern w:val="21"/>
                <w:sz w:val="21"/>
                <w:szCs w:val="21"/>
                <w:highlight w:val="none"/>
                <w:lang w:val="en-US" w:eastAsia="zh-CN"/>
              </w:rPr>
              <w:t xml:space="preserve">7  </w:t>
            </w:r>
            <w:r>
              <w:rPr>
                <w:rFonts w:hint="eastAsia"/>
                <w:b/>
                <w:bCs/>
                <w:color w:val="auto"/>
                <w:kern w:val="21"/>
                <w:sz w:val="21"/>
                <w:szCs w:val="21"/>
                <w:highlight w:val="none"/>
                <w:lang w:val="en-US" w:eastAsia="zh-CN"/>
              </w:rPr>
              <w:t>项目技改</w:t>
            </w:r>
            <w:r>
              <w:rPr>
                <w:rFonts w:hint="eastAsia"/>
                <w:b/>
                <w:bCs/>
                <w:color w:val="auto"/>
                <w:kern w:val="21"/>
                <w:sz w:val="21"/>
                <w:szCs w:val="21"/>
                <w:highlight w:val="none"/>
              </w:rPr>
              <w:t>前后水总量控制指标及排放量统计表 单位：t/a</w:t>
            </w:r>
          </w:p>
          <w:tbl>
            <w:tblPr>
              <w:tblStyle w:val="21"/>
              <w:tblW w:w="7530"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0"/>
              <w:gridCol w:w="1289"/>
              <w:gridCol w:w="1220"/>
              <w:gridCol w:w="1309"/>
              <w:gridCol w:w="1286"/>
              <w:gridCol w:w="1286"/>
            </w:tblGrid>
            <w:tr w14:paraId="415339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140" w:type="dxa"/>
                  <w:tcBorders>
                    <w:tl2br w:val="nil"/>
                    <w:tr2bl w:val="nil"/>
                  </w:tcBorders>
                  <w:noWrap w:val="0"/>
                  <w:vAlign w:val="center"/>
                </w:tcPr>
                <w:p w14:paraId="714E6461">
                  <w:pPr>
                    <w:jc w:val="center"/>
                    <w:rPr>
                      <w:rFonts w:hint="eastAsia"/>
                      <w:b/>
                      <w:bCs/>
                      <w:color w:val="auto"/>
                      <w:kern w:val="21"/>
                      <w:szCs w:val="21"/>
                      <w:highlight w:val="none"/>
                    </w:rPr>
                  </w:pPr>
                  <w:r>
                    <w:rPr>
                      <w:b/>
                      <w:bCs/>
                      <w:color w:val="auto"/>
                      <w:kern w:val="21"/>
                      <w:szCs w:val="21"/>
                      <w:highlight w:val="none"/>
                    </w:rPr>
                    <w:t>总量控制因子</w:t>
                  </w:r>
                </w:p>
              </w:tc>
              <w:tc>
                <w:tcPr>
                  <w:tcW w:w="1289" w:type="dxa"/>
                  <w:tcBorders>
                    <w:tl2br w:val="nil"/>
                    <w:tr2bl w:val="nil"/>
                  </w:tcBorders>
                  <w:noWrap w:val="0"/>
                  <w:vAlign w:val="center"/>
                </w:tcPr>
                <w:p w14:paraId="09CA76C0">
                  <w:pPr>
                    <w:jc w:val="center"/>
                    <w:rPr>
                      <w:rFonts w:hint="eastAsia" w:eastAsia="宋体"/>
                      <w:b/>
                      <w:bCs/>
                      <w:color w:val="auto"/>
                      <w:kern w:val="21"/>
                      <w:szCs w:val="21"/>
                      <w:highlight w:val="none"/>
                      <w:lang w:val="en-US" w:eastAsia="zh-CN"/>
                    </w:rPr>
                  </w:pPr>
                  <w:r>
                    <w:rPr>
                      <w:rFonts w:hint="eastAsia"/>
                      <w:b/>
                      <w:bCs/>
                      <w:color w:val="auto"/>
                      <w:kern w:val="21"/>
                      <w:szCs w:val="21"/>
                      <w:highlight w:val="none"/>
                      <w:lang w:val="en-US" w:eastAsia="zh-CN"/>
                    </w:rPr>
                    <w:t>技改前排放量</w:t>
                  </w:r>
                </w:p>
              </w:tc>
              <w:tc>
                <w:tcPr>
                  <w:tcW w:w="1220" w:type="dxa"/>
                  <w:tcBorders>
                    <w:tl2br w:val="nil"/>
                    <w:tr2bl w:val="nil"/>
                  </w:tcBorders>
                  <w:noWrap w:val="0"/>
                  <w:vAlign w:val="center"/>
                </w:tcPr>
                <w:p w14:paraId="4AF8950C">
                  <w:pPr>
                    <w:jc w:val="center"/>
                    <w:rPr>
                      <w:rFonts w:hint="eastAsia" w:eastAsia="宋体"/>
                      <w:b/>
                      <w:bCs/>
                      <w:color w:val="auto"/>
                      <w:kern w:val="21"/>
                      <w:szCs w:val="21"/>
                      <w:highlight w:val="none"/>
                      <w:lang w:val="en-US" w:eastAsia="zh-CN"/>
                    </w:rPr>
                  </w:pPr>
                  <w:r>
                    <w:rPr>
                      <w:rFonts w:hint="eastAsia"/>
                      <w:b/>
                      <w:bCs/>
                      <w:color w:val="auto"/>
                      <w:kern w:val="21"/>
                      <w:szCs w:val="21"/>
                      <w:highlight w:val="none"/>
                      <w:lang w:val="en-US" w:eastAsia="zh-CN"/>
                    </w:rPr>
                    <w:t>技改</w:t>
                  </w:r>
                  <w:r>
                    <w:rPr>
                      <w:rFonts w:hint="eastAsia"/>
                      <w:b/>
                      <w:bCs/>
                      <w:color w:val="auto"/>
                      <w:kern w:val="21"/>
                      <w:szCs w:val="21"/>
                      <w:highlight w:val="none"/>
                    </w:rPr>
                    <w:t>后</w:t>
                  </w:r>
                  <w:r>
                    <w:rPr>
                      <w:rFonts w:hint="eastAsia"/>
                      <w:b/>
                      <w:bCs/>
                      <w:color w:val="auto"/>
                      <w:kern w:val="21"/>
                      <w:szCs w:val="21"/>
                      <w:highlight w:val="none"/>
                      <w:lang w:val="en-US" w:eastAsia="zh-CN"/>
                    </w:rPr>
                    <w:t>排放量</w:t>
                  </w:r>
                </w:p>
              </w:tc>
              <w:tc>
                <w:tcPr>
                  <w:tcW w:w="1309" w:type="dxa"/>
                  <w:tcBorders>
                    <w:tl2br w:val="nil"/>
                    <w:tr2bl w:val="nil"/>
                  </w:tcBorders>
                  <w:noWrap w:val="0"/>
                  <w:vAlign w:val="center"/>
                </w:tcPr>
                <w:p w14:paraId="05D1BCBD">
                  <w:pPr>
                    <w:jc w:val="center"/>
                    <w:rPr>
                      <w:rFonts w:hint="eastAsia"/>
                      <w:b/>
                      <w:bCs/>
                      <w:color w:val="auto"/>
                      <w:kern w:val="21"/>
                      <w:szCs w:val="21"/>
                      <w:highlight w:val="none"/>
                    </w:rPr>
                  </w:pPr>
                  <w:r>
                    <w:rPr>
                      <w:rFonts w:hint="eastAsia"/>
                      <w:b/>
                      <w:bCs/>
                      <w:color w:val="auto"/>
                      <w:kern w:val="21"/>
                      <w:szCs w:val="21"/>
                      <w:highlight w:val="none"/>
                      <w:lang w:val="en-US" w:eastAsia="zh-CN"/>
                    </w:rPr>
                    <w:t>已申请</w:t>
                  </w:r>
                  <w:r>
                    <w:rPr>
                      <w:rFonts w:hint="eastAsia"/>
                      <w:b/>
                      <w:bCs/>
                      <w:color w:val="auto"/>
                      <w:kern w:val="21"/>
                      <w:szCs w:val="21"/>
                      <w:highlight w:val="none"/>
                    </w:rPr>
                    <w:t>总量控制指标</w:t>
                  </w:r>
                </w:p>
              </w:tc>
              <w:tc>
                <w:tcPr>
                  <w:tcW w:w="1286" w:type="dxa"/>
                  <w:tcBorders>
                    <w:tl2br w:val="nil"/>
                    <w:tr2bl w:val="nil"/>
                  </w:tcBorders>
                  <w:noWrap w:val="0"/>
                  <w:vAlign w:val="center"/>
                </w:tcPr>
                <w:p w14:paraId="771A1CA4">
                  <w:pPr>
                    <w:jc w:val="center"/>
                    <w:rPr>
                      <w:rFonts w:hint="eastAsia" w:eastAsia="宋体"/>
                      <w:b/>
                      <w:bCs/>
                      <w:color w:val="auto"/>
                      <w:kern w:val="21"/>
                      <w:szCs w:val="21"/>
                      <w:highlight w:val="none"/>
                      <w:lang w:val="en-US" w:eastAsia="zh-CN"/>
                    </w:rPr>
                  </w:pPr>
                  <w:r>
                    <w:rPr>
                      <w:b/>
                      <w:bCs/>
                      <w:color w:val="auto"/>
                      <w:kern w:val="21"/>
                      <w:szCs w:val="21"/>
                      <w:highlight w:val="none"/>
                    </w:rPr>
                    <w:t>总量控制指标</w:t>
                  </w:r>
                  <w:r>
                    <w:rPr>
                      <w:rFonts w:hint="eastAsia"/>
                      <w:b/>
                      <w:bCs/>
                      <w:color w:val="auto"/>
                      <w:kern w:val="21"/>
                      <w:szCs w:val="21"/>
                      <w:highlight w:val="none"/>
                      <w:lang w:val="en-US" w:eastAsia="zh-CN"/>
                    </w:rPr>
                    <w:t>变化量</w:t>
                  </w:r>
                </w:p>
              </w:tc>
              <w:tc>
                <w:tcPr>
                  <w:tcW w:w="1286" w:type="dxa"/>
                  <w:tcBorders>
                    <w:tl2br w:val="nil"/>
                    <w:tr2bl w:val="nil"/>
                  </w:tcBorders>
                  <w:noWrap w:val="0"/>
                  <w:vAlign w:val="center"/>
                </w:tcPr>
                <w:p w14:paraId="27B66A29">
                  <w:pPr>
                    <w:jc w:val="center"/>
                    <w:rPr>
                      <w:rFonts w:hint="eastAsia"/>
                      <w:b/>
                      <w:bCs/>
                      <w:color w:val="auto"/>
                      <w:kern w:val="21"/>
                      <w:szCs w:val="21"/>
                      <w:highlight w:val="none"/>
                      <w:lang w:val="en-US" w:eastAsia="zh-CN"/>
                    </w:rPr>
                  </w:pPr>
                  <w:r>
                    <w:rPr>
                      <w:rFonts w:hint="eastAsia"/>
                      <w:b/>
                      <w:bCs/>
                      <w:color w:val="auto"/>
                      <w:kern w:val="21"/>
                      <w:szCs w:val="21"/>
                      <w:highlight w:val="none"/>
                      <w:lang w:val="en-US" w:eastAsia="zh-CN"/>
                    </w:rPr>
                    <w:t>待申请</w:t>
                  </w:r>
                  <w:r>
                    <w:rPr>
                      <w:rFonts w:hint="eastAsia"/>
                      <w:b/>
                      <w:bCs/>
                      <w:color w:val="auto"/>
                      <w:kern w:val="21"/>
                      <w:szCs w:val="21"/>
                      <w:highlight w:val="none"/>
                    </w:rPr>
                    <w:t>总量控制指标</w:t>
                  </w:r>
                </w:p>
              </w:tc>
            </w:tr>
            <w:tr w14:paraId="65C940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140" w:type="dxa"/>
                  <w:tcBorders>
                    <w:tl2br w:val="nil"/>
                    <w:tr2bl w:val="nil"/>
                  </w:tcBorders>
                  <w:noWrap w:val="0"/>
                  <w:vAlign w:val="center"/>
                </w:tcPr>
                <w:p w14:paraId="624EEE21">
                  <w:pPr>
                    <w:jc w:val="center"/>
                    <w:rPr>
                      <w:b/>
                      <w:bCs/>
                      <w:color w:val="auto"/>
                      <w:kern w:val="21"/>
                      <w:szCs w:val="21"/>
                      <w:highlight w:val="none"/>
                    </w:rPr>
                  </w:pPr>
                  <w:r>
                    <w:rPr>
                      <w:rFonts w:hint="eastAsia"/>
                      <w:color w:val="auto"/>
                      <w:kern w:val="21"/>
                      <w:szCs w:val="21"/>
                      <w:highlight w:val="none"/>
                    </w:rPr>
                    <w:t>CODcr</w:t>
                  </w:r>
                </w:p>
              </w:tc>
              <w:tc>
                <w:tcPr>
                  <w:tcW w:w="1289" w:type="dxa"/>
                  <w:tcBorders>
                    <w:tl2br w:val="nil"/>
                    <w:tr2bl w:val="nil"/>
                  </w:tcBorders>
                  <w:noWrap w:val="0"/>
                  <w:vAlign w:val="center"/>
                </w:tcPr>
                <w:p w14:paraId="4BCF042B">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0.012</w:t>
                  </w:r>
                </w:p>
              </w:tc>
              <w:tc>
                <w:tcPr>
                  <w:tcW w:w="1220" w:type="dxa"/>
                  <w:tcBorders>
                    <w:tl2br w:val="nil"/>
                    <w:tr2bl w:val="nil"/>
                  </w:tcBorders>
                  <w:noWrap w:val="0"/>
                  <w:vAlign w:val="center"/>
                </w:tcPr>
                <w:p w14:paraId="58D1B9D2">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0.075</w:t>
                  </w:r>
                </w:p>
              </w:tc>
              <w:tc>
                <w:tcPr>
                  <w:tcW w:w="1309" w:type="dxa"/>
                  <w:tcBorders>
                    <w:tl2br w:val="nil"/>
                    <w:tr2bl w:val="nil"/>
                  </w:tcBorders>
                  <w:noWrap w:val="0"/>
                  <w:vAlign w:val="center"/>
                </w:tcPr>
                <w:p w14:paraId="08BF5FB9">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w:t>
                  </w:r>
                </w:p>
              </w:tc>
              <w:tc>
                <w:tcPr>
                  <w:tcW w:w="1286" w:type="dxa"/>
                  <w:tcBorders>
                    <w:tl2br w:val="nil"/>
                    <w:tr2bl w:val="nil"/>
                  </w:tcBorders>
                  <w:shd w:val="clear" w:color="auto" w:fill="auto"/>
                  <w:noWrap w:val="0"/>
                  <w:vAlign w:val="center"/>
                </w:tcPr>
                <w:p w14:paraId="36EA0174">
                  <w:pPr>
                    <w:jc w:val="center"/>
                    <w:rPr>
                      <w:rFonts w:hint="default" w:ascii="Times New Roman" w:hAnsi="Times New Roman" w:eastAsia="宋体" w:cs="Times New Roman"/>
                      <w:b/>
                      <w:bCs/>
                      <w:color w:val="auto"/>
                      <w:kern w:val="21"/>
                      <w:sz w:val="21"/>
                      <w:szCs w:val="21"/>
                      <w:highlight w:val="none"/>
                      <w:lang w:val="en-US" w:eastAsia="zh-CN" w:bidi="ar-SA"/>
                    </w:rPr>
                  </w:pPr>
                  <w:r>
                    <w:rPr>
                      <w:rFonts w:hint="eastAsia" w:eastAsia="宋体"/>
                      <w:b/>
                      <w:bCs/>
                      <w:color w:val="auto"/>
                      <w:kern w:val="21"/>
                      <w:szCs w:val="21"/>
                      <w:highlight w:val="none"/>
                      <w:lang w:val="en-US" w:eastAsia="zh-CN"/>
                    </w:rPr>
                    <w:t>+0.063</w:t>
                  </w:r>
                </w:p>
              </w:tc>
              <w:tc>
                <w:tcPr>
                  <w:tcW w:w="1286" w:type="dxa"/>
                  <w:tcBorders>
                    <w:tl2br w:val="nil"/>
                    <w:tr2bl w:val="nil"/>
                  </w:tcBorders>
                  <w:shd w:val="clear" w:color="auto" w:fill="auto"/>
                  <w:noWrap w:val="0"/>
                  <w:vAlign w:val="center"/>
                </w:tcPr>
                <w:p w14:paraId="54C67599">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0.075</w:t>
                  </w:r>
                </w:p>
              </w:tc>
            </w:tr>
            <w:tr w14:paraId="5D475F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140" w:type="dxa"/>
                  <w:tcBorders>
                    <w:tl2br w:val="nil"/>
                    <w:tr2bl w:val="nil"/>
                  </w:tcBorders>
                  <w:noWrap w:val="0"/>
                  <w:vAlign w:val="center"/>
                </w:tcPr>
                <w:p w14:paraId="52888895">
                  <w:pPr>
                    <w:jc w:val="center"/>
                    <w:rPr>
                      <w:rFonts w:hint="default" w:eastAsia="宋体"/>
                      <w:b/>
                      <w:bCs/>
                      <w:color w:val="auto"/>
                      <w:kern w:val="21"/>
                      <w:szCs w:val="21"/>
                      <w:highlight w:val="none"/>
                      <w:lang w:val="en-US" w:eastAsia="zh-CN"/>
                    </w:rPr>
                  </w:pPr>
                  <w:r>
                    <w:rPr>
                      <w:color w:val="auto"/>
                      <w:kern w:val="21"/>
                      <w:szCs w:val="21"/>
                      <w:highlight w:val="none"/>
                    </w:rPr>
                    <w:t>NH</w:t>
                  </w:r>
                  <w:r>
                    <w:rPr>
                      <w:color w:val="auto"/>
                      <w:kern w:val="21"/>
                      <w:szCs w:val="21"/>
                      <w:highlight w:val="none"/>
                      <w:vertAlign w:val="subscript"/>
                    </w:rPr>
                    <w:t>3</w:t>
                  </w:r>
                  <w:r>
                    <w:rPr>
                      <w:color w:val="auto"/>
                      <w:kern w:val="21"/>
                      <w:szCs w:val="21"/>
                      <w:highlight w:val="none"/>
                    </w:rPr>
                    <w:t>-N</w:t>
                  </w:r>
                </w:p>
              </w:tc>
              <w:tc>
                <w:tcPr>
                  <w:tcW w:w="1289" w:type="dxa"/>
                  <w:tcBorders>
                    <w:tl2br w:val="nil"/>
                    <w:tr2bl w:val="nil"/>
                  </w:tcBorders>
                  <w:noWrap w:val="0"/>
                  <w:vAlign w:val="center"/>
                </w:tcPr>
                <w:p w14:paraId="3D081D55">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0.001</w:t>
                  </w:r>
                </w:p>
              </w:tc>
              <w:tc>
                <w:tcPr>
                  <w:tcW w:w="1220" w:type="dxa"/>
                  <w:tcBorders>
                    <w:tl2br w:val="nil"/>
                    <w:tr2bl w:val="nil"/>
                  </w:tcBorders>
                  <w:noWrap w:val="0"/>
                  <w:vAlign w:val="center"/>
                </w:tcPr>
                <w:p w14:paraId="44181293">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0.007</w:t>
                  </w:r>
                </w:p>
              </w:tc>
              <w:tc>
                <w:tcPr>
                  <w:tcW w:w="1309" w:type="dxa"/>
                  <w:tcBorders>
                    <w:tl2br w:val="nil"/>
                    <w:tr2bl w:val="nil"/>
                  </w:tcBorders>
                  <w:noWrap w:val="0"/>
                  <w:vAlign w:val="center"/>
                </w:tcPr>
                <w:p w14:paraId="2E5E5635">
                  <w:pPr>
                    <w:jc w:val="center"/>
                    <w:rPr>
                      <w:rFonts w:hint="default"/>
                      <w:b/>
                      <w:bCs/>
                      <w:color w:val="auto"/>
                      <w:kern w:val="21"/>
                      <w:szCs w:val="21"/>
                      <w:highlight w:val="none"/>
                      <w:lang w:val="en-US" w:eastAsia="zh-CN"/>
                    </w:rPr>
                  </w:pPr>
                  <w:r>
                    <w:rPr>
                      <w:rFonts w:hint="eastAsia"/>
                      <w:b/>
                      <w:bCs/>
                      <w:color w:val="auto"/>
                      <w:kern w:val="21"/>
                      <w:szCs w:val="21"/>
                      <w:highlight w:val="none"/>
                      <w:lang w:val="en-US" w:eastAsia="zh-CN"/>
                    </w:rPr>
                    <w:t>0</w:t>
                  </w:r>
                </w:p>
              </w:tc>
              <w:tc>
                <w:tcPr>
                  <w:tcW w:w="1286" w:type="dxa"/>
                  <w:tcBorders>
                    <w:tl2br w:val="nil"/>
                    <w:tr2bl w:val="nil"/>
                  </w:tcBorders>
                  <w:shd w:val="clear" w:color="auto" w:fill="auto"/>
                  <w:noWrap w:val="0"/>
                  <w:vAlign w:val="center"/>
                </w:tcPr>
                <w:p w14:paraId="32F2636D">
                  <w:pPr>
                    <w:jc w:val="center"/>
                    <w:rPr>
                      <w:rFonts w:hint="default" w:ascii="Times New Roman" w:hAnsi="Times New Roman" w:eastAsia="宋体" w:cs="Times New Roman"/>
                      <w:b/>
                      <w:bCs/>
                      <w:color w:val="auto"/>
                      <w:kern w:val="21"/>
                      <w:sz w:val="21"/>
                      <w:szCs w:val="21"/>
                      <w:highlight w:val="none"/>
                      <w:lang w:val="en-US" w:eastAsia="zh-CN" w:bidi="ar-SA"/>
                    </w:rPr>
                  </w:pPr>
                  <w:r>
                    <w:rPr>
                      <w:rFonts w:hint="eastAsia" w:eastAsia="宋体"/>
                      <w:b/>
                      <w:bCs/>
                      <w:color w:val="auto"/>
                      <w:kern w:val="21"/>
                      <w:szCs w:val="21"/>
                      <w:highlight w:val="none"/>
                      <w:lang w:val="en-US" w:eastAsia="zh-CN"/>
                    </w:rPr>
                    <w:t>+0.006</w:t>
                  </w:r>
                </w:p>
              </w:tc>
              <w:tc>
                <w:tcPr>
                  <w:tcW w:w="1286" w:type="dxa"/>
                  <w:tcBorders>
                    <w:tl2br w:val="nil"/>
                    <w:tr2bl w:val="nil"/>
                  </w:tcBorders>
                  <w:shd w:val="clear" w:color="auto" w:fill="auto"/>
                  <w:noWrap w:val="0"/>
                  <w:vAlign w:val="center"/>
                </w:tcPr>
                <w:p w14:paraId="06E62DFA">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0.007</w:t>
                  </w:r>
                </w:p>
              </w:tc>
            </w:tr>
          </w:tbl>
          <w:p w14:paraId="5DBECB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0"/>
                <w:highlight w:val="yellow"/>
                <w:lang w:val="en-US" w:eastAsia="zh-CN" w:bidi="ar-SA"/>
              </w:rPr>
            </w:pPr>
            <w:r>
              <w:rPr>
                <w:rFonts w:hint="eastAsia"/>
                <w:b w:val="0"/>
                <w:bCs w:val="0"/>
                <w:color w:val="auto"/>
                <w:kern w:val="21"/>
                <w:sz w:val="24"/>
                <w:szCs w:val="24"/>
                <w:highlight w:val="none"/>
                <w:lang w:val="en-US" w:eastAsia="zh-CN"/>
              </w:rPr>
              <w:t>本项目</w:t>
            </w:r>
            <w:r>
              <w:rPr>
                <w:rFonts w:hint="eastAsia"/>
                <w:b w:val="0"/>
                <w:bCs w:val="0"/>
                <w:color w:val="auto"/>
                <w:sz w:val="24"/>
                <w:szCs w:val="24"/>
                <w:highlight w:val="none"/>
                <w:lang w:val="en-US" w:eastAsia="zh-CN"/>
              </w:rPr>
              <w:t>需新增废水总量控制指标：COD</w:t>
            </w:r>
            <w:r>
              <w:rPr>
                <w:rFonts w:hint="eastAsia"/>
                <w:b w:val="0"/>
                <w:bCs w:val="0"/>
                <w:color w:val="auto"/>
                <w:sz w:val="24"/>
                <w:szCs w:val="24"/>
                <w:highlight w:val="none"/>
                <w:vertAlign w:val="subscript"/>
                <w:lang w:val="en-US" w:eastAsia="zh-CN"/>
              </w:rPr>
              <w:t>Cr</w:t>
            </w:r>
            <w:r>
              <w:rPr>
                <w:rFonts w:hint="eastAsia"/>
                <w:b w:val="0"/>
                <w:bCs w:val="0"/>
                <w:color w:val="auto"/>
                <w:kern w:val="21"/>
                <w:sz w:val="24"/>
                <w:szCs w:val="24"/>
                <w:highlight w:val="none"/>
                <w:lang w:val="en-US" w:eastAsia="zh-CN"/>
              </w:rPr>
              <w:t>0.075</w:t>
            </w:r>
            <w:r>
              <w:rPr>
                <w:b w:val="0"/>
                <w:bCs w:val="0"/>
                <w:color w:val="auto"/>
                <w:kern w:val="21"/>
                <w:sz w:val="24"/>
                <w:szCs w:val="24"/>
                <w:highlight w:val="none"/>
              </w:rPr>
              <w:t>t/a</w:t>
            </w:r>
            <w:r>
              <w:rPr>
                <w:rFonts w:hint="eastAsia"/>
                <w:b w:val="0"/>
                <w:bCs w:val="0"/>
                <w:color w:val="auto"/>
                <w:sz w:val="24"/>
                <w:szCs w:val="24"/>
                <w:highlight w:val="none"/>
                <w:lang w:val="en-US" w:eastAsia="zh-CN"/>
              </w:rPr>
              <w:t>、NH</w:t>
            </w:r>
            <w:r>
              <w:rPr>
                <w:rFonts w:hint="eastAsia"/>
                <w:b w:val="0"/>
                <w:bCs w:val="0"/>
                <w:color w:val="auto"/>
                <w:sz w:val="24"/>
                <w:szCs w:val="24"/>
                <w:highlight w:val="none"/>
                <w:vertAlign w:val="subscript"/>
                <w:lang w:val="en-US" w:eastAsia="zh-CN"/>
              </w:rPr>
              <w:t>3</w:t>
            </w:r>
            <w:r>
              <w:rPr>
                <w:rFonts w:hint="eastAsia"/>
                <w:b w:val="0"/>
                <w:bCs w:val="0"/>
                <w:color w:val="auto"/>
                <w:sz w:val="24"/>
                <w:szCs w:val="24"/>
                <w:highlight w:val="none"/>
                <w:lang w:val="en-US" w:eastAsia="zh-CN"/>
              </w:rPr>
              <w:t>-N</w:t>
            </w:r>
            <w:r>
              <w:rPr>
                <w:rFonts w:hint="eastAsia"/>
                <w:b w:val="0"/>
                <w:bCs w:val="0"/>
                <w:color w:val="auto"/>
                <w:kern w:val="21"/>
                <w:sz w:val="24"/>
                <w:szCs w:val="24"/>
                <w:highlight w:val="none"/>
                <w:lang w:val="en-US" w:eastAsia="zh-CN"/>
              </w:rPr>
              <w:t>0.007</w:t>
            </w:r>
            <w:r>
              <w:rPr>
                <w:b w:val="0"/>
                <w:bCs w:val="0"/>
                <w:color w:val="auto"/>
                <w:kern w:val="21"/>
                <w:sz w:val="24"/>
                <w:szCs w:val="24"/>
                <w:highlight w:val="none"/>
              </w:rPr>
              <w:t>t/a</w:t>
            </w:r>
            <w:r>
              <w:rPr>
                <w:rFonts w:hint="eastAsia"/>
                <w:color w:val="auto"/>
                <w:sz w:val="24"/>
                <w:highlight w:val="none"/>
                <w:lang w:val="en-US" w:eastAsia="zh-CN"/>
              </w:rPr>
              <w:t>。</w:t>
            </w:r>
          </w:p>
          <w:p w14:paraId="740CFC32">
            <w:pPr>
              <w:pStyle w:val="20"/>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废气：</w:t>
            </w:r>
          </w:p>
          <w:p w14:paraId="1DB1681E">
            <w:pPr>
              <w:pStyle w:val="20"/>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本次技改</w:t>
            </w:r>
            <w:r>
              <w:rPr>
                <w:rFonts w:hint="eastAsia" w:eastAsia="宋体"/>
                <w:color w:val="auto"/>
                <w:sz w:val="24"/>
                <w:highlight w:val="none"/>
                <w:lang w:val="en-US" w:eastAsia="zh-CN"/>
              </w:rPr>
              <w:t>原料新增加</w:t>
            </w:r>
            <w:r>
              <w:rPr>
                <w:rFonts w:hint="eastAsia" w:ascii="宋体" w:hAnsi="宋体" w:eastAsia="宋体" w:cs="宋体"/>
                <w:color w:val="auto"/>
                <w:sz w:val="24"/>
                <w:szCs w:val="24"/>
                <w:highlight w:val="none"/>
                <w:lang w:val="en-US" w:eastAsia="zh-CN"/>
              </w:rPr>
              <w:t>ABS</w:t>
            </w:r>
            <w:r>
              <w:rPr>
                <w:rFonts w:hint="eastAsia" w:eastAsia="宋体"/>
                <w:color w:val="auto"/>
                <w:sz w:val="24"/>
                <w:highlight w:val="none"/>
                <w:lang w:val="en-US" w:eastAsia="zh-CN"/>
              </w:rPr>
              <w:t>材料种类，熔融挤出造粒产生的有机废气经集气管道送至废气处理设施（水浴除尘+高效静电+UV光解+活性炭吸附装置）处理后通过一根15米高排气筒排放；</w:t>
            </w:r>
            <w:r>
              <w:rPr>
                <w:rFonts w:hint="default"/>
                <w:color w:val="auto"/>
                <w:sz w:val="24"/>
                <w:szCs w:val="24"/>
                <w:highlight w:val="none"/>
                <w:lang w:val="en-US" w:eastAsia="zh-CN"/>
              </w:rPr>
              <w:t>本项目 TVOC 排放量为</w:t>
            </w:r>
            <w:r>
              <w:rPr>
                <w:rFonts w:hint="eastAsia"/>
                <w:color w:val="auto"/>
                <w:sz w:val="24"/>
                <w:szCs w:val="24"/>
                <w:highlight w:val="none"/>
                <w:lang w:val="en-US" w:eastAsia="zh-CN"/>
              </w:rPr>
              <w:t>1.143</w:t>
            </w:r>
            <w:r>
              <w:rPr>
                <w:rFonts w:hint="default"/>
                <w:color w:val="auto"/>
                <w:sz w:val="24"/>
                <w:szCs w:val="24"/>
                <w:highlight w:val="none"/>
                <w:lang w:val="en-US" w:eastAsia="zh-CN"/>
              </w:rPr>
              <w:t>t/a。</w:t>
            </w:r>
            <w:r>
              <w:rPr>
                <w:rFonts w:hint="eastAsia"/>
                <w:color w:val="auto"/>
                <w:sz w:val="24"/>
                <w:szCs w:val="24"/>
                <w:highlight w:val="none"/>
                <w:lang w:val="en-US" w:eastAsia="zh-CN"/>
              </w:rPr>
              <w:t>现有</w:t>
            </w:r>
            <w:r>
              <w:rPr>
                <w:rFonts w:hint="default"/>
                <w:color w:val="auto"/>
                <w:sz w:val="24"/>
                <w:szCs w:val="24"/>
                <w:highlight w:val="none"/>
                <w:lang w:val="en-US" w:eastAsia="zh-CN"/>
              </w:rPr>
              <w:t xml:space="preserve">TVOC </w:t>
            </w:r>
            <w:r>
              <w:rPr>
                <w:rFonts w:hint="eastAsia"/>
                <w:color w:val="auto"/>
                <w:sz w:val="24"/>
                <w:szCs w:val="24"/>
                <w:highlight w:val="none"/>
                <w:lang w:val="en-US" w:eastAsia="zh-CN"/>
              </w:rPr>
              <w:t>排放量为</w:t>
            </w:r>
            <w:r>
              <w:rPr>
                <w:rFonts w:hint="default"/>
                <w:color w:val="auto"/>
                <w:sz w:val="24"/>
                <w:szCs w:val="24"/>
                <w:highlight w:val="none"/>
                <w:lang w:val="en-US" w:eastAsia="zh-CN"/>
              </w:rPr>
              <w:t>：</w:t>
            </w:r>
            <w:r>
              <w:rPr>
                <w:rFonts w:hint="eastAsia"/>
                <w:color w:val="auto"/>
                <w:sz w:val="24"/>
                <w:szCs w:val="24"/>
                <w:highlight w:val="none"/>
                <w:lang w:val="en-US" w:eastAsia="zh-CN"/>
              </w:rPr>
              <w:t>0.742</w:t>
            </w:r>
            <w:r>
              <w:rPr>
                <w:rFonts w:hint="default"/>
                <w:color w:val="auto"/>
                <w:sz w:val="24"/>
                <w:szCs w:val="24"/>
                <w:highlight w:val="none"/>
                <w:lang w:val="en-US" w:eastAsia="zh-CN"/>
              </w:rPr>
              <w:t>t/a。因此本次技改增加 TVOC 排放量</w:t>
            </w:r>
            <w:r>
              <w:rPr>
                <w:rFonts w:hint="eastAsia"/>
                <w:color w:val="auto"/>
                <w:sz w:val="24"/>
                <w:szCs w:val="24"/>
                <w:highlight w:val="none"/>
                <w:lang w:val="en-US" w:eastAsia="zh-CN"/>
              </w:rPr>
              <w:t>为0.401</w:t>
            </w:r>
            <w:r>
              <w:rPr>
                <w:rFonts w:hint="default"/>
                <w:color w:val="auto"/>
                <w:sz w:val="24"/>
                <w:szCs w:val="24"/>
                <w:highlight w:val="none"/>
                <w:lang w:val="en-US" w:eastAsia="zh-CN"/>
              </w:rPr>
              <w:t>t/a。</w:t>
            </w:r>
          </w:p>
          <w:p w14:paraId="54AC842B">
            <w:pPr>
              <w:pStyle w:val="20"/>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本项目建成后全厂总量控制指标详见下表</w:t>
            </w:r>
          </w:p>
          <w:p w14:paraId="6BC77F6A">
            <w:pPr>
              <w:jc w:val="center"/>
              <w:rPr>
                <w:b/>
                <w:bCs/>
                <w:color w:val="auto"/>
                <w:kern w:val="21"/>
                <w:sz w:val="21"/>
                <w:szCs w:val="21"/>
                <w:highlight w:val="none"/>
              </w:rPr>
            </w:pPr>
            <w:r>
              <w:rPr>
                <w:rFonts w:hint="eastAsia"/>
                <w:b/>
                <w:bCs/>
                <w:color w:val="auto"/>
                <w:kern w:val="21"/>
                <w:sz w:val="21"/>
                <w:szCs w:val="21"/>
                <w:highlight w:val="none"/>
              </w:rPr>
              <w:t>表 3-</w:t>
            </w:r>
            <w:r>
              <w:rPr>
                <w:rFonts w:hint="eastAsia" w:eastAsia="宋体"/>
                <w:b/>
                <w:bCs/>
                <w:color w:val="auto"/>
                <w:kern w:val="21"/>
                <w:sz w:val="21"/>
                <w:szCs w:val="21"/>
                <w:highlight w:val="none"/>
                <w:lang w:val="en-US" w:eastAsia="zh-CN"/>
              </w:rPr>
              <w:t xml:space="preserve">8  </w:t>
            </w:r>
            <w:r>
              <w:rPr>
                <w:rFonts w:hint="eastAsia"/>
                <w:b/>
                <w:bCs/>
                <w:color w:val="auto"/>
                <w:kern w:val="21"/>
                <w:sz w:val="21"/>
                <w:szCs w:val="21"/>
                <w:highlight w:val="none"/>
                <w:lang w:val="en-US" w:eastAsia="zh-CN"/>
              </w:rPr>
              <w:t>项目技改</w:t>
            </w:r>
            <w:r>
              <w:rPr>
                <w:rFonts w:hint="eastAsia"/>
                <w:b/>
                <w:bCs/>
                <w:color w:val="auto"/>
                <w:kern w:val="21"/>
                <w:sz w:val="21"/>
                <w:szCs w:val="21"/>
                <w:highlight w:val="none"/>
              </w:rPr>
              <w:t>前后气总量控制指标及排放量统计表 单位：t/a</w:t>
            </w:r>
          </w:p>
          <w:tbl>
            <w:tblPr>
              <w:tblStyle w:val="21"/>
              <w:tblW w:w="7530"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0"/>
              <w:gridCol w:w="1289"/>
              <w:gridCol w:w="1220"/>
              <w:gridCol w:w="1309"/>
              <w:gridCol w:w="1286"/>
              <w:gridCol w:w="1286"/>
            </w:tblGrid>
            <w:tr w14:paraId="0984EA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140" w:type="dxa"/>
                  <w:tcBorders>
                    <w:tl2br w:val="nil"/>
                    <w:tr2bl w:val="nil"/>
                  </w:tcBorders>
                  <w:noWrap w:val="0"/>
                  <w:vAlign w:val="center"/>
                </w:tcPr>
                <w:p w14:paraId="32094819">
                  <w:pPr>
                    <w:jc w:val="center"/>
                    <w:rPr>
                      <w:rFonts w:hint="eastAsia"/>
                      <w:b/>
                      <w:bCs/>
                      <w:color w:val="auto"/>
                      <w:kern w:val="21"/>
                      <w:szCs w:val="21"/>
                      <w:highlight w:val="none"/>
                    </w:rPr>
                  </w:pPr>
                  <w:r>
                    <w:rPr>
                      <w:b/>
                      <w:bCs/>
                      <w:color w:val="auto"/>
                      <w:kern w:val="21"/>
                      <w:szCs w:val="21"/>
                      <w:highlight w:val="none"/>
                    </w:rPr>
                    <w:t>总量控制因子</w:t>
                  </w:r>
                </w:p>
              </w:tc>
              <w:tc>
                <w:tcPr>
                  <w:tcW w:w="1289" w:type="dxa"/>
                  <w:tcBorders>
                    <w:tl2br w:val="nil"/>
                    <w:tr2bl w:val="nil"/>
                  </w:tcBorders>
                  <w:noWrap w:val="0"/>
                  <w:vAlign w:val="center"/>
                </w:tcPr>
                <w:p w14:paraId="72DBFAAA">
                  <w:pPr>
                    <w:jc w:val="center"/>
                    <w:rPr>
                      <w:rFonts w:hint="eastAsia" w:eastAsia="宋体"/>
                      <w:b/>
                      <w:bCs/>
                      <w:color w:val="auto"/>
                      <w:kern w:val="21"/>
                      <w:szCs w:val="21"/>
                      <w:highlight w:val="none"/>
                      <w:lang w:val="en-US" w:eastAsia="zh-CN"/>
                    </w:rPr>
                  </w:pPr>
                  <w:r>
                    <w:rPr>
                      <w:rFonts w:hint="eastAsia"/>
                      <w:b/>
                      <w:bCs/>
                      <w:color w:val="auto"/>
                      <w:kern w:val="21"/>
                      <w:szCs w:val="21"/>
                      <w:highlight w:val="none"/>
                      <w:lang w:val="en-US" w:eastAsia="zh-CN"/>
                    </w:rPr>
                    <w:t>技改前排放量</w:t>
                  </w:r>
                </w:p>
              </w:tc>
              <w:tc>
                <w:tcPr>
                  <w:tcW w:w="1220" w:type="dxa"/>
                  <w:tcBorders>
                    <w:tl2br w:val="nil"/>
                    <w:tr2bl w:val="nil"/>
                  </w:tcBorders>
                  <w:noWrap w:val="0"/>
                  <w:vAlign w:val="center"/>
                </w:tcPr>
                <w:p w14:paraId="19527471">
                  <w:pPr>
                    <w:jc w:val="center"/>
                    <w:rPr>
                      <w:rFonts w:hint="eastAsia" w:eastAsia="宋体"/>
                      <w:b/>
                      <w:bCs/>
                      <w:color w:val="auto"/>
                      <w:kern w:val="21"/>
                      <w:szCs w:val="21"/>
                      <w:highlight w:val="none"/>
                      <w:lang w:val="en-US" w:eastAsia="zh-CN"/>
                    </w:rPr>
                  </w:pPr>
                  <w:r>
                    <w:rPr>
                      <w:rFonts w:hint="eastAsia"/>
                      <w:b/>
                      <w:bCs/>
                      <w:color w:val="auto"/>
                      <w:kern w:val="21"/>
                      <w:szCs w:val="21"/>
                      <w:highlight w:val="none"/>
                      <w:lang w:val="en-US" w:eastAsia="zh-CN"/>
                    </w:rPr>
                    <w:t>技改</w:t>
                  </w:r>
                  <w:r>
                    <w:rPr>
                      <w:rFonts w:hint="eastAsia"/>
                      <w:b/>
                      <w:bCs/>
                      <w:color w:val="auto"/>
                      <w:kern w:val="21"/>
                      <w:szCs w:val="21"/>
                      <w:highlight w:val="none"/>
                    </w:rPr>
                    <w:t>后</w:t>
                  </w:r>
                  <w:r>
                    <w:rPr>
                      <w:rFonts w:hint="eastAsia"/>
                      <w:b/>
                      <w:bCs/>
                      <w:color w:val="auto"/>
                      <w:kern w:val="21"/>
                      <w:szCs w:val="21"/>
                      <w:highlight w:val="none"/>
                      <w:lang w:val="en-US" w:eastAsia="zh-CN"/>
                    </w:rPr>
                    <w:t>排放量</w:t>
                  </w:r>
                </w:p>
              </w:tc>
              <w:tc>
                <w:tcPr>
                  <w:tcW w:w="1309" w:type="dxa"/>
                  <w:tcBorders>
                    <w:tl2br w:val="nil"/>
                    <w:tr2bl w:val="nil"/>
                  </w:tcBorders>
                  <w:noWrap w:val="0"/>
                  <w:vAlign w:val="center"/>
                </w:tcPr>
                <w:p w14:paraId="3BED0061">
                  <w:pPr>
                    <w:jc w:val="center"/>
                    <w:rPr>
                      <w:rFonts w:hint="eastAsia"/>
                      <w:b/>
                      <w:bCs/>
                      <w:color w:val="auto"/>
                      <w:kern w:val="21"/>
                      <w:szCs w:val="21"/>
                      <w:highlight w:val="none"/>
                    </w:rPr>
                  </w:pPr>
                  <w:r>
                    <w:rPr>
                      <w:rFonts w:hint="eastAsia"/>
                      <w:b/>
                      <w:bCs/>
                      <w:color w:val="auto"/>
                      <w:kern w:val="21"/>
                      <w:szCs w:val="21"/>
                      <w:highlight w:val="none"/>
                      <w:lang w:val="en-US" w:eastAsia="zh-CN"/>
                    </w:rPr>
                    <w:t>已申请</w:t>
                  </w:r>
                  <w:r>
                    <w:rPr>
                      <w:rFonts w:hint="eastAsia"/>
                      <w:b/>
                      <w:bCs/>
                      <w:color w:val="auto"/>
                      <w:kern w:val="21"/>
                      <w:szCs w:val="21"/>
                      <w:highlight w:val="none"/>
                    </w:rPr>
                    <w:t>总量控制指标</w:t>
                  </w:r>
                </w:p>
              </w:tc>
              <w:tc>
                <w:tcPr>
                  <w:tcW w:w="1286" w:type="dxa"/>
                  <w:tcBorders>
                    <w:tl2br w:val="nil"/>
                    <w:tr2bl w:val="nil"/>
                  </w:tcBorders>
                  <w:noWrap w:val="0"/>
                  <w:vAlign w:val="center"/>
                </w:tcPr>
                <w:p w14:paraId="725BC34C">
                  <w:pPr>
                    <w:jc w:val="center"/>
                    <w:rPr>
                      <w:rFonts w:hint="eastAsia" w:eastAsia="宋体"/>
                      <w:b/>
                      <w:bCs/>
                      <w:color w:val="auto"/>
                      <w:kern w:val="21"/>
                      <w:szCs w:val="21"/>
                      <w:highlight w:val="none"/>
                      <w:lang w:val="en-US" w:eastAsia="zh-CN"/>
                    </w:rPr>
                  </w:pPr>
                  <w:r>
                    <w:rPr>
                      <w:b/>
                      <w:bCs/>
                      <w:color w:val="auto"/>
                      <w:kern w:val="21"/>
                      <w:szCs w:val="21"/>
                      <w:highlight w:val="none"/>
                    </w:rPr>
                    <w:t>总量控制指标</w:t>
                  </w:r>
                  <w:r>
                    <w:rPr>
                      <w:rFonts w:hint="eastAsia"/>
                      <w:b/>
                      <w:bCs/>
                      <w:color w:val="auto"/>
                      <w:kern w:val="21"/>
                      <w:szCs w:val="21"/>
                      <w:highlight w:val="none"/>
                      <w:lang w:val="en-US" w:eastAsia="zh-CN"/>
                    </w:rPr>
                    <w:t>变化量</w:t>
                  </w:r>
                </w:p>
              </w:tc>
              <w:tc>
                <w:tcPr>
                  <w:tcW w:w="1286" w:type="dxa"/>
                  <w:tcBorders>
                    <w:tl2br w:val="nil"/>
                    <w:tr2bl w:val="nil"/>
                  </w:tcBorders>
                  <w:noWrap w:val="0"/>
                  <w:vAlign w:val="center"/>
                </w:tcPr>
                <w:p w14:paraId="79692961">
                  <w:pPr>
                    <w:jc w:val="center"/>
                    <w:rPr>
                      <w:rFonts w:hint="eastAsia"/>
                      <w:b/>
                      <w:bCs/>
                      <w:color w:val="auto"/>
                      <w:kern w:val="21"/>
                      <w:szCs w:val="21"/>
                      <w:highlight w:val="none"/>
                      <w:lang w:val="en-US" w:eastAsia="zh-CN"/>
                    </w:rPr>
                  </w:pPr>
                  <w:r>
                    <w:rPr>
                      <w:rFonts w:hint="eastAsia"/>
                      <w:b/>
                      <w:bCs/>
                      <w:color w:val="auto"/>
                      <w:kern w:val="21"/>
                      <w:szCs w:val="21"/>
                      <w:highlight w:val="none"/>
                      <w:lang w:val="en-US" w:eastAsia="zh-CN"/>
                    </w:rPr>
                    <w:t>待申请</w:t>
                  </w:r>
                  <w:r>
                    <w:rPr>
                      <w:rFonts w:hint="eastAsia"/>
                      <w:b/>
                      <w:bCs/>
                      <w:color w:val="auto"/>
                      <w:kern w:val="21"/>
                      <w:szCs w:val="21"/>
                      <w:highlight w:val="none"/>
                    </w:rPr>
                    <w:t>总量控制指标</w:t>
                  </w:r>
                </w:p>
              </w:tc>
            </w:tr>
            <w:tr w14:paraId="617BFE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140" w:type="dxa"/>
                  <w:tcBorders>
                    <w:tl2br w:val="nil"/>
                    <w:tr2bl w:val="nil"/>
                  </w:tcBorders>
                  <w:noWrap w:val="0"/>
                  <w:vAlign w:val="center"/>
                </w:tcPr>
                <w:p w14:paraId="7EB480FF">
                  <w:pPr>
                    <w:jc w:val="center"/>
                    <w:rPr>
                      <w:b/>
                      <w:bCs/>
                      <w:color w:val="auto"/>
                      <w:kern w:val="21"/>
                      <w:szCs w:val="21"/>
                      <w:highlight w:val="none"/>
                    </w:rPr>
                  </w:pPr>
                  <w:r>
                    <w:rPr>
                      <w:rFonts w:hint="eastAsia"/>
                      <w:b/>
                      <w:bCs/>
                      <w:color w:val="auto"/>
                      <w:kern w:val="21"/>
                      <w:szCs w:val="21"/>
                      <w:highlight w:val="none"/>
                    </w:rPr>
                    <w:t>VOCs</w:t>
                  </w:r>
                </w:p>
              </w:tc>
              <w:tc>
                <w:tcPr>
                  <w:tcW w:w="1289" w:type="dxa"/>
                  <w:tcBorders>
                    <w:tl2br w:val="nil"/>
                    <w:tr2bl w:val="nil"/>
                  </w:tcBorders>
                  <w:noWrap w:val="0"/>
                  <w:vAlign w:val="center"/>
                </w:tcPr>
                <w:p w14:paraId="6E9BF1F5">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0.742</w:t>
                  </w:r>
                </w:p>
              </w:tc>
              <w:tc>
                <w:tcPr>
                  <w:tcW w:w="1220" w:type="dxa"/>
                  <w:tcBorders>
                    <w:tl2br w:val="nil"/>
                    <w:tr2bl w:val="nil"/>
                  </w:tcBorders>
                  <w:noWrap w:val="0"/>
                  <w:vAlign w:val="center"/>
                </w:tcPr>
                <w:p w14:paraId="7887683C">
                  <w:pPr>
                    <w:jc w:val="center"/>
                    <w:rPr>
                      <w:rFonts w:hint="default" w:eastAsia="宋体"/>
                      <w:b/>
                      <w:bCs/>
                      <w:color w:val="auto"/>
                      <w:kern w:val="21"/>
                      <w:szCs w:val="21"/>
                      <w:highlight w:val="none"/>
                      <w:lang w:val="en-US" w:eastAsia="zh-CN"/>
                    </w:rPr>
                  </w:pPr>
                  <w:r>
                    <w:rPr>
                      <w:rFonts w:hint="eastAsia" w:ascii="宋体" w:eastAsia="宋体" w:cs="Times New Roman"/>
                      <w:color w:val="auto"/>
                      <w:sz w:val="21"/>
                      <w:szCs w:val="21"/>
                      <w:highlight w:val="none"/>
                      <w:lang w:val="en-US" w:eastAsia="zh-CN"/>
                    </w:rPr>
                    <w:t>1.143</w:t>
                  </w:r>
                </w:p>
              </w:tc>
              <w:tc>
                <w:tcPr>
                  <w:tcW w:w="1309" w:type="dxa"/>
                  <w:tcBorders>
                    <w:tl2br w:val="nil"/>
                    <w:tr2bl w:val="nil"/>
                  </w:tcBorders>
                  <w:noWrap w:val="0"/>
                  <w:vAlign w:val="center"/>
                </w:tcPr>
                <w:p w14:paraId="07C73AAC">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w:t>
                  </w:r>
                </w:p>
              </w:tc>
              <w:tc>
                <w:tcPr>
                  <w:tcW w:w="1286" w:type="dxa"/>
                  <w:tcBorders>
                    <w:tl2br w:val="nil"/>
                    <w:tr2bl w:val="nil"/>
                  </w:tcBorders>
                  <w:shd w:val="clear" w:color="auto" w:fill="auto"/>
                  <w:noWrap w:val="0"/>
                  <w:vAlign w:val="center"/>
                </w:tcPr>
                <w:p w14:paraId="525EA7A0">
                  <w:pPr>
                    <w:jc w:val="center"/>
                    <w:rPr>
                      <w:rFonts w:hint="default" w:ascii="Times New Roman" w:hAnsi="Times New Roman" w:eastAsia="宋体" w:cs="Times New Roman"/>
                      <w:b/>
                      <w:bCs/>
                      <w:color w:val="auto"/>
                      <w:kern w:val="21"/>
                      <w:sz w:val="21"/>
                      <w:szCs w:val="21"/>
                      <w:highlight w:val="none"/>
                      <w:lang w:val="en-US" w:eastAsia="zh-CN" w:bidi="ar-SA"/>
                    </w:rPr>
                  </w:pPr>
                  <w:r>
                    <w:rPr>
                      <w:rFonts w:hint="eastAsia" w:ascii="宋体" w:hAnsi="宋体" w:cs="宋体"/>
                      <w:color w:val="auto"/>
                      <w:spacing w:val="-6"/>
                      <w:sz w:val="21"/>
                      <w:szCs w:val="21"/>
                      <w:highlight w:val="none"/>
                      <w:vertAlign w:val="baseline"/>
                      <w:lang w:val="en-US" w:bidi="zh-CN"/>
                    </w:rPr>
                    <w:t>+0.401</w:t>
                  </w:r>
                </w:p>
              </w:tc>
              <w:tc>
                <w:tcPr>
                  <w:tcW w:w="1286" w:type="dxa"/>
                  <w:tcBorders>
                    <w:tl2br w:val="nil"/>
                    <w:tr2bl w:val="nil"/>
                  </w:tcBorders>
                  <w:shd w:val="clear" w:color="auto" w:fill="auto"/>
                  <w:noWrap w:val="0"/>
                  <w:vAlign w:val="center"/>
                </w:tcPr>
                <w:p w14:paraId="74FDF8D0">
                  <w:pPr>
                    <w:jc w:val="center"/>
                    <w:rPr>
                      <w:rFonts w:hint="default" w:eastAsia="宋体"/>
                      <w:b/>
                      <w:bCs/>
                      <w:color w:val="auto"/>
                      <w:kern w:val="21"/>
                      <w:szCs w:val="21"/>
                      <w:highlight w:val="none"/>
                      <w:lang w:val="en-US" w:eastAsia="zh-CN"/>
                    </w:rPr>
                  </w:pPr>
                  <w:r>
                    <w:rPr>
                      <w:rFonts w:hint="eastAsia" w:ascii="宋体" w:eastAsia="宋体" w:cs="Times New Roman"/>
                      <w:color w:val="auto"/>
                      <w:sz w:val="21"/>
                      <w:szCs w:val="21"/>
                      <w:highlight w:val="none"/>
                      <w:lang w:val="en-US" w:eastAsia="zh-CN"/>
                    </w:rPr>
                    <w:t>1.143</w:t>
                  </w:r>
                </w:p>
              </w:tc>
            </w:tr>
            <w:tr w14:paraId="49FCD4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140" w:type="dxa"/>
                  <w:tcBorders>
                    <w:tl2br w:val="nil"/>
                    <w:tr2bl w:val="nil"/>
                  </w:tcBorders>
                  <w:noWrap w:val="0"/>
                  <w:vAlign w:val="center"/>
                </w:tcPr>
                <w:p w14:paraId="0C29358A">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TSP</w:t>
                  </w:r>
                </w:p>
              </w:tc>
              <w:tc>
                <w:tcPr>
                  <w:tcW w:w="1289" w:type="dxa"/>
                  <w:tcBorders>
                    <w:tl2br w:val="nil"/>
                    <w:tr2bl w:val="nil"/>
                  </w:tcBorders>
                  <w:noWrap w:val="0"/>
                  <w:vAlign w:val="center"/>
                </w:tcPr>
                <w:p w14:paraId="60FA90CB">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0.438</w:t>
                  </w:r>
                </w:p>
              </w:tc>
              <w:tc>
                <w:tcPr>
                  <w:tcW w:w="1220" w:type="dxa"/>
                  <w:tcBorders>
                    <w:tl2br w:val="nil"/>
                    <w:tr2bl w:val="nil"/>
                  </w:tcBorders>
                  <w:noWrap w:val="0"/>
                  <w:vAlign w:val="center"/>
                </w:tcPr>
                <w:p w14:paraId="797B91F9">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0.005</w:t>
                  </w:r>
                </w:p>
              </w:tc>
              <w:tc>
                <w:tcPr>
                  <w:tcW w:w="1309" w:type="dxa"/>
                  <w:tcBorders>
                    <w:tl2br w:val="nil"/>
                    <w:tr2bl w:val="nil"/>
                  </w:tcBorders>
                  <w:noWrap w:val="0"/>
                  <w:vAlign w:val="center"/>
                </w:tcPr>
                <w:p w14:paraId="47B89925">
                  <w:pPr>
                    <w:jc w:val="center"/>
                    <w:rPr>
                      <w:rFonts w:hint="default"/>
                      <w:b/>
                      <w:bCs/>
                      <w:color w:val="auto"/>
                      <w:kern w:val="21"/>
                      <w:szCs w:val="21"/>
                      <w:highlight w:val="none"/>
                      <w:lang w:val="en-US" w:eastAsia="zh-CN"/>
                    </w:rPr>
                  </w:pPr>
                  <w:r>
                    <w:rPr>
                      <w:rFonts w:hint="eastAsia"/>
                      <w:b/>
                      <w:bCs/>
                      <w:color w:val="auto"/>
                      <w:kern w:val="21"/>
                      <w:szCs w:val="21"/>
                      <w:highlight w:val="none"/>
                      <w:lang w:val="en-US" w:eastAsia="zh-CN"/>
                    </w:rPr>
                    <w:t>0</w:t>
                  </w:r>
                </w:p>
              </w:tc>
              <w:tc>
                <w:tcPr>
                  <w:tcW w:w="1286" w:type="dxa"/>
                  <w:tcBorders>
                    <w:tl2br w:val="nil"/>
                    <w:tr2bl w:val="nil"/>
                  </w:tcBorders>
                  <w:shd w:val="clear" w:color="auto" w:fill="auto"/>
                  <w:noWrap w:val="0"/>
                  <w:vAlign w:val="center"/>
                </w:tcPr>
                <w:p w14:paraId="3DF1EB75">
                  <w:pPr>
                    <w:jc w:val="center"/>
                    <w:rPr>
                      <w:rFonts w:hint="eastAsia" w:ascii="Times New Roman" w:hAnsi="Times New Roman" w:eastAsia="宋体" w:cs="Times New Roman"/>
                      <w:b/>
                      <w:bCs/>
                      <w:color w:val="auto"/>
                      <w:kern w:val="21"/>
                      <w:sz w:val="21"/>
                      <w:szCs w:val="21"/>
                      <w:highlight w:val="none"/>
                      <w:lang w:val="en-US" w:eastAsia="zh-CN" w:bidi="ar-SA"/>
                    </w:rPr>
                  </w:pPr>
                  <w:r>
                    <w:rPr>
                      <w:rFonts w:hint="eastAsia" w:ascii="宋体" w:hAnsi="宋体" w:cs="宋体"/>
                      <w:color w:val="auto"/>
                      <w:spacing w:val="-6"/>
                      <w:sz w:val="21"/>
                      <w:szCs w:val="21"/>
                      <w:highlight w:val="none"/>
                      <w:vertAlign w:val="baseline"/>
                      <w:lang w:val="en-US" w:bidi="zh-CN"/>
                    </w:rPr>
                    <w:t>-0.433</w:t>
                  </w:r>
                </w:p>
              </w:tc>
              <w:tc>
                <w:tcPr>
                  <w:tcW w:w="1286" w:type="dxa"/>
                  <w:tcBorders>
                    <w:tl2br w:val="nil"/>
                    <w:tr2bl w:val="nil"/>
                  </w:tcBorders>
                  <w:shd w:val="clear" w:color="auto" w:fill="auto"/>
                  <w:noWrap w:val="0"/>
                  <w:vAlign w:val="center"/>
                </w:tcPr>
                <w:p w14:paraId="7EB3311B">
                  <w:pPr>
                    <w:jc w:val="center"/>
                    <w:rPr>
                      <w:rFonts w:hint="default" w:eastAsia="宋体"/>
                      <w:b/>
                      <w:bCs/>
                      <w:color w:val="auto"/>
                      <w:kern w:val="21"/>
                      <w:szCs w:val="21"/>
                      <w:highlight w:val="none"/>
                      <w:lang w:val="en-US" w:eastAsia="zh-CN"/>
                    </w:rPr>
                  </w:pPr>
                  <w:r>
                    <w:rPr>
                      <w:rFonts w:hint="eastAsia" w:eastAsia="宋体"/>
                      <w:b/>
                      <w:bCs/>
                      <w:color w:val="auto"/>
                      <w:kern w:val="21"/>
                      <w:szCs w:val="21"/>
                      <w:highlight w:val="none"/>
                      <w:lang w:val="en-US" w:eastAsia="zh-CN"/>
                    </w:rPr>
                    <w:t>0.005</w:t>
                  </w:r>
                </w:p>
              </w:tc>
            </w:tr>
          </w:tbl>
          <w:p w14:paraId="727F93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宋体" w:hAnsi="宋体" w:eastAsia="宋体" w:cs="宋体"/>
                <w:b w:val="0"/>
                <w:bCs w:val="0"/>
                <w:color w:val="auto"/>
                <w:spacing w:val="0"/>
                <w:kern w:val="2"/>
                <w:sz w:val="24"/>
                <w:szCs w:val="24"/>
                <w:highlight w:val="none"/>
                <w:lang w:val="en-US" w:eastAsia="zh-CN" w:bidi="ar-SA"/>
              </w:rPr>
              <w:t>依据《九江市排污权储备交易管理办法》（试行）的相关规定，</w:t>
            </w:r>
            <w:r>
              <w:rPr>
                <w:rFonts w:hint="eastAsia" w:ascii="Calibri" w:hAnsi="Calibri" w:eastAsia="宋体" w:cs="Calibri"/>
                <w:b w:val="0"/>
                <w:bCs w:val="0"/>
                <w:color w:val="auto"/>
                <w:spacing w:val="0"/>
                <w:kern w:val="2"/>
                <w:sz w:val="24"/>
                <w:szCs w:val="24"/>
                <w:highlight w:val="none"/>
                <w:lang w:val="en-US" w:eastAsia="zh-CN" w:bidi="ar-SA"/>
              </w:rPr>
              <w:t>对颗粒物、二氧化硫、氮氧化物、化学需氧量、挥发性有机物的单项新增年排放量小于0.1吨，氨氮小于0.01吨的</w:t>
            </w:r>
            <w:r>
              <w:rPr>
                <w:rFonts w:hint="eastAsia" w:ascii="宋体" w:hAnsi="宋体" w:eastAsia="宋体" w:cs="宋体"/>
                <w:b w:val="0"/>
                <w:bCs w:val="0"/>
                <w:color w:val="auto"/>
                <w:spacing w:val="0"/>
                <w:kern w:val="2"/>
                <w:sz w:val="24"/>
                <w:szCs w:val="24"/>
                <w:highlight w:val="none"/>
                <w:lang w:val="en-US" w:eastAsia="zh-CN" w:bidi="ar-SA"/>
              </w:rPr>
              <w:t>建设项目</w:t>
            </w:r>
            <w:r>
              <w:rPr>
                <w:rFonts w:hint="eastAsia" w:ascii="宋体" w:hAnsi="宋体" w:eastAsia="宋体" w:cs="宋体"/>
                <w:b w:val="0"/>
                <w:bCs w:val="0"/>
                <w:color w:val="auto"/>
                <w:spacing w:val="0"/>
                <w:kern w:val="2"/>
                <w:sz w:val="24"/>
                <w:szCs w:val="24"/>
                <w:highlight w:val="none"/>
                <w:u w:val="none"/>
                <w:lang w:val="en-US" w:eastAsia="zh-CN" w:bidi="ar-SA"/>
              </w:rPr>
              <w:t>豁免交易</w:t>
            </w:r>
            <w:r>
              <w:rPr>
                <w:rFonts w:hint="eastAsia" w:ascii="宋体" w:hAnsi="宋体" w:eastAsia="宋体" w:cs="宋体"/>
                <w:b w:val="0"/>
                <w:bCs w:val="0"/>
                <w:color w:val="auto"/>
                <w:spacing w:val="0"/>
                <w:kern w:val="2"/>
                <w:sz w:val="24"/>
                <w:szCs w:val="24"/>
                <w:highlight w:val="none"/>
                <w:lang w:val="en-US" w:eastAsia="zh-CN" w:bidi="ar-SA"/>
              </w:rPr>
              <w:t>。则</w:t>
            </w:r>
            <w:r>
              <w:rPr>
                <w:rFonts w:hint="eastAsia"/>
                <w:color w:val="auto"/>
                <w:sz w:val="24"/>
                <w:szCs w:val="24"/>
                <w:highlight w:val="none"/>
              </w:rPr>
              <w:t>本项目需</w:t>
            </w:r>
            <w:r>
              <w:rPr>
                <w:rFonts w:hint="eastAsia"/>
                <w:b w:val="0"/>
                <w:bCs w:val="0"/>
                <w:color w:val="auto"/>
                <w:sz w:val="24"/>
                <w:szCs w:val="24"/>
                <w:highlight w:val="none"/>
                <w:lang w:val="en-US" w:eastAsia="zh-CN"/>
              </w:rPr>
              <w:t>新增废气总量控制指标</w:t>
            </w:r>
            <w:r>
              <w:rPr>
                <w:rFonts w:hint="eastAsia"/>
                <w:color w:val="auto"/>
                <w:sz w:val="24"/>
                <w:szCs w:val="24"/>
                <w:highlight w:val="none"/>
              </w:rPr>
              <w:t>：</w:t>
            </w:r>
            <w:r>
              <w:rPr>
                <w:rFonts w:hint="eastAsia"/>
                <w:b w:val="0"/>
                <w:bCs w:val="0"/>
                <w:color w:val="auto"/>
                <w:sz w:val="24"/>
                <w:szCs w:val="24"/>
                <w:highlight w:val="none"/>
                <w:lang w:val="en-US" w:eastAsia="zh-CN"/>
              </w:rPr>
              <w:t>VOCs</w:t>
            </w:r>
            <w:r>
              <w:rPr>
                <w:rFonts w:hint="eastAsia"/>
                <w:b w:val="0"/>
                <w:bCs w:val="0"/>
                <w:color w:val="auto"/>
                <w:kern w:val="21"/>
                <w:sz w:val="24"/>
                <w:szCs w:val="24"/>
                <w:highlight w:val="none"/>
                <w:lang w:val="en-US" w:eastAsia="zh-CN"/>
              </w:rPr>
              <w:t>1.143</w:t>
            </w:r>
            <w:r>
              <w:rPr>
                <w:b w:val="0"/>
                <w:bCs w:val="0"/>
                <w:color w:val="auto"/>
                <w:kern w:val="21"/>
                <w:sz w:val="24"/>
                <w:szCs w:val="24"/>
                <w:highlight w:val="none"/>
              </w:rPr>
              <w:t>t/a</w:t>
            </w:r>
            <w:r>
              <w:rPr>
                <w:rFonts w:hint="eastAsia" w:ascii="宋体" w:hAnsi="Times New Roman" w:eastAsia="宋体" w:cs="宋体"/>
                <w:color w:val="auto"/>
                <w:kern w:val="2"/>
                <w:sz w:val="24"/>
                <w:szCs w:val="24"/>
                <w:highlight w:val="none"/>
                <w:lang w:val="en-US" w:eastAsia="zh-CN" w:bidi="ar-SA"/>
              </w:rPr>
              <w:t>。</w:t>
            </w:r>
          </w:p>
          <w:p w14:paraId="2801241B">
            <w:pPr>
              <w:rPr>
                <w:rFonts w:hint="eastAsia" w:ascii="Times New Roman" w:hAnsi="Times New Roman" w:eastAsia="宋体" w:cs="Times New Roman"/>
                <w:color w:val="auto"/>
                <w:kern w:val="0"/>
                <w:sz w:val="24"/>
                <w:szCs w:val="20"/>
                <w:lang w:val="en-US" w:eastAsia="zh-CN" w:bidi="ar-SA"/>
              </w:rPr>
            </w:pPr>
          </w:p>
          <w:p w14:paraId="2D91F2EA">
            <w:pPr>
              <w:rPr>
                <w:rFonts w:hint="default" w:ascii="Times New Roman" w:hAnsi="Times New Roman" w:eastAsia="Times New Roman" w:cs="Times New Roman"/>
                <w:color w:val="auto"/>
                <w:kern w:val="2"/>
                <w:sz w:val="21"/>
                <w:szCs w:val="24"/>
                <w:lang w:val="en-US" w:eastAsia="zh-CN" w:bidi="ar-SA"/>
              </w:rPr>
            </w:pPr>
          </w:p>
        </w:tc>
      </w:tr>
    </w:tbl>
    <w:p w14:paraId="5C315721">
      <w:pPr>
        <w:pStyle w:val="13"/>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201144E">
      <w:pPr>
        <w:pStyle w:val="14"/>
        <w:pageBreakBefore w:val="0"/>
        <w:topLinePunct w:val="0"/>
        <w:bidi w:val="0"/>
        <w:adjustRightInd/>
        <w:snapToGrid/>
        <w:spacing w:before="0" w:beforeAutospacing="0" w:after="0" w:afterAutospacing="0"/>
        <w:ind w:left="0" w:leftChars="0" w:right="0" w:rightChars="0"/>
        <w:jc w:val="center"/>
        <w:outlineLvl w:val="0"/>
        <w:rPr>
          <w:rFonts w:ascii="黑体" w:hAnsi="黑体" w:eastAsia="黑体"/>
          <w:snapToGrid w:val="0"/>
          <w:color w:val="auto"/>
          <w:sz w:val="30"/>
          <w:szCs w:val="30"/>
        </w:rPr>
      </w:pPr>
      <w:bookmarkStart w:id="3" w:name="_Toc7302"/>
      <w:r>
        <w:rPr>
          <w:rFonts w:hint="eastAsia" w:ascii="黑体" w:hAnsi="黑体" w:eastAsia="黑体"/>
          <w:snapToGrid w:val="0"/>
          <w:color w:val="auto"/>
          <w:sz w:val="30"/>
          <w:szCs w:val="30"/>
        </w:rPr>
        <w:t>四、主要环境影响和保护措施</w:t>
      </w:r>
      <w:bookmarkEnd w:id="3"/>
    </w:p>
    <w:tbl>
      <w:tblPr>
        <w:tblStyle w:val="21"/>
        <w:tblW w:w="91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431"/>
      </w:tblGrid>
      <w:tr w14:paraId="4AB32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725" w:type="dxa"/>
            <w:noWrap w:val="0"/>
            <w:tcMar>
              <w:left w:w="28" w:type="dxa"/>
              <w:right w:w="28" w:type="dxa"/>
            </w:tcMar>
            <w:vAlign w:val="center"/>
          </w:tcPr>
          <w:p w14:paraId="37FD16F1">
            <w:pPr>
              <w:pStyle w:val="14"/>
              <w:pageBreakBefore w:val="0"/>
              <w:topLinePunct w:val="0"/>
              <w:bidi w:val="0"/>
              <w:adjustRightInd/>
              <w:snapToGrid/>
              <w:spacing w:before="0" w:beforeAutospacing="0" w:after="0" w:afterAutospacing="0"/>
              <w:ind w:left="0" w:leftChars="0" w:right="0" w:rightChars="0"/>
              <w:jc w:val="center"/>
              <w:rPr>
                <w:rFonts w:hint="eastAsia" w:cs="宋体"/>
                <w:color w:val="auto"/>
                <w:kern w:val="2"/>
                <w:sz w:val="24"/>
                <w:szCs w:val="24"/>
              </w:rPr>
            </w:pPr>
            <w:r>
              <w:rPr>
                <w:rFonts w:hint="eastAsia" w:cs="宋体"/>
                <w:color w:val="auto"/>
                <w:kern w:val="2"/>
                <w:sz w:val="24"/>
                <w:szCs w:val="24"/>
              </w:rPr>
              <w:t>施工</w:t>
            </w:r>
          </w:p>
          <w:p w14:paraId="052A0032">
            <w:pPr>
              <w:pStyle w:val="14"/>
              <w:pageBreakBefore w:val="0"/>
              <w:topLinePunct w:val="0"/>
              <w:bidi w:val="0"/>
              <w:adjustRightInd/>
              <w:snapToGrid/>
              <w:spacing w:before="0" w:beforeAutospacing="0" w:after="0" w:afterAutospacing="0"/>
              <w:ind w:left="0" w:leftChars="0" w:right="0" w:rightChars="0"/>
              <w:jc w:val="center"/>
              <w:rPr>
                <w:rFonts w:hint="eastAsia" w:cs="宋体"/>
                <w:color w:val="auto"/>
                <w:kern w:val="2"/>
                <w:sz w:val="24"/>
                <w:szCs w:val="24"/>
              </w:rPr>
            </w:pPr>
            <w:r>
              <w:rPr>
                <w:rFonts w:hint="eastAsia" w:cs="宋体"/>
                <w:color w:val="auto"/>
                <w:kern w:val="2"/>
                <w:sz w:val="24"/>
                <w:szCs w:val="24"/>
              </w:rPr>
              <w:t>期环</w:t>
            </w:r>
          </w:p>
          <w:p w14:paraId="4574BCD3">
            <w:pPr>
              <w:pStyle w:val="14"/>
              <w:pageBreakBefore w:val="0"/>
              <w:topLinePunct w:val="0"/>
              <w:bidi w:val="0"/>
              <w:adjustRightInd/>
              <w:snapToGrid/>
              <w:spacing w:before="0" w:beforeAutospacing="0" w:after="0" w:afterAutospacing="0"/>
              <w:ind w:left="0" w:leftChars="0" w:right="0" w:rightChars="0"/>
              <w:jc w:val="center"/>
              <w:rPr>
                <w:rFonts w:hint="eastAsia" w:cs="宋体"/>
                <w:color w:val="auto"/>
                <w:kern w:val="2"/>
                <w:sz w:val="24"/>
                <w:szCs w:val="24"/>
              </w:rPr>
            </w:pPr>
            <w:r>
              <w:rPr>
                <w:rFonts w:hint="eastAsia" w:cs="宋体"/>
                <w:color w:val="auto"/>
                <w:kern w:val="2"/>
                <w:sz w:val="24"/>
                <w:szCs w:val="24"/>
              </w:rPr>
              <w:t>境保</w:t>
            </w:r>
          </w:p>
          <w:p w14:paraId="584C42B9">
            <w:pPr>
              <w:pStyle w:val="14"/>
              <w:pageBreakBefore w:val="0"/>
              <w:topLinePunct w:val="0"/>
              <w:bidi w:val="0"/>
              <w:adjustRightInd/>
              <w:snapToGrid/>
              <w:spacing w:before="0" w:beforeAutospacing="0" w:after="0" w:afterAutospacing="0"/>
              <w:ind w:left="0" w:leftChars="0" w:right="0" w:rightChars="0"/>
              <w:jc w:val="center"/>
              <w:rPr>
                <w:rFonts w:hint="eastAsia" w:cs="宋体"/>
                <w:color w:val="auto"/>
                <w:kern w:val="2"/>
                <w:sz w:val="24"/>
                <w:szCs w:val="24"/>
              </w:rPr>
            </w:pPr>
            <w:r>
              <w:rPr>
                <w:rFonts w:hint="eastAsia" w:cs="宋体"/>
                <w:color w:val="auto"/>
                <w:kern w:val="2"/>
                <w:sz w:val="24"/>
                <w:szCs w:val="24"/>
              </w:rPr>
              <w:t>护措</w:t>
            </w:r>
          </w:p>
          <w:p w14:paraId="2040EA71">
            <w:pPr>
              <w:pStyle w:val="14"/>
              <w:pageBreakBefore w:val="0"/>
              <w:topLinePunct w:val="0"/>
              <w:bidi w:val="0"/>
              <w:adjustRightInd/>
              <w:snapToGrid/>
              <w:spacing w:before="0" w:beforeAutospacing="0" w:after="0" w:afterAutospacing="0"/>
              <w:ind w:left="0" w:leftChars="0" w:right="0" w:rightChars="0"/>
              <w:jc w:val="center"/>
              <w:rPr>
                <w:rFonts w:hint="eastAsia" w:cs="宋体"/>
                <w:bCs/>
                <w:color w:val="auto"/>
                <w:kern w:val="2"/>
                <w:sz w:val="24"/>
                <w:szCs w:val="24"/>
              </w:rPr>
            </w:pPr>
            <w:r>
              <w:rPr>
                <w:rFonts w:hint="eastAsia" w:cs="宋体"/>
                <w:color w:val="auto"/>
                <w:kern w:val="2"/>
                <w:sz w:val="24"/>
                <w:szCs w:val="24"/>
              </w:rPr>
              <w:t>施</w:t>
            </w:r>
          </w:p>
        </w:tc>
        <w:tc>
          <w:tcPr>
            <w:tcW w:w="8431" w:type="dxa"/>
            <w:noWrap w:val="0"/>
            <w:vAlign w:val="center"/>
          </w:tcPr>
          <w:p w14:paraId="291D7A3B">
            <w:pPr>
              <w:widowControl/>
              <w:spacing w:line="360" w:lineRule="auto"/>
              <w:ind w:firstLine="480" w:firstLineChars="200"/>
              <w:rPr>
                <w:rFonts w:hint="eastAsia" w:ascii="Times New Roman" w:hAnsi="Times New Roman" w:eastAsia="宋体" w:cs="Times New Roman"/>
                <w:b/>
                <w:bCs/>
                <w:color w:val="auto"/>
                <w:spacing w:val="4"/>
                <w:kern w:val="18"/>
                <w:sz w:val="24"/>
                <w:szCs w:val="24"/>
                <w:lang w:val="en-US" w:eastAsia="zh-CN" w:bidi="ar-SA"/>
              </w:rPr>
            </w:pPr>
            <w:r>
              <w:rPr>
                <w:rFonts w:hint="eastAsia"/>
                <w:color w:val="auto"/>
                <w:sz w:val="24"/>
                <w:szCs w:val="24"/>
              </w:rPr>
              <w:t>本项目</w:t>
            </w:r>
            <w:r>
              <w:rPr>
                <w:rFonts w:hint="eastAsia" w:eastAsia="宋体"/>
                <w:color w:val="auto"/>
                <w:sz w:val="24"/>
                <w:szCs w:val="24"/>
                <w:lang w:val="en-US" w:eastAsia="zh-CN"/>
              </w:rPr>
              <w:t>依托</w:t>
            </w:r>
            <w:r>
              <w:rPr>
                <w:rFonts w:hint="eastAsia"/>
                <w:color w:val="auto"/>
                <w:sz w:val="24"/>
                <w:szCs w:val="24"/>
              </w:rPr>
              <w:t>现有厂房进行</w:t>
            </w:r>
            <w:r>
              <w:rPr>
                <w:rFonts w:hint="eastAsia" w:eastAsia="宋体"/>
                <w:color w:val="auto"/>
                <w:sz w:val="24"/>
                <w:szCs w:val="24"/>
                <w:lang w:val="en-US" w:eastAsia="zh-CN"/>
              </w:rPr>
              <w:t>技改</w:t>
            </w:r>
            <w:r>
              <w:rPr>
                <w:rFonts w:hint="eastAsia"/>
                <w:color w:val="auto"/>
                <w:sz w:val="24"/>
                <w:szCs w:val="24"/>
              </w:rPr>
              <w:t>生产，不存在构筑物的建设，施工期主要工作为设备的安装</w:t>
            </w:r>
            <w:r>
              <w:rPr>
                <w:rFonts w:hint="eastAsia"/>
                <w:color w:val="auto"/>
                <w:sz w:val="24"/>
              </w:rPr>
              <w:t>调试</w:t>
            </w:r>
            <w:r>
              <w:rPr>
                <w:rFonts w:hint="eastAsia"/>
                <w:color w:val="auto"/>
                <w:sz w:val="24"/>
                <w:szCs w:val="24"/>
              </w:rPr>
              <w:t>，设备安装主要是人工组装，项目施工时间短暂，随着施工期的结束，施工影响也随之消失</w:t>
            </w:r>
            <w:r>
              <w:rPr>
                <w:rFonts w:hint="eastAsia" w:eastAsia="宋体"/>
                <w:color w:val="auto"/>
                <w:sz w:val="24"/>
                <w:szCs w:val="24"/>
                <w:lang w:eastAsia="zh-CN"/>
              </w:rPr>
              <w:t>，</w:t>
            </w:r>
            <w:r>
              <w:rPr>
                <w:rFonts w:hint="eastAsia"/>
                <w:color w:val="auto"/>
                <w:sz w:val="24"/>
              </w:rPr>
              <w:t>故施工期不做详细分析。</w:t>
            </w:r>
          </w:p>
        </w:tc>
      </w:tr>
      <w:tr w14:paraId="3DCE3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725" w:type="dxa"/>
            <w:noWrap w:val="0"/>
            <w:tcMar>
              <w:left w:w="28" w:type="dxa"/>
              <w:right w:w="28" w:type="dxa"/>
            </w:tcMar>
            <w:vAlign w:val="center"/>
          </w:tcPr>
          <w:p w14:paraId="21C210F3">
            <w:pPr>
              <w:pStyle w:val="14"/>
              <w:pageBreakBefore w:val="0"/>
              <w:topLinePunct w:val="0"/>
              <w:bidi w:val="0"/>
              <w:adjustRightInd/>
              <w:snapToGrid/>
              <w:spacing w:before="0" w:beforeAutospacing="0" w:after="0" w:afterAutospacing="0"/>
              <w:ind w:left="0" w:leftChars="0" w:right="0" w:rightChars="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运营</w:t>
            </w:r>
          </w:p>
          <w:p w14:paraId="1F860037">
            <w:pPr>
              <w:pStyle w:val="14"/>
              <w:pageBreakBefore w:val="0"/>
              <w:topLinePunct w:val="0"/>
              <w:bidi w:val="0"/>
              <w:adjustRightInd/>
              <w:snapToGrid/>
              <w:spacing w:before="0" w:beforeAutospacing="0" w:after="0" w:afterAutospacing="0"/>
              <w:ind w:left="0" w:leftChars="0" w:right="0" w:rightChars="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期环</w:t>
            </w:r>
          </w:p>
          <w:p w14:paraId="12B74A75">
            <w:pPr>
              <w:pStyle w:val="14"/>
              <w:pageBreakBefore w:val="0"/>
              <w:topLinePunct w:val="0"/>
              <w:bidi w:val="0"/>
              <w:adjustRightInd/>
              <w:snapToGrid/>
              <w:spacing w:before="0" w:beforeAutospacing="0" w:after="0" w:afterAutospacing="0"/>
              <w:ind w:left="0" w:leftChars="0" w:right="0" w:rightChars="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境影</w:t>
            </w:r>
          </w:p>
          <w:p w14:paraId="693E06B0">
            <w:pPr>
              <w:pStyle w:val="14"/>
              <w:pageBreakBefore w:val="0"/>
              <w:topLinePunct w:val="0"/>
              <w:bidi w:val="0"/>
              <w:adjustRightInd/>
              <w:snapToGrid/>
              <w:spacing w:before="0" w:beforeAutospacing="0" w:after="0" w:afterAutospacing="0"/>
              <w:ind w:left="0" w:leftChars="0" w:right="0" w:rightChars="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响和</w:t>
            </w:r>
          </w:p>
          <w:p w14:paraId="5D3A7F4C">
            <w:pPr>
              <w:pStyle w:val="14"/>
              <w:pageBreakBefore w:val="0"/>
              <w:topLinePunct w:val="0"/>
              <w:bidi w:val="0"/>
              <w:adjustRightInd/>
              <w:snapToGrid/>
              <w:spacing w:before="0" w:beforeAutospacing="0" w:after="0" w:afterAutospacing="0"/>
              <w:ind w:left="0" w:leftChars="0" w:right="0" w:rightChars="0"/>
              <w:jc w:val="center"/>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保护</w:t>
            </w:r>
          </w:p>
          <w:p w14:paraId="3F9988C2">
            <w:pPr>
              <w:pStyle w:val="14"/>
              <w:pageBreakBefore w:val="0"/>
              <w:topLinePunct w:val="0"/>
              <w:bidi w:val="0"/>
              <w:adjustRightInd/>
              <w:snapToGrid/>
              <w:spacing w:before="0" w:beforeAutospacing="0" w:after="0" w:afterAutospacing="0"/>
              <w:ind w:left="0" w:leftChars="0" w:right="0" w:rightChars="0"/>
              <w:jc w:val="center"/>
              <w:rPr>
                <w:rFonts w:hint="eastAsia" w:cs="宋体"/>
                <w:color w:val="auto"/>
                <w:kern w:val="2"/>
                <w:sz w:val="24"/>
                <w:szCs w:val="24"/>
              </w:rPr>
            </w:pPr>
            <w:r>
              <w:rPr>
                <w:rFonts w:hint="eastAsia" w:ascii="宋体" w:hAnsi="宋体" w:eastAsia="宋体" w:cs="宋体"/>
                <w:color w:val="auto"/>
                <w:kern w:val="2"/>
                <w:sz w:val="24"/>
                <w:szCs w:val="24"/>
              </w:rPr>
              <w:t>措施</w:t>
            </w:r>
          </w:p>
        </w:tc>
        <w:tc>
          <w:tcPr>
            <w:tcW w:w="8431" w:type="dxa"/>
            <w:noWrap w:val="0"/>
            <w:vAlign w:val="center"/>
          </w:tcPr>
          <w:p w14:paraId="1121783E">
            <w:pPr>
              <w:pStyle w:val="8"/>
              <w:keepNext w:val="0"/>
              <w:keepLines w:val="0"/>
              <w:pageBreakBefore w:val="0"/>
              <w:widowControl/>
              <w:kinsoku/>
              <w:wordWrap/>
              <w:overflowPunct/>
              <w:topLinePunct w:val="0"/>
              <w:autoSpaceDE/>
              <w:autoSpaceDN/>
              <w:bidi w:val="0"/>
              <w:adjustRightInd/>
              <w:snapToGrid w:val="0"/>
              <w:spacing w:before="0" w:after="0" w:line="260" w:lineRule="auto"/>
              <w:ind w:right="113" w:firstLine="482"/>
              <w:textAlignment w:val="auto"/>
              <w:rPr>
                <w:rFonts w:hint="default" w:cs="Times New Roman"/>
                <w:b/>
                <w:bCs/>
                <w:color w:val="auto"/>
                <w:sz w:val="24"/>
                <w:szCs w:val="24"/>
              </w:rPr>
            </w:pPr>
            <w:r>
              <w:rPr>
                <w:rFonts w:hint="default" w:cs="Times New Roman"/>
                <w:b/>
                <w:bCs/>
                <w:color w:val="auto"/>
                <w:sz w:val="24"/>
                <w:szCs w:val="24"/>
              </w:rPr>
              <w:t>一、废气</w:t>
            </w:r>
          </w:p>
          <w:p w14:paraId="6D8ABD04">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contextualSpacing/>
              <w:textAlignment w:val="auto"/>
              <w:rPr>
                <w:rFonts w:hint="eastAsia"/>
                <w:b/>
                <w:bCs/>
                <w:color w:val="auto"/>
                <w:sz w:val="24"/>
                <w:szCs w:val="24"/>
                <w:lang w:val="en-US" w:eastAsia="zh-CN"/>
              </w:rPr>
            </w:pPr>
            <w:r>
              <w:rPr>
                <w:rFonts w:hint="eastAsia"/>
                <w:b/>
                <w:bCs/>
                <w:color w:val="auto"/>
                <w:sz w:val="24"/>
                <w:szCs w:val="24"/>
                <w:lang w:val="en-US" w:eastAsia="zh-CN"/>
              </w:rPr>
              <w:t>废气污染源情况</w:t>
            </w:r>
          </w:p>
          <w:p w14:paraId="6CE69F11">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4-1</w:t>
            </w:r>
            <w:r>
              <w:rPr>
                <w:rFonts w:hint="default" w:ascii="Times New Roman" w:hAnsi="Times New Roman" w:cs="Times New Roman"/>
                <w:b/>
                <w:bCs/>
                <w:color w:val="auto"/>
                <w:sz w:val="21"/>
                <w:szCs w:val="21"/>
              </w:rPr>
              <w:t xml:space="preserve">  项目</w:t>
            </w:r>
            <w:r>
              <w:rPr>
                <w:rFonts w:hint="eastAsia" w:ascii="Times New Roman" w:hAnsi="Times New Roman" w:eastAsia="宋体" w:cs="Times New Roman"/>
                <w:b/>
                <w:bCs/>
                <w:color w:val="auto"/>
                <w:sz w:val="21"/>
                <w:szCs w:val="21"/>
                <w:lang w:val="en-US" w:eastAsia="zh-CN"/>
              </w:rPr>
              <w:t>技改后</w:t>
            </w:r>
            <w:r>
              <w:rPr>
                <w:rFonts w:hint="default" w:ascii="Times New Roman" w:hAnsi="Times New Roman" w:cs="Times New Roman"/>
                <w:b/>
                <w:bCs/>
                <w:color w:val="auto"/>
                <w:sz w:val="21"/>
                <w:szCs w:val="21"/>
              </w:rPr>
              <w:t>废气污染源源强核算结果及相关参数一览表</w:t>
            </w:r>
          </w:p>
          <w:tbl>
            <w:tblPr>
              <w:tblStyle w:val="21"/>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402"/>
              <w:gridCol w:w="366"/>
              <w:gridCol w:w="625"/>
              <w:gridCol w:w="715"/>
              <w:gridCol w:w="685"/>
              <w:gridCol w:w="533"/>
              <w:gridCol w:w="426"/>
              <w:gridCol w:w="548"/>
              <w:gridCol w:w="267"/>
              <w:gridCol w:w="730"/>
              <w:gridCol w:w="715"/>
              <w:gridCol w:w="715"/>
              <w:gridCol w:w="782"/>
              <w:gridCol w:w="705"/>
            </w:tblGrid>
            <w:tr w14:paraId="58A66D2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38" w:hRule="atLeast"/>
                <w:jc w:val="center"/>
              </w:trPr>
              <w:tc>
                <w:tcPr>
                  <w:tcW w:w="244" w:type="pct"/>
                  <w:vMerge w:val="restart"/>
                  <w:tcBorders>
                    <w:tl2br w:val="nil"/>
                    <w:tr2bl w:val="nil"/>
                  </w:tcBorders>
                  <w:noWrap w:val="0"/>
                  <w:vAlign w:val="center"/>
                </w:tcPr>
                <w:p w14:paraId="2890F4FC">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产排</w:t>
                  </w:r>
                </w:p>
                <w:p w14:paraId="35D661CF">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污环节</w:t>
                  </w:r>
                </w:p>
              </w:tc>
              <w:tc>
                <w:tcPr>
                  <w:tcW w:w="222" w:type="pct"/>
                  <w:vMerge w:val="restart"/>
                  <w:tcBorders>
                    <w:tl2br w:val="nil"/>
                    <w:tr2bl w:val="nil"/>
                  </w:tcBorders>
                  <w:noWrap w:val="0"/>
                  <w:vAlign w:val="center"/>
                </w:tcPr>
                <w:p w14:paraId="4EABCECB">
                  <w:pPr>
                    <w:pStyle w:val="66"/>
                    <w:keepNext w:val="0"/>
                    <w:keepLines w:val="0"/>
                    <w:pageBreakBefore w:val="0"/>
                    <w:kinsoku/>
                    <w:wordWrap/>
                    <w:overflowPunct/>
                    <w:topLinePunct w:val="0"/>
                    <w:autoSpaceDE/>
                    <w:autoSpaceDN/>
                    <w:bidi w:val="0"/>
                    <w:spacing w:line="288" w:lineRule="auto"/>
                    <w:jc w:val="center"/>
                    <w:textAlignment w:val="auto"/>
                    <w:rPr>
                      <w:b/>
                      <w:bCs/>
                      <w:color w:val="auto"/>
                      <w:sz w:val="21"/>
                      <w:szCs w:val="21"/>
                    </w:rPr>
                  </w:pPr>
                  <w:r>
                    <w:rPr>
                      <w:b/>
                      <w:bCs/>
                      <w:color w:val="auto"/>
                      <w:sz w:val="21"/>
                      <w:szCs w:val="21"/>
                    </w:rPr>
                    <w:t>污染物</w:t>
                  </w:r>
                </w:p>
                <w:p w14:paraId="23622F19">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排放</w:t>
                  </w:r>
                </w:p>
                <w:p w14:paraId="1FE80B65">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形式</w:t>
                  </w:r>
                </w:p>
              </w:tc>
              <w:tc>
                <w:tcPr>
                  <w:tcW w:w="380" w:type="pct"/>
                  <w:vMerge w:val="restart"/>
                  <w:tcBorders>
                    <w:tl2br w:val="nil"/>
                    <w:tr2bl w:val="nil"/>
                  </w:tcBorders>
                  <w:noWrap w:val="0"/>
                  <w:vAlign w:val="center"/>
                </w:tcPr>
                <w:p w14:paraId="6FD1E749">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污染物</w:t>
                  </w:r>
                </w:p>
                <w:p w14:paraId="22D77BAE">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种类</w:t>
                  </w:r>
                </w:p>
              </w:tc>
              <w:tc>
                <w:tcPr>
                  <w:tcW w:w="852" w:type="pct"/>
                  <w:gridSpan w:val="2"/>
                  <w:tcBorders>
                    <w:tl2br w:val="nil"/>
                    <w:tr2bl w:val="nil"/>
                  </w:tcBorders>
                  <w:noWrap w:val="0"/>
                  <w:vAlign w:val="center"/>
                </w:tcPr>
                <w:p w14:paraId="4785A9ED">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污染物产生量和浓度</w:t>
                  </w:r>
                </w:p>
              </w:tc>
              <w:tc>
                <w:tcPr>
                  <w:tcW w:w="1524" w:type="pct"/>
                  <w:gridSpan w:val="5"/>
                  <w:tcBorders>
                    <w:tl2br w:val="nil"/>
                    <w:tr2bl w:val="nil"/>
                  </w:tcBorders>
                  <w:noWrap w:val="0"/>
                  <w:vAlign w:val="center"/>
                </w:tcPr>
                <w:p w14:paraId="1B777C5D">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污染治理设施</w:t>
                  </w:r>
                </w:p>
              </w:tc>
              <w:tc>
                <w:tcPr>
                  <w:tcW w:w="1346" w:type="pct"/>
                  <w:gridSpan w:val="3"/>
                  <w:tcBorders>
                    <w:tl2br w:val="nil"/>
                    <w:tr2bl w:val="nil"/>
                  </w:tcBorders>
                  <w:noWrap w:val="0"/>
                  <w:vAlign w:val="center"/>
                </w:tcPr>
                <w:p w14:paraId="57663CAE">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污染物排放量和浓度</w:t>
                  </w:r>
                </w:p>
              </w:tc>
              <w:tc>
                <w:tcPr>
                  <w:tcW w:w="429" w:type="pct"/>
                  <w:tcBorders>
                    <w:tl2br w:val="nil"/>
                    <w:tr2bl w:val="nil"/>
                  </w:tcBorders>
                  <w:noWrap w:val="0"/>
                  <w:vAlign w:val="center"/>
                </w:tcPr>
                <w:p w14:paraId="7141982C">
                  <w:pPr>
                    <w:pStyle w:val="66"/>
                    <w:keepNext w:val="0"/>
                    <w:keepLines w:val="0"/>
                    <w:pageBreakBefore w:val="0"/>
                    <w:kinsoku/>
                    <w:wordWrap/>
                    <w:overflowPunct/>
                    <w:topLinePunct w:val="0"/>
                    <w:autoSpaceDE/>
                    <w:autoSpaceDN/>
                    <w:bidi w:val="0"/>
                    <w:spacing w:line="288"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排放标准</w:t>
                  </w:r>
                </w:p>
              </w:tc>
            </w:tr>
            <w:tr w14:paraId="6577C34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1151" w:hRule="atLeast"/>
                <w:jc w:val="center"/>
              </w:trPr>
              <w:tc>
                <w:tcPr>
                  <w:tcW w:w="244" w:type="pct"/>
                  <w:vMerge w:val="continue"/>
                  <w:tcBorders>
                    <w:tl2br w:val="nil"/>
                    <w:tr2bl w:val="nil"/>
                  </w:tcBorders>
                  <w:noWrap w:val="0"/>
                  <w:vAlign w:val="center"/>
                </w:tcPr>
                <w:p w14:paraId="51CEB931">
                  <w:pPr>
                    <w:pStyle w:val="66"/>
                    <w:keepNext w:val="0"/>
                    <w:keepLines w:val="0"/>
                    <w:pageBreakBefore w:val="0"/>
                    <w:kinsoku/>
                    <w:wordWrap/>
                    <w:overflowPunct/>
                    <w:topLinePunct w:val="0"/>
                    <w:autoSpaceDE/>
                    <w:autoSpaceDN/>
                    <w:bidi w:val="0"/>
                    <w:spacing w:line="288" w:lineRule="auto"/>
                    <w:jc w:val="center"/>
                    <w:textAlignment w:val="auto"/>
                    <w:rPr>
                      <w:rFonts w:hint="default"/>
                      <w:color w:val="auto"/>
                      <w:sz w:val="21"/>
                      <w:szCs w:val="21"/>
                    </w:rPr>
                  </w:pPr>
                </w:p>
              </w:tc>
              <w:tc>
                <w:tcPr>
                  <w:tcW w:w="222" w:type="pct"/>
                  <w:vMerge w:val="continue"/>
                  <w:tcBorders>
                    <w:tl2br w:val="nil"/>
                    <w:tr2bl w:val="nil"/>
                  </w:tcBorders>
                  <w:noWrap w:val="0"/>
                  <w:vAlign w:val="center"/>
                </w:tcPr>
                <w:p w14:paraId="321913C9">
                  <w:pPr>
                    <w:pStyle w:val="66"/>
                    <w:keepNext w:val="0"/>
                    <w:keepLines w:val="0"/>
                    <w:pageBreakBefore w:val="0"/>
                    <w:kinsoku/>
                    <w:wordWrap/>
                    <w:overflowPunct/>
                    <w:topLinePunct w:val="0"/>
                    <w:autoSpaceDE/>
                    <w:autoSpaceDN/>
                    <w:bidi w:val="0"/>
                    <w:spacing w:line="288" w:lineRule="auto"/>
                    <w:jc w:val="center"/>
                    <w:textAlignment w:val="auto"/>
                    <w:rPr>
                      <w:rFonts w:hint="default"/>
                      <w:color w:val="auto"/>
                      <w:sz w:val="21"/>
                      <w:szCs w:val="21"/>
                    </w:rPr>
                  </w:pPr>
                </w:p>
              </w:tc>
              <w:tc>
                <w:tcPr>
                  <w:tcW w:w="380" w:type="pct"/>
                  <w:vMerge w:val="continue"/>
                  <w:tcBorders>
                    <w:tl2br w:val="nil"/>
                    <w:tr2bl w:val="nil"/>
                  </w:tcBorders>
                  <w:noWrap w:val="0"/>
                  <w:vAlign w:val="center"/>
                </w:tcPr>
                <w:p w14:paraId="48EB2D18">
                  <w:pPr>
                    <w:pStyle w:val="66"/>
                    <w:keepNext w:val="0"/>
                    <w:keepLines w:val="0"/>
                    <w:pageBreakBefore w:val="0"/>
                    <w:kinsoku/>
                    <w:wordWrap/>
                    <w:overflowPunct/>
                    <w:topLinePunct w:val="0"/>
                    <w:autoSpaceDE/>
                    <w:autoSpaceDN/>
                    <w:bidi w:val="0"/>
                    <w:spacing w:line="288" w:lineRule="auto"/>
                    <w:jc w:val="center"/>
                    <w:textAlignment w:val="auto"/>
                    <w:rPr>
                      <w:rFonts w:hint="default"/>
                      <w:color w:val="auto"/>
                      <w:sz w:val="21"/>
                      <w:szCs w:val="21"/>
                    </w:rPr>
                  </w:pPr>
                </w:p>
              </w:tc>
              <w:tc>
                <w:tcPr>
                  <w:tcW w:w="435" w:type="pct"/>
                  <w:vMerge w:val="restart"/>
                  <w:tcBorders>
                    <w:tl2br w:val="nil"/>
                    <w:tr2bl w:val="nil"/>
                  </w:tcBorders>
                  <w:noWrap w:val="0"/>
                  <w:vAlign w:val="center"/>
                </w:tcPr>
                <w:p w14:paraId="602EB704">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产生浓度</w:t>
                  </w:r>
                </w:p>
                <w:p w14:paraId="527F0A57">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pacing w:val="7"/>
                      <w:kern w:val="0"/>
                      <w:sz w:val="21"/>
                      <w:szCs w:val="21"/>
                      <w:fitText w:val="609" w:id="1468208521"/>
                    </w:rPr>
                    <w:t>mg/m</w:t>
                  </w:r>
                  <w:r>
                    <w:rPr>
                      <w:rFonts w:hint="default"/>
                      <w:b/>
                      <w:bCs/>
                      <w:color w:val="auto"/>
                      <w:spacing w:val="0"/>
                      <w:kern w:val="0"/>
                      <w:sz w:val="21"/>
                      <w:szCs w:val="21"/>
                      <w:fitText w:val="609" w:id="1468208521"/>
                      <w:vertAlign w:val="superscript"/>
                    </w:rPr>
                    <w:t>3</w:t>
                  </w:r>
                </w:p>
              </w:tc>
              <w:tc>
                <w:tcPr>
                  <w:tcW w:w="416" w:type="pct"/>
                  <w:tcBorders>
                    <w:tl2br w:val="nil"/>
                    <w:tr2bl w:val="nil"/>
                  </w:tcBorders>
                  <w:noWrap w:val="0"/>
                  <w:vAlign w:val="center"/>
                </w:tcPr>
                <w:p w14:paraId="7F857012">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产生量</w:t>
                  </w:r>
                </w:p>
              </w:tc>
              <w:tc>
                <w:tcPr>
                  <w:tcW w:w="324" w:type="pct"/>
                  <w:tcBorders>
                    <w:tl2br w:val="nil"/>
                    <w:tr2bl w:val="nil"/>
                  </w:tcBorders>
                  <w:noWrap w:val="0"/>
                  <w:vAlign w:val="center"/>
                </w:tcPr>
                <w:p w14:paraId="59C68557">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处理能力</w:t>
                  </w:r>
                </w:p>
              </w:tc>
              <w:tc>
                <w:tcPr>
                  <w:tcW w:w="259" w:type="pct"/>
                  <w:tcBorders>
                    <w:tl2br w:val="nil"/>
                    <w:tr2bl w:val="nil"/>
                  </w:tcBorders>
                  <w:noWrap w:val="0"/>
                  <w:vAlign w:val="center"/>
                </w:tcPr>
                <w:p w14:paraId="704BEB44">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收集效率</w:t>
                  </w:r>
                </w:p>
              </w:tc>
              <w:tc>
                <w:tcPr>
                  <w:tcW w:w="333" w:type="pct"/>
                  <w:tcBorders>
                    <w:tl2br w:val="nil"/>
                    <w:tr2bl w:val="nil"/>
                  </w:tcBorders>
                  <w:noWrap w:val="0"/>
                  <w:vAlign w:val="center"/>
                </w:tcPr>
                <w:p w14:paraId="63D0B792">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去除</w:t>
                  </w:r>
                </w:p>
                <w:p w14:paraId="13410CBB">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效率</w:t>
                  </w:r>
                </w:p>
              </w:tc>
              <w:tc>
                <w:tcPr>
                  <w:tcW w:w="162" w:type="pct"/>
                  <w:vMerge w:val="restart"/>
                  <w:tcBorders>
                    <w:tl2br w:val="nil"/>
                    <w:tr2bl w:val="nil"/>
                  </w:tcBorders>
                  <w:noWrap w:val="0"/>
                  <w:vAlign w:val="center"/>
                </w:tcPr>
                <w:p w14:paraId="42AD3C95">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是否可</w:t>
                  </w:r>
                </w:p>
                <w:p w14:paraId="26C0AEAE">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行技术</w:t>
                  </w:r>
                </w:p>
              </w:tc>
              <w:tc>
                <w:tcPr>
                  <w:tcW w:w="444" w:type="pct"/>
                  <w:vMerge w:val="restart"/>
                  <w:tcBorders>
                    <w:tl2br w:val="nil"/>
                    <w:tr2bl w:val="nil"/>
                  </w:tcBorders>
                  <w:noWrap w:val="0"/>
                  <w:vAlign w:val="center"/>
                </w:tcPr>
                <w:p w14:paraId="7E700B2A">
                  <w:pPr>
                    <w:pStyle w:val="66"/>
                    <w:keepNext w:val="0"/>
                    <w:keepLines w:val="0"/>
                    <w:pageBreakBefore w:val="0"/>
                    <w:kinsoku/>
                    <w:wordWrap/>
                    <w:overflowPunct/>
                    <w:topLinePunct w:val="0"/>
                    <w:autoSpaceDE/>
                    <w:autoSpaceDN/>
                    <w:bidi w:val="0"/>
                    <w:spacing w:line="288"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处理措施</w:t>
                  </w:r>
                </w:p>
              </w:tc>
              <w:tc>
                <w:tcPr>
                  <w:tcW w:w="435" w:type="pct"/>
                  <w:vMerge w:val="restart"/>
                  <w:tcBorders>
                    <w:tl2br w:val="nil"/>
                    <w:tr2bl w:val="nil"/>
                  </w:tcBorders>
                  <w:noWrap w:val="0"/>
                  <w:vAlign w:val="center"/>
                </w:tcPr>
                <w:p w14:paraId="794D0B28">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排放浓度</w:t>
                  </w:r>
                </w:p>
                <w:p w14:paraId="02AF43B6">
                  <w:pPr>
                    <w:pStyle w:val="66"/>
                    <w:keepNext w:val="0"/>
                    <w:keepLines w:val="0"/>
                    <w:pageBreakBefore w:val="0"/>
                    <w:kinsoku/>
                    <w:wordWrap/>
                    <w:overflowPunct/>
                    <w:topLinePunct w:val="0"/>
                    <w:autoSpaceDE/>
                    <w:autoSpaceDN/>
                    <w:bidi w:val="0"/>
                    <w:spacing w:line="288" w:lineRule="auto"/>
                    <w:jc w:val="center"/>
                    <w:textAlignment w:val="auto"/>
                    <w:rPr>
                      <w:rFonts w:hint="eastAsia" w:eastAsia="宋体"/>
                      <w:b/>
                      <w:bCs/>
                      <w:color w:val="auto"/>
                      <w:sz w:val="21"/>
                      <w:szCs w:val="21"/>
                      <w:lang w:val="en-US" w:eastAsia="zh-CN"/>
                    </w:rPr>
                  </w:pPr>
                  <w:r>
                    <w:rPr>
                      <w:rFonts w:hint="default"/>
                      <w:b/>
                      <w:bCs/>
                      <w:color w:val="auto"/>
                      <w:spacing w:val="7"/>
                      <w:kern w:val="0"/>
                      <w:sz w:val="21"/>
                      <w:szCs w:val="21"/>
                      <w:fitText w:val="609" w:id="1110397493"/>
                    </w:rPr>
                    <w:t>mg/m</w:t>
                  </w:r>
                  <w:r>
                    <w:rPr>
                      <w:rFonts w:hint="eastAsia"/>
                      <w:b/>
                      <w:bCs/>
                      <w:color w:val="auto"/>
                      <w:spacing w:val="0"/>
                      <w:kern w:val="0"/>
                      <w:sz w:val="21"/>
                      <w:szCs w:val="21"/>
                      <w:fitText w:val="609" w:id="1110397493"/>
                      <w:vertAlign w:val="superscript"/>
                      <w:lang w:val="en-US" w:eastAsia="zh-CN"/>
                    </w:rPr>
                    <w:t>3</w:t>
                  </w:r>
                </w:p>
              </w:tc>
              <w:tc>
                <w:tcPr>
                  <w:tcW w:w="435" w:type="pct"/>
                  <w:tcBorders>
                    <w:tl2br w:val="nil"/>
                    <w:tr2bl w:val="nil"/>
                  </w:tcBorders>
                  <w:noWrap w:val="0"/>
                  <w:vAlign w:val="center"/>
                </w:tcPr>
                <w:p w14:paraId="5D758AE5">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排放量</w:t>
                  </w:r>
                </w:p>
              </w:tc>
              <w:tc>
                <w:tcPr>
                  <w:tcW w:w="476" w:type="pct"/>
                  <w:tcBorders>
                    <w:tl2br w:val="nil"/>
                    <w:tr2bl w:val="nil"/>
                  </w:tcBorders>
                  <w:noWrap w:val="0"/>
                  <w:vAlign w:val="center"/>
                </w:tcPr>
                <w:p w14:paraId="0F9A6EDD">
                  <w:pPr>
                    <w:pStyle w:val="66"/>
                    <w:keepNext w:val="0"/>
                    <w:keepLines w:val="0"/>
                    <w:pageBreakBefore w:val="0"/>
                    <w:kinsoku/>
                    <w:wordWrap/>
                    <w:overflowPunct/>
                    <w:topLinePunct w:val="0"/>
                    <w:autoSpaceDE/>
                    <w:autoSpaceDN/>
                    <w:bidi w:val="0"/>
                    <w:spacing w:line="288"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排放速率</w:t>
                  </w:r>
                </w:p>
              </w:tc>
              <w:tc>
                <w:tcPr>
                  <w:tcW w:w="429" w:type="pct"/>
                  <w:vMerge w:val="restart"/>
                  <w:tcBorders>
                    <w:tl2br w:val="nil"/>
                    <w:tr2bl w:val="nil"/>
                  </w:tcBorders>
                  <w:noWrap w:val="0"/>
                  <w:vAlign w:val="center"/>
                </w:tcPr>
                <w:p w14:paraId="06400C04">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浓度</w:t>
                  </w:r>
                </w:p>
                <w:p w14:paraId="623292F1">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b/>
                      <w:bCs/>
                      <w:color w:val="auto"/>
                      <w:sz w:val="21"/>
                      <w:szCs w:val="21"/>
                      <w:lang w:eastAsia="zh-CN"/>
                    </w:rPr>
                  </w:pPr>
                  <w:r>
                    <w:rPr>
                      <w:rFonts w:hint="default"/>
                      <w:b/>
                      <w:bCs/>
                      <w:color w:val="auto"/>
                      <w:spacing w:val="7"/>
                      <w:kern w:val="0"/>
                      <w:sz w:val="21"/>
                      <w:szCs w:val="21"/>
                      <w:fitText w:val="609" w:id="1904618559"/>
                    </w:rPr>
                    <w:t>mg/m</w:t>
                  </w:r>
                  <w:r>
                    <w:rPr>
                      <w:rFonts w:hint="eastAsia"/>
                      <w:b/>
                      <w:bCs/>
                      <w:color w:val="auto"/>
                      <w:spacing w:val="0"/>
                      <w:kern w:val="0"/>
                      <w:sz w:val="21"/>
                      <w:szCs w:val="21"/>
                      <w:fitText w:val="609" w:id="1904618559"/>
                      <w:vertAlign w:val="superscript"/>
                      <w:lang w:val="en-US" w:eastAsia="zh-CN"/>
                    </w:rPr>
                    <w:t>3</w:t>
                  </w:r>
                </w:p>
              </w:tc>
            </w:tr>
            <w:tr w14:paraId="3B9D8C5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398" w:hRule="atLeast"/>
                <w:jc w:val="center"/>
              </w:trPr>
              <w:tc>
                <w:tcPr>
                  <w:tcW w:w="244" w:type="pct"/>
                  <w:vMerge w:val="continue"/>
                  <w:tcBorders>
                    <w:tl2br w:val="nil"/>
                    <w:tr2bl w:val="nil"/>
                  </w:tcBorders>
                  <w:noWrap w:val="0"/>
                  <w:vAlign w:val="center"/>
                </w:tcPr>
                <w:p w14:paraId="7FC857FB">
                  <w:pPr>
                    <w:pStyle w:val="66"/>
                    <w:keepNext w:val="0"/>
                    <w:keepLines w:val="0"/>
                    <w:pageBreakBefore w:val="0"/>
                    <w:kinsoku/>
                    <w:wordWrap/>
                    <w:overflowPunct/>
                    <w:topLinePunct w:val="0"/>
                    <w:autoSpaceDE/>
                    <w:autoSpaceDN/>
                    <w:bidi w:val="0"/>
                    <w:spacing w:line="288" w:lineRule="auto"/>
                    <w:jc w:val="center"/>
                    <w:textAlignment w:val="auto"/>
                    <w:rPr>
                      <w:rFonts w:hint="default"/>
                      <w:color w:val="auto"/>
                      <w:sz w:val="21"/>
                      <w:szCs w:val="21"/>
                    </w:rPr>
                  </w:pPr>
                </w:p>
              </w:tc>
              <w:tc>
                <w:tcPr>
                  <w:tcW w:w="222" w:type="pct"/>
                  <w:vMerge w:val="continue"/>
                  <w:tcBorders>
                    <w:tl2br w:val="nil"/>
                    <w:tr2bl w:val="nil"/>
                  </w:tcBorders>
                  <w:noWrap w:val="0"/>
                  <w:vAlign w:val="center"/>
                </w:tcPr>
                <w:p w14:paraId="4596E831">
                  <w:pPr>
                    <w:pStyle w:val="66"/>
                    <w:keepNext w:val="0"/>
                    <w:keepLines w:val="0"/>
                    <w:pageBreakBefore w:val="0"/>
                    <w:kinsoku/>
                    <w:wordWrap/>
                    <w:overflowPunct/>
                    <w:topLinePunct w:val="0"/>
                    <w:autoSpaceDE/>
                    <w:autoSpaceDN/>
                    <w:bidi w:val="0"/>
                    <w:spacing w:line="288" w:lineRule="auto"/>
                    <w:jc w:val="center"/>
                    <w:textAlignment w:val="auto"/>
                    <w:rPr>
                      <w:rFonts w:hint="default"/>
                      <w:color w:val="auto"/>
                      <w:sz w:val="21"/>
                      <w:szCs w:val="21"/>
                    </w:rPr>
                  </w:pPr>
                </w:p>
              </w:tc>
              <w:tc>
                <w:tcPr>
                  <w:tcW w:w="380" w:type="pct"/>
                  <w:vMerge w:val="continue"/>
                  <w:tcBorders>
                    <w:tl2br w:val="nil"/>
                    <w:tr2bl w:val="nil"/>
                  </w:tcBorders>
                  <w:noWrap w:val="0"/>
                  <w:vAlign w:val="center"/>
                </w:tcPr>
                <w:p w14:paraId="47551D60">
                  <w:pPr>
                    <w:pStyle w:val="66"/>
                    <w:keepNext w:val="0"/>
                    <w:keepLines w:val="0"/>
                    <w:pageBreakBefore w:val="0"/>
                    <w:kinsoku/>
                    <w:wordWrap/>
                    <w:overflowPunct/>
                    <w:topLinePunct w:val="0"/>
                    <w:autoSpaceDE/>
                    <w:autoSpaceDN/>
                    <w:bidi w:val="0"/>
                    <w:spacing w:line="288" w:lineRule="auto"/>
                    <w:jc w:val="center"/>
                    <w:textAlignment w:val="auto"/>
                    <w:rPr>
                      <w:rFonts w:hint="default"/>
                      <w:color w:val="auto"/>
                      <w:sz w:val="21"/>
                      <w:szCs w:val="21"/>
                    </w:rPr>
                  </w:pPr>
                </w:p>
              </w:tc>
              <w:tc>
                <w:tcPr>
                  <w:tcW w:w="435" w:type="pct"/>
                  <w:vMerge w:val="continue"/>
                  <w:tcBorders>
                    <w:tl2br w:val="nil"/>
                    <w:tr2bl w:val="nil"/>
                  </w:tcBorders>
                  <w:noWrap w:val="0"/>
                  <w:vAlign w:val="center"/>
                </w:tcPr>
                <w:p w14:paraId="590F8895">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p>
              </w:tc>
              <w:tc>
                <w:tcPr>
                  <w:tcW w:w="416" w:type="pct"/>
                  <w:tcBorders>
                    <w:tl2br w:val="nil"/>
                    <w:tr2bl w:val="nil"/>
                  </w:tcBorders>
                  <w:noWrap w:val="0"/>
                  <w:vAlign w:val="center"/>
                </w:tcPr>
                <w:p w14:paraId="2BEB7B5B">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t/a</w:t>
                  </w:r>
                </w:p>
              </w:tc>
              <w:tc>
                <w:tcPr>
                  <w:tcW w:w="324" w:type="pct"/>
                  <w:tcBorders>
                    <w:tl2br w:val="nil"/>
                    <w:tr2bl w:val="nil"/>
                  </w:tcBorders>
                  <w:noWrap w:val="0"/>
                  <w:vAlign w:val="center"/>
                </w:tcPr>
                <w:p w14:paraId="40A932A9">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m</w:t>
                  </w:r>
                  <w:r>
                    <w:rPr>
                      <w:rFonts w:hint="default"/>
                      <w:b/>
                      <w:bCs/>
                      <w:color w:val="auto"/>
                      <w:sz w:val="21"/>
                      <w:szCs w:val="21"/>
                      <w:vertAlign w:val="superscript"/>
                    </w:rPr>
                    <w:t>3</w:t>
                  </w:r>
                  <w:r>
                    <w:rPr>
                      <w:rFonts w:hint="default"/>
                      <w:b/>
                      <w:bCs/>
                      <w:color w:val="auto"/>
                      <w:sz w:val="21"/>
                      <w:szCs w:val="21"/>
                    </w:rPr>
                    <w:t>/h</w:t>
                  </w:r>
                </w:p>
              </w:tc>
              <w:tc>
                <w:tcPr>
                  <w:tcW w:w="259" w:type="pct"/>
                  <w:tcBorders>
                    <w:tl2br w:val="nil"/>
                    <w:tr2bl w:val="nil"/>
                  </w:tcBorders>
                  <w:noWrap w:val="0"/>
                  <w:vAlign w:val="center"/>
                </w:tcPr>
                <w:p w14:paraId="0B526E74">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w:t>
                  </w:r>
                </w:p>
              </w:tc>
              <w:tc>
                <w:tcPr>
                  <w:tcW w:w="333" w:type="pct"/>
                  <w:tcBorders>
                    <w:tl2br w:val="nil"/>
                    <w:tr2bl w:val="nil"/>
                  </w:tcBorders>
                  <w:noWrap w:val="0"/>
                  <w:vAlign w:val="center"/>
                </w:tcPr>
                <w:p w14:paraId="75DC5B60">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w:t>
                  </w:r>
                </w:p>
              </w:tc>
              <w:tc>
                <w:tcPr>
                  <w:tcW w:w="162" w:type="pct"/>
                  <w:vMerge w:val="continue"/>
                  <w:tcBorders>
                    <w:tl2br w:val="nil"/>
                    <w:tr2bl w:val="nil"/>
                  </w:tcBorders>
                  <w:noWrap w:val="0"/>
                  <w:vAlign w:val="center"/>
                </w:tcPr>
                <w:p w14:paraId="5752E549">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p>
              </w:tc>
              <w:tc>
                <w:tcPr>
                  <w:tcW w:w="444" w:type="pct"/>
                  <w:vMerge w:val="continue"/>
                  <w:tcBorders>
                    <w:tl2br w:val="nil"/>
                    <w:tr2bl w:val="nil"/>
                  </w:tcBorders>
                  <w:noWrap w:val="0"/>
                  <w:vAlign w:val="center"/>
                </w:tcPr>
                <w:p w14:paraId="317EFE24">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p>
              </w:tc>
              <w:tc>
                <w:tcPr>
                  <w:tcW w:w="435" w:type="pct"/>
                  <w:vMerge w:val="continue"/>
                  <w:tcBorders>
                    <w:tl2br w:val="nil"/>
                    <w:tr2bl w:val="nil"/>
                  </w:tcBorders>
                  <w:noWrap w:val="0"/>
                  <w:vAlign w:val="center"/>
                </w:tcPr>
                <w:p w14:paraId="1A8F2FAC">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p>
              </w:tc>
              <w:tc>
                <w:tcPr>
                  <w:tcW w:w="435" w:type="pct"/>
                  <w:tcBorders>
                    <w:tl2br w:val="nil"/>
                    <w:tr2bl w:val="nil"/>
                  </w:tcBorders>
                  <w:noWrap w:val="0"/>
                  <w:vAlign w:val="center"/>
                </w:tcPr>
                <w:p w14:paraId="1AC8BC4C">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t/a</w:t>
                  </w:r>
                </w:p>
              </w:tc>
              <w:tc>
                <w:tcPr>
                  <w:tcW w:w="476" w:type="pct"/>
                  <w:tcBorders>
                    <w:tl2br w:val="nil"/>
                    <w:tr2bl w:val="nil"/>
                  </w:tcBorders>
                  <w:noWrap w:val="0"/>
                  <w:vAlign w:val="center"/>
                </w:tcPr>
                <w:p w14:paraId="2685C037">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r>
                    <w:rPr>
                      <w:rFonts w:hint="default"/>
                      <w:b/>
                      <w:bCs/>
                      <w:color w:val="auto"/>
                      <w:sz w:val="21"/>
                      <w:szCs w:val="21"/>
                    </w:rPr>
                    <w:t>kg/h</w:t>
                  </w:r>
                </w:p>
              </w:tc>
              <w:tc>
                <w:tcPr>
                  <w:tcW w:w="429" w:type="pct"/>
                  <w:vMerge w:val="continue"/>
                  <w:tcBorders>
                    <w:tl2br w:val="nil"/>
                    <w:tr2bl w:val="nil"/>
                  </w:tcBorders>
                  <w:noWrap w:val="0"/>
                  <w:vAlign w:val="center"/>
                </w:tcPr>
                <w:p w14:paraId="7212E749">
                  <w:pPr>
                    <w:pStyle w:val="66"/>
                    <w:keepNext w:val="0"/>
                    <w:keepLines w:val="0"/>
                    <w:pageBreakBefore w:val="0"/>
                    <w:kinsoku/>
                    <w:wordWrap/>
                    <w:overflowPunct/>
                    <w:topLinePunct w:val="0"/>
                    <w:autoSpaceDE/>
                    <w:autoSpaceDN/>
                    <w:bidi w:val="0"/>
                    <w:spacing w:line="288" w:lineRule="auto"/>
                    <w:jc w:val="center"/>
                    <w:textAlignment w:val="auto"/>
                    <w:rPr>
                      <w:rFonts w:hint="default"/>
                      <w:b/>
                      <w:bCs/>
                      <w:color w:val="auto"/>
                      <w:sz w:val="21"/>
                      <w:szCs w:val="21"/>
                    </w:rPr>
                  </w:pPr>
                </w:p>
              </w:tc>
            </w:tr>
            <w:tr w14:paraId="2072A1A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862" w:hRule="atLeast"/>
                <w:jc w:val="center"/>
              </w:trPr>
              <w:tc>
                <w:tcPr>
                  <w:tcW w:w="244" w:type="pct"/>
                  <w:vMerge w:val="restart"/>
                  <w:tcBorders>
                    <w:tl2br w:val="nil"/>
                    <w:tr2bl w:val="nil"/>
                  </w:tcBorders>
                  <w:noWrap w:val="0"/>
                  <w:vAlign w:val="center"/>
                </w:tcPr>
                <w:p w14:paraId="1B566F94">
                  <w:pPr>
                    <w:keepNext w:val="0"/>
                    <w:keepLines w:val="0"/>
                    <w:pageBreakBefore w:val="0"/>
                    <w:widowControl/>
                    <w:suppressLineNumbers w:val="0"/>
                    <w:kinsoku/>
                    <w:wordWrap/>
                    <w:overflowPunct/>
                    <w:topLinePunct w:val="0"/>
                    <w:autoSpaceDE/>
                    <w:autoSpaceDN/>
                    <w:bidi w:val="0"/>
                    <w:spacing w:line="288" w:lineRule="auto"/>
                    <w:jc w:val="center"/>
                    <w:textAlignment w:val="auto"/>
                    <w:rPr>
                      <w:rFonts w:hint="eastAsia"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造粒废气</w:t>
                  </w:r>
                </w:p>
              </w:tc>
              <w:tc>
                <w:tcPr>
                  <w:tcW w:w="222" w:type="pct"/>
                  <w:vMerge w:val="restart"/>
                  <w:tcBorders>
                    <w:tl2br w:val="nil"/>
                    <w:tr2bl w:val="nil"/>
                  </w:tcBorders>
                  <w:shd w:val="clear" w:color="auto" w:fill="auto"/>
                  <w:noWrap w:val="0"/>
                  <w:vAlign w:val="center"/>
                </w:tcPr>
                <w:p w14:paraId="6B90D644">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有组织</w:t>
                  </w:r>
                </w:p>
              </w:tc>
              <w:tc>
                <w:tcPr>
                  <w:tcW w:w="380" w:type="pct"/>
                  <w:tcBorders>
                    <w:tl2br w:val="nil"/>
                    <w:tr2bl w:val="nil"/>
                  </w:tcBorders>
                  <w:shd w:val="clear" w:color="auto" w:fill="auto"/>
                  <w:noWrap w:val="0"/>
                  <w:vAlign w:val="center"/>
                </w:tcPr>
                <w:p w14:paraId="026A9E69">
                  <w:pPr>
                    <w:pStyle w:val="44"/>
                    <w:adjustRightInd w:val="0"/>
                    <w:snapToGrid w:val="0"/>
                    <w:ind w:firstLine="0" w:firstLineChars="0"/>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rPr>
                    <w:t>VOCs</w:t>
                  </w:r>
                </w:p>
              </w:tc>
              <w:tc>
                <w:tcPr>
                  <w:tcW w:w="435" w:type="pct"/>
                  <w:tcBorders>
                    <w:tl2br w:val="nil"/>
                    <w:tr2bl w:val="nil"/>
                  </w:tcBorders>
                  <w:shd w:val="clear" w:color="auto" w:fill="auto"/>
                  <w:noWrap w:val="0"/>
                  <w:vAlign w:val="center"/>
                </w:tcPr>
                <w:p w14:paraId="7918A484">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48.413</w:t>
                  </w:r>
                </w:p>
              </w:tc>
              <w:tc>
                <w:tcPr>
                  <w:tcW w:w="416" w:type="pct"/>
                  <w:tcBorders>
                    <w:tl2br w:val="nil"/>
                    <w:tr2bl w:val="nil"/>
                  </w:tcBorders>
                  <w:shd w:val="clear" w:color="auto" w:fill="auto"/>
                  <w:noWrap w:val="0"/>
                  <w:vAlign w:val="center"/>
                </w:tcPr>
                <w:p w14:paraId="787E757D">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黑体" w:cs="Times New Roman"/>
                      <w:color w:val="auto"/>
                      <w:kern w:val="2"/>
                      <w:sz w:val="21"/>
                      <w:szCs w:val="21"/>
                      <w:lang w:val="en-US" w:eastAsia="zh-CN" w:bidi="zh-CN"/>
                    </w:rPr>
                  </w:pPr>
                  <w:r>
                    <w:rPr>
                      <w:rFonts w:hint="eastAsia" w:ascii="Times New Roman" w:hAnsi="Times New Roman" w:eastAsia="黑体" w:cs="Times New Roman"/>
                      <w:color w:val="auto"/>
                      <w:kern w:val="2"/>
                      <w:sz w:val="21"/>
                      <w:szCs w:val="21"/>
                      <w:lang w:val="en-US" w:eastAsia="zh-CN" w:bidi="zh-CN"/>
                    </w:rPr>
                    <w:t>4.648</w:t>
                  </w:r>
                </w:p>
              </w:tc>
              <w:tc>
                <w:tcPr>
                  <w:tcW w:w="324" w:type="pct"/>
                  <w:tcBorders>
                    <w:tl2br w:val="nil"/>
                    <w:tr2bl w:val="nil"/>
                  </w:tcBorders>
                  <w:shd w:val="clear" w:color="auto" w:fill="auto"/>
                  <w:noWrap w:val="0"/>
                  <w:vAlign w:val="center"/>
                </w:tcPr>
                <w:p w14:paraId="1377BEC0">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20000</w:t>
                  </w:r>
                </w:p>
              </w:tc>
              <w:tc>
                <w:tcPr>
                  <w:tcW w:w="259" w:type="pct"/>
                  <w:tcBorders>
                    <w:tl2br w:val="nil"/>
                    <w:tr2bl w:val="nil"/>
                  </w:tcBorders>
                  <w:shd w:val="clear" w:color="auto" w:fill="auto"/>
                  <w:noWrap w:val="0"/>
                  <w:vAlign w:val="center"/>
                </w:tcPr>
                <w:p w14:paraId="1A53462F">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w:t>
                  </w:r>
                </w:p>
              </w:tc>
              <w:tc>
                <w:tcPr>
                  <w:tcW w:w="333" w:type="pct"/>
                  <w:tcBorders>
                    <w:tl2br w:val="nil"/>
                    <w:tr2bl w:val="nil"/>
                  </w:tcBorders>
                  <w:shd w:val="clear" w:color="auto" w:fill="auto"/>
                  <w:noWrap w:val="0"/>
                  <w:vAlign w:val="center"/>
                </w:tcPr>
                <w:p w14:paraId="2D0BA55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86.5</w:t>
                  </w:r>
                </w:p>
              </w:tc>
              <w:tc>
                <w:tcPr>
                  <w:tcW w:w="162" w:type="pct"/>
                  <w:vMerge w:val="restart"/>
                  <w:tcBorders>
                    <w:tl2br w:val="nil"/>
                    <w:tr2bl w:val="nil"/>
                  </w:tcBorders>
                  <w:shd w:val="clear" w:color="auto" w:fill="auto"/>
                  <w:noWrap w:val="0"/>
                  <w:vAlign w:val="center"/>
                </w:tcPr>
                <w:p w14:paraId="7E1D8979">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是</w:t>
                  </w:r>
                </w:p>
              </w:tc>
              <w:tc>
                <w:tcPr>
                  <w:tcW w:w="444" w:type="pct"/>
                  <w:vMerge w:val="restart"/>
                  <w:tcBorders>
                    <w:tl2br w:val="nil"/>
                    <w:tr2bl w:val="nil"/>
                  </w:tcBorders>
                  <w:shd w:val="clear" w:color="auto" w:fill="auto"/>
                  <w:noWrap w:val="0"/>
                  <w:vAlign w:val="center"/>
                </w:tcPr>
                <w:p w14:paraId="65723B7D">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hAnsi="宋体"/>
                      <w:color w:val="auto"/>
                      <w:szCs w:val="21"/>
                    </w:rPr>
                    <w:t>水浴除尘+高效静电+UV光解+活性炭吸附+15米1#高排气筒</w:t>
                  </w:r>
                </w:p>
              </w:tc>
              <w:tc>
                <w:tcPr>
                  <w:tcW w:w="435" w:type="pct"/>
                  <w:tcBorders>
                    <w:tl2br w:val="nil"/>
                    <w:tr2bl w:val="nil"/>
                  </w:tcBorders>
                  <w:shd w:val="clear" w:color="auto" w:fill="auto"/>
                  <w:noWrap w:val="0"/>
                  <w:vAlign w:val="center"/>
                </w:tcPr>
                <w:p w14:paraId="689CCA6A">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6.531</w:t>
                  </w:r>
                </w:p>
              </w:tc>
              <w:tc>
                <w:tcPr>
                  <w:tcW w:w="435" w:type="pct"/>
                  <w:tcBorders>
                    <w:tl2br w:val="nil"/>
                    <w:tr2bl w:val="nil"/>
                  </w:tcBorders>
                  <w:shd w:val="clear" w:color="auto" w:fill="auto"/>
                  <w:noWrap w:val="0"/>
                  <w:vAlign w:val="center"/>
                </w:tcPr>
                <w:p w14:paraId="16104516">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0.627</w:t>
                  </w:r>
                </w:p>
              </w:tc>
              <w:tc>
                <w:tcPr>
                  <w:tcW w:w="476" w:type="pct"/>
                  <w:tcBorders>
                    <w:tl2br w:val="nil"/>
                    <w:tr2bl w:val="nil"/>
                  </w:tcBorders>
                  <w:shd w:val="clear" w:color="auto" w:fill="auto"/>
                  <w:noWrap w:val="0"/>
                  <w:vAlign w:val="center"/>
                </w:tcPr>
                <w:p w14:paraId="14D090E8">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黑体"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0.131</w:t>
                  </w:r>
                </w:p>
              </w:tc>
              <w:tc>
                <w:tcPr>
                  <w:tcW w:w="429" w:type="pct"/>
                  <w:tcBorders>
                    <w:tl2br w:val="nil"/>
                    <w:tr2bl w:val="nil"/>
                  </w:tcBorders>
                  <w:shd w:val="clear" w:color="auto" w:fill="auto"/>
                  <w:noWrap w:val="0"/>
                  <w:vAlign w:val="center"/>
                </w:tcPr>
                <w:p w14:paraId="43C6F1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40</w:t>
                  </w:r>
                </w:p>
              </w:tc>
            </w:tr>
            <w:tr w14:paraId="7CB4811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862" w:hRule="atLeast"/>
                <w:jc w:val="center"/>
              </w:trPr>
              <w:tc>
                <w:tcPr>
                  <w:tcW w:w="244" w:type="pct"/>
                  <w:vMerge w:val="continue"/>
                  <w:tcBorders>
                    <w:tl2br w:val="nil"/>
                    <w:tr2bl w:val="nil"/>
                  </w:tcBorders>
                  <w:noWrap w:val="0"/>
                  <w:vAlign w:val="center"/>
                </w:tcPr>
                <w:p w14:paraId="5521FB31">
                  <w:pPr>
                    <w:keepNext w:val="0"/>
                    <w:keepLines w:val="0"/>
                    <w:pageBreakBefore w:val="0"/>
                    <w:widowControl/>
                    <w:suppressLineNumbers w:val="0"/>
                    <w:kinsoku/>
                    <w:wordWrap/>
                    <w:overflowPunct/>
                    <w:topLinePunct w:val="0"/>
                    <w:autoSpaceDE/>
                    <w:autoSpaceDN/>
                    <w:bidi w:val="0"/>
                    <w:spacing w:line="288" w:lineRule="auto"/>
                    <w:jc w:val="center"/>
                    <w:textAlignment w:val="auto"/>
                    <w:rPr>
                      <w:rFonts w:hint="eastAsia" w:ascii="宋体" w:hAnsi="宋体" w:cs="宋体"/>
                      <w:color w:val="auto"/>
                      <w:kern w:val="0"/>
                      <w:sz w:val="21"/>
                      <w:szCs w:val="21"/>
                      <w:lang w:val="en-US" w:eastAsia="zh-CN" w:bidi="ar"/>
                    </w:rPr>
                  </w:pPr>
                </w:p>
              </w:tc>
              <w:tc>
                <w:tcPr>
                  <w:tcW w:w="222" w:type="pct"/>
                  <w:vMerge w:val="continue"/>
                  <w:tcBorders>
                    <w:tl2br w:val="nil"/>
                    <w:tr2bl w:val="nil"/>
                  </w:tcBorders>
                  <w:shd w:val="clear" w:color="auto" w:fill="auto"/>
                  <w:noWrap w:val="0"/>
                  <w:vAlign w:val="center"/>
                </w:tcPr>
                <w:p w14:paraId="04895C47">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color w:val="auto"/>
                      <w:sz w:val="21"/>
                      <w:szCs w:val="21"/>
                      <w:lang w:eastAsia="zh-CN"/>
                    </w:rPr>
                  </w:pPr>
                </w:p>
              </w:tc>
              <w:tc>
                <w:tcPr>
                  <w:tcW w:w="380" w:type="pct"/>
                  <w:tcBorders>
                    <w:tl2br w:val="nil"/>
                    <w:tr2bl w:val="nil"/>
                  </w:tcBorders>
                  <w:shd w:val="clear" w:color="auto" w:fill="auto"/>
                  <w:noWrap w:val="0"/>
                  <w:vAlign w:val="center"/>
                </w:tcPr>
                <w:p w14:paraId="58E8DFDF">
                  <w:pPr>
                    <w:pStyle w:val="44"/>
                    <w:adjustRightInd w:val="0"/>
                    <w:snapToGrid w:val="0"/>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臭气浓度</w:t>
                  </w:r>
                </w:p>
              </w:tc>
              <w:tc>
                <w:tcPr>
                  <w:tcW w:w="435" w:type="pct"/>
                  <w:tcBorders>
                    <w:tl2br w:val="nil"/>
                    <w:tr2bl w:val="nil"/>
                  </w:tcBorders>
                  <w:shd w:val="clear" w:color="auto" w:fill="auto"/>
                  <w:noWrap w:val="0"/>
                  <w:vAlign w:val="center"/>
                </w:tcPr>
                <w:p w14:paraId="7633AEB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16" w:type="pct"/>
                  <w:tcBorders>
                    <w:tl2br w:val="nil"/>
                    <w:tr2bl w:val="nil"/>
                  </w:tcBorders>
                  <w:shd w:val="clear" w:color="auto" w:fill="auto"/>
                  <w:noWrap w:val="0"/>
                  <w:vAlign w:val="center"/>
                </w:tcPr>
                <w:p w14:paraId="1880740F">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color w:val="auto"/>
                      <w:kern w:val="2"/>
                      <w:sz w:val="21"/>
                      <w:szCs w:val="21"/>
                      <w:lang w:val="en-US" w:eastAsia="zh-CN" w:bidi="zh-CN"/>
                    </w:rPr>
                  </w:pPr>
                  <w:r>
                    <w:rPr>
                      <w:rFonts w:hint="eastAsia" w:ascii="Times New Roman" w:hAnsi="Times New Roman" w:cs="Times New Roman"/>
                      <w:color w:val="auto"/>
                      <w:kern w:val="2"/>
                      <w:sz w:val="21"/>
                      <w:szCs w:val="21"/>
                      <w:lang w:val="en-US" w:eastAsia="zh-CN" w:bidi="zh-CN"/>
                    </w:rPr>
                    <w:t>/</w:t>
                  </w:r>
                </w:p>
              </w:tc>
              <w:tc>
                <w:tcPr>
                  <w:tcW w:w="324" w:type="pct"/>
                  <w:tcBorders>
                    <w:tl2br w:val="nil"/>
                    <w:tr2bl w:val="nil"/>
                  </w:tcBorders>
                  <w:shd w:val="clear" w:color="auto" w:fill="auto"/>
                  <w:noWrap w:val="0"/>
                  <w:vAlign w:val="center"/>
                </w:tcPr>
                <w:p w14:paraId="288A27BA">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259" w:type="pct"/>
                  <w:tcBorders>
                    <w:tl2br w:val="nil"/>
                    <w:tr2bl w:val="nil"/>
                  </w:tcBorders>
                  <w:shd w:val="clear" w:color="auto" w:fill="auto"/>
                  <w:noWrap w:val="0"/>
                  <w:vAlign w:val="center"/>
                </w:tcPr>
                <w:p w14:paraId="6F1D49AE">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3" w:type="pct"/>
                  <w:tcBorders>
                    <w:tl2br w:val="nil"/>
                    <w:tr2bl w:val="nil"/>
                  </w:tcBorders>
                  <w:shd w:val="clear" w:color="auto" w:fill="auto"/>
                  <w:noWrap w:val="0"/>
                  <w:vAlign w:val="center"/>
                </w:tcPr>
                <w:p w14:paraId="34967884">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62" w:type="pct"/>
                  <w:vMerge w:val="continue"/>
                  <w:tcBorders>
                    <w:tl2br w:val="nil"/>
                    <w:tr2bl w:val="nil"/>
                  </w:tcBorders>
                  <w:shd w:val="clear" w:color="auto" w:fill="auto"/>
                  <w:noWrap w:val="0"/>
                  <w:vAlign w:val="center"/>
                </w:tcPr>
                <w:p w14:paraId="64E969A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color w:val="auto"/>
                      <w:sz w:val="21"/>
                      <w:szCs w:val="21"/>
                      <w:lang w:val="en-US" w:eastAsia="zh-CN"/>
                    </w:rPr>
                  </w:pPr>
                </w:p>
              </w:tc>
              <w:tc>
                <w:tcPr>
                  <w:tcW w:w="444" w:type="pct"/>
                  <w:vMerge w:val="continue"/>
                  <w:tcBorders>
                    <w:tl2br w:val="nil"/>
                    <w:tr2bl w:val="nil"/>
                  </w:tcBorders>
                  <w:shd w:val="clear" w:color="auto" w:fill="auto"/>
                  <w:noWrap w:val="0"/>
                  <w:vAlign w:val="center"/>
                </w:tcPr>
                <w:p w14:paraId="24E265E1">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auto"/>
                      <w:sz w:val="21"/>
                      <w:szCs w:val="21"/>
                      <w:lang w:val="en-US" w:eastAsia="zh-CN"/>
                    </w:rPr>
                  </w:pPr>
                </w:p>
              </w:tc>
              <w:tc>
                <w:tcPr>
                  <w:tcW w:w="435" w:type="pct"/>
                  <w:tcBorders>
                    <w:tl2br w:val="nil"/>
                    <w:tr2bl w:val="nil"/>
                  </w:tcBorders>
                  <w:shd w:val="clear" w:color="auto" w:fill="auto"/>
                  <w:noWrap w:val="0"/>
                  <w:vAlign w:val="center"/>
                </w:tcPr>
                <w:p w14:paraId="2C771449">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478</w:t>
                  </w:r>
                </w:p>
              </w:tc>
              <w:tc>
                <w:tcPr>
                  <w:tcW w:w="435" w:type="pct"/>
                  <w:tcBorders>
                    <w:tl2br w:val="nil"/>
                    <w:tr2bl w:val="nil"/>
                  </w:tcBorders>
                  <w:shd w:val="clear" w:color="auto" w:fill="auto"/>
                  <w:noWrap w:val="0"/>
                  <w:vAlign w:val="center"/>
                </w:tcPr>
                <w:p w14:paraId="44D60D01">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w:t>
                  </w:r>
                </w:p>
              </w:tc>
              <w:tc>
                <w:tcPr>
                  <w:tcW w:w="476" w:type="pct"/>
                  <w:tcBorders>
                    <w:tl2br w:val="nil"/>
                    <w:tr2bl w:val="nil"/>
                  </w:tcBorders>
                  <w:shd w:val="clear" w:color="auto" w:fill="auto"/>
                  <w:noWrap w:val="0"/>
                  <w:vAlign w:val="center"/>
                </w:tcPr>
                <w:p w14:paraId="1987462E">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29" w:type="pct"/>
                  <w:tcBorders>
                    <w:tl2br w:val="nil"/>
                    <w:tr2bl w:val="nil"/>
                  </w:tcBorders>
                  <w:shd w:val="clear" w:color="auto" w:fill="auto"/>
                  <w:noWrap w:val="0"/>
                  <w:vAlign w:val="center"/>
                </w:tcPr>
                <w:p w14:paraId="6AA46D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1000（无量纲）</w:t>
                  </w:r>
                </w:p>
              </w:tc>
            </w:tr>
            <w:tr w14:paraId="47560AA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838" w:hRule="atLeast"/>
                <w:jc w:val="center"/>
              </w:trPr>
              <w:tc>
                <w:tcPr>
                  <w:tcW w:w="244" w:type="pct"/>
                  <w:vMerge w:val="continue"/>
                  <w:tcBorders>
                    <w:tl2br w:val="nil"/>
                    <w:tr2bl w:val="nil"/>
                  </w:tcBorders>
                  <w:noWrap w:val="0"/>
                  <w:vAlign w:val="center"/>
                </w:tcPr>
                <w:p w14:paraId="6CB931DD">
                  <w:pPr>
                    <w:keepNext w:val="0"/>
                    <w:keepLines w:val="0"/>
                    <w:pageBreakBefore w:val="0"/>
                    <w:widowControl/>
                    <w:suppressLineNumbers w:val="0"/>
                    <w:kinsoku/>
                    <w:wordWrap/>
                    <w:overflowPunct/>
                    <w:topLinePunct w:val="0"/>
                    <w:autoSpaceDE/>
                    <w:autoSpaceDN/>
                    <w:bidi w:val="0"/>
                    <w:spacing w:line="288" w:lineRule="auto"/>
                    <w:jc w:val="center"/>
                    <w:textAlignment w:val="auto"/>
                    <w:rPr>
                      <w:rFonts w:hint="eastAsia" w:ascii="宋体" w:hAnsi="宋体" w:cs="宋体"/>
                      <w:color w:val="auto"/>
                      <w:kern w:val="0"/>
                      <w:sz w:val="21"/>
                      <w:szCs w:val="21"/>
                      <w:lang w:val="en-US" w:eastAsia="zh-CN" w:bidi="ar"/>
                    </w:rPr>
                  </w:pPr>
                </w:p>
              </w:tc>
              <w:tc>
                <w:tcPr>
                  <w:tcW w:w="222" w:type="pct"/>
                  <w:vMerge w:val="restart"/>
                  <w:tcBorders>
                    <w:tl2br w:val="nil"/>
                    <w:tr2bl w:val="nil"/>
                  </w:tcBorders>
                  <w:shd w:val="clear" w:color="auto" w:fill="auto"/>
                  <w:noWrap w:val="0"/>
                  <w:vAlign w:val="center"/>
                </w:tcPr>
                <w:p w14:paraId="30C80CD7">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无组织</w:t>
                  </w:r>
                </w:p>
              </w:tc>
              <w:tc>
                <w:tcPr>
                  <w:tcW w:w="380" w:type="pct"/>
                  <w:tcBorders>
                    <w:tl2br w:val="nil"/>
                    <w:tr2bl w:val="nil"/>
                  </w:tcBorders>
                  <w:shd w:val="clear" w:color="auto" w:fill="auto"/>
                  <w:noWrap w:val="0"/>
                  <w:vAlign w:val="center"/>
                </w:tcPr>
                <w:p w14:paraId="221CC87C">
                  <w:pPr>
                    <w:pStyle w:val="44"/>
                    <w:adjustRightInd w:val="0"/>
                    <w:snapToGrid w:val="0"/>
                    <w:ind w:firstLine="0" w:firstLineChars="0"/>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color w:val="auto"/>
                      <w:sz w:val="21"/>
                      <w:szCs w:val="21"/>
                    </w:rPr>
                    <w:t>VOCs</w:t>
                  </w:r>
                </w:p>
              </w:tc>
              <w:tc>
                <w:tcPr>
                  <w:tcW w:w="435" w:type="pct"/>
                  <w:tcBorders>
                    <w:tl2br w:val="nil"/>
                    <w:tr2bl w:val="nil"/>
                  </w:tcBorders>
                  <w:shd w:val="clear" w:color="auto" w:fill="auto"/>
                  <w:noWrap w:val="0"/>
                  <w:vAlign w:val="center"/>
                </w:tcPr>
                <w:p w14:paraId="7DE9B360">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416" w:type="pct"/>
                  <w:tcBorders>
                    <w:tl2br w:val="nil"/>
                    <w:tr2bl w:val="nil"/>
                  </w:tcBorders>
                  <w:shd w:val="clear" w:color="auto" w:fill="auto"/>
                  <w:noWrap w:val="0"/>
                  <w:vAlign w:val="center"/>
                </w:tcPr>
                <w:p w14:paraId="29676004">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黑体" w:cs="Times New Roman"/>
                      <w:color w:val="auto"/>
                      <w:kern w:val="2"/>
                      <w:sz w:val="21"/>
                      <w:szCs w:val="21"/>
                      <w:lang w:val="en-US" w:eastAsia="zh-CN" w:bidi="zh-CN"/>
                    </w:rPr>
                  </w:pPr>
                  <w:r>
                    <w:rPr>
                      <w:rFonts w:hint="eastAsia" w:eastAsia="宋体" w:cs="Times New Roman"/>
                      <w:b w:val="0"/>
                      <w:bCs w:val="0"/>
                      <w:i w:val="0"/>
                      <w:iCs w:val="0"/>
                      <w:color w:val="auto"/>
                      <w:sz w:val="21"/>
                      <w:szCs w:val="21"/>
                      <w:u w:val="none"/>
                      <w:lang w:val="en-US" w:eastAsia="zh-CN"/>
                    </w:rPr>
                    <w:t>0.516</w:t>
                  </w:r>
                </w:p>
              </w:tc>
              <w:tc>
                <w:tcPr>
                  <w:tcW w:w="324" w:type="pct"/>
                  <w:tcBorders>
                    <w:tl2br w:val="nil"/>
                    <w:tr2bl w:val="nil"/>
                  </w:tcBorders>
                  <w:shd w:val="clear" w:color="auto" w:fill="auto"/>
                  <w:noWrap w:val="0"/>
                  <w:vAlign w:val="center"/>
                </w:tcPr>
                <w:p w14:paraId="5DF169FB">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259" w:type="pct"/>
                  <w:tcBorders>
                    <w:tl2br w:val="nil"/>
                    <w:tr2bl w:val="nil"/>
                  </w:tcBorders>
                  <w:shd w:val="clear" w:color="auto" w:fill="auto"/>
                  <w:noWrap w:val="0"/>
                  <w:vAlign w:val="center"/>
                </w:tcPr>
                <w:p w14:paraId="16FCFD80">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333" w:type="pct"/>
                  <w:tcBorders>
                    <w:tl2br w:val="nil"/>
                    <w:tr2bl w:val="nil"/>
                  </w:tcBorders>
                  <w:shd w:val="clear" w:color="auto" w:fill="auto"/>
                  <w:noWrap w:val="0"/>
                  <w:vAlign w:val="center"/>
                </w:tcPr>
                <w:p w14:paraId="1272B546">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62" w:type="pct"/>
                  <w:vMerge w:val="continue"/>
                  <w:tcBorders>
                    <w:tl2br w:val="nil"/>
                    <w:tr2bl w:val="nil"/>
                  </w:tcBorders>
                  <w:shd w:val="clear" w:color="auto" w:fill="auto"/>
                  <w:noWrap w:val="0"/>
                  <w:vAlign w:val="center"/>
                </w:tcPr>
                <w:p w14:paraId="0A3C6729">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44" w:type="pct"/>
                  <w:vMerge w:val="continue"/>
                  <w:tcBorders>
                    <w:tl2br w:val="nil"/>
                    <w:tr2bl w:val="nil"/>
                  </w:tcBorders>
                  <w:shd w:val="clear" w:color="auto" w:fill="auto"/>
                  <w:noWrap w:val="0"/>
                  <w:vAlign w:val="center"/>
                </w:tcPr>
                <w:p w14:paraId="72907B0D">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35" w:type="pct"/>
                  <w:tcBorders>
                    <w:tl2br w:val="nil"/>
                    <w:tr2bl w:val="nil"/>
                  </w:tcBorders>
                  <w:shd w:val="clear" w:color="auto" w:fill="auto"/>
                  <w:noWrap w:val="0"/>
                  <w:vAlign w:val="center"/>
                </w:tcPr>
                <w:p w14:paraId="17E5255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435" w:type="pct"/>
                  <w:tcBorders>
                    <w:tl2br w:val="nil"/>
                    <w:tr2bl w:val="nil"/>
                  </w:tcBorders>
                  <w:shd w:val="clear" w:color="auto" w:fill="auto"/>
                  <w:noWrap w:val="0"/>
                  <w:vAlign w:val="center"/>
                </w:tcPr>
                <w:p w14:paraId="581FBF03">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黑体" w:cs="Times New Roman"/>
                      <w:color w:val="auto"/>
                      <w:kern w:val="2"/>
                      <w:sz w:val="21"/>
                      <w:szCs w:val="21"/>
                      <w:lang w:val="en-US" w:eastAsia="zh-CN" w:bidi="zh-CN"/>
                    </w:rPr>
                  </w:pPr>
                  <w:r>
                    <w:rPr>
                      <w:rFonts w:hint="eastAsia" w:ascii="Times New Roman" w:hAnsi="Times New Roman" w:eastAsia="黑体" w:cs="Times New Roman"/>
                      <w:color w:val="auto"/>
                      <w:kern w:val="2"/>
                      <w:sz w:val="21"/>
                      <w:szCs w:val="21"/>
                      <w:lang w:val="en-US" w:eastAsia="zh-CN" w:bidi="zh-CN"/>
                    </w:rPr>
                    <w:t>0.516</w:t>
                  </w:r>
                </w:p>
              </w:tc>
              <w:tc>
                <w:tcPr>
                  <w:tcW w:w="476" w:type="pct"/>
                  <w:tcBorders>
                    <w:tl2br w:val="nil"/>
                    <w:tr2bl w:val="nil"/>
                  </w:tcBorders>
                  <w:shd w:val="clear" w:color="auto" w:fill="auto"/>
                  <w:noWrap w:val="0"/>
                  <w:vAlign w:val="center"/>
                </w:tcPr>
                <w:p w14:paraId="5ED294E1">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黑体"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0.108</w:t>
                  </w:r>
                </w:p>
              </w:tc>
              <w:tc>
                <w:tcPr>
                  <w:tcW w:w="429" w:type="pct"/>
                  <w:tcBorders>
                    <w:tl2br w:val="nil"/>
                    <w:tr2bl w:val="nil"/>
                  </w:tcBorders>
                  <w:shd w:val="clear" w:color="auto" w:fill="auto"/>
                  <w:noWrap w:val="0"/>
                  <w:vAlign w:val="center"/>
                </w:tcPr>
                <w:p w14:paraId="5AFDFA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2.0</w:t>
                  </w:r>
                </w:p>
              </w:tc>
            </w:tr>
            <w:tr w14:paraId="769130D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838" w:hRule="atLeast"/>
                <w:jc w:val="center"/>
              </w:trPr>
              <w:tc>
                <w:tcPr>
                  <w:tcW w:w="244" w:type="pct"/>
                  <w:vMerge w:val="continue"/>
                  <w:tcBorders>
                    <w:tl2br w:val="nil"/>
                    <w:tr2bl w:val="nil"/>
                  </w:tcBorders>
                  <w:noWrap w:val="0"/>
                  <w:vAlign w:val="center"/>
                </w:tcPr>
                <w:p w14:paraId="78A1ACE9">
                  <w:pPr>
                    <w:keepNext w:val="0"/>
                    <w:keepLines w:val="0"/>
                    <w:pageBreakBefore w:val="0"/>
                    <w:widowControl/>
                    <w:suppressLineNumbers w:val="0"/>
                    <w:kinsoku/>
                    <w:wordWrap/>
                    <w:overflowPunct/>
                    <w:topLinePunct w:val="0"/>
                    <w:autoSpaceDE/>
                    <w:autoSpaceDN/>
                    <w:bidi w:val="0"/>
                    <w:spacing w:line="288" w:lineRule="auto"/>
                    <w:jc w:val="center"/>
                    <w:textAlignment w:val="auto"/>
                    <w:rPr>
                      <w:rFonts w:hint="eastAsia" w:ascii="宋体" w:hAnsi="宋体" w:cs="宋体"/>
                      <w:color w:val="auto"/>
                      <w:kern w:val="0"/>
                      <w:sz w:val="21"/>
                      <w:szCs w:val="21"/>
                      <w:lang w:val="en-US" w:eastAsia="zh-CN" w:bidi="ar"/>
                    </w:rPr>
                  </w:pPr>
                </w:p>
              </w:tc>
              <w:tc>
                <w:tcPr>
                  <w:tcW w:w="222" w:type="pct"/>
                  <w:vMerge w:val="continue"/>
                  <w:tcBorders>
                    <w:tl2br w:val="nil"/>
                    <w:tr2bl w:val="nil"/>
                  </w:tcBorders>
                  <w:shd w:val="clear" w:color="auto" w:fill="auto"/>
                  <w:noWrap w:val="0"/>
                  <w:vAlign w:val="center"/>
                </w:tcPr>
                <w:p w14:paraId="3FDB9672">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color w:val="auto"/>
                      <w:sz w:val="21"/>
                      <w:szCs w:val="21"/>
                      <w:lang w:eastAsia="zh-CN"/>
                    </w:rPr>
                  </w:pPr>
                </w:p>
              </w:tc>
              <w:tc>
                <w:tcPr>
                  <w:tcW w:w="380" w:type="pct"/>
                  <w:tcBorders>
                    <w:tl2br w:val="nil"/>
                    <w:tr2bl w:val="nil"/>
                  </w:tcBorders>
                  <w:shd w:val="clear" w:color="auto" w:fill="auto"/>
                  <w:noWrap w:val="0"/>
                  <w:vAlign w:val="center"/>
                </w:tcPr>
                <w:p w14:paraId="0F1EA7C1">
                  <w:pPr>
                    <w:pStyle w:val="44"/>
                    <w:adjustRightInd w:val="0"/>
                    <w:snapToGrid w:val="0"/>
                    <w:ind w:firstLine="0" w:firstLineChars="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臭气浓度</w:t>
                  </w:r>
                </w:p>
              </w:tc>
              <w:tc>
                <w:tcPr>
                  <w:tcW w:w="435" w:type="pct"/>
                  <w:tcBorders>
                    <w:tl2br w:val="nil"/>
                    <w:tr2bl w:val="nil"/>
                  </w:tcBorders>
                  <w:shd w:val="clear" w:color="auto" w:fill="auto"/>
                  <w:noWrap w:val="0"/>
                  <w:vAlign w:val="center"/>
                </w:tcPr>
                <w:p w14:paraId="5A86C771">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16" w:type="pct"/>
                  <w:tcBorders>
                    <w:tl2br w:val="nil"/>
                    <w:tr2bl w:val="nil"/>
                  </w:tcBorders>
                  <w:shd w:val="clear" w:color="auto" w:fill="auto"/>
                  <w:noWrap w:val="0"/>
                  <w:vAlign w:val="center"/>
                </w:tcPr>
                <w:p w14:paraId="2BDDDEFC">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eastAsia="宋体" w:cs="Times New Roman"/>
                      <w:b w:val="0"/>
                      <w:bCs w:val="0"/>
                      <w:i w:val="0"/>
                      <w:iCs w:val="0"/>
                      <w:color w:val="auto"/>
                      <w:sz w:val="21"/>
                      <w:szCs w:val="21"/>
                      <w:u w:val="none"/>
                      <w:lang w:val="en-US" w:eastAsia="zh-CN"/>
                    </w:rPr>
                  </w:pPr>
                  <w:r>
                    <w:rPr>
                      <w:rFonts w:hint="eastAsia" w:eastAsia="宋体" w:cs="Times New Roman"/>
                      <w:b w:val="0"/>
                      <w:bCs w:val="0"/>
                      <w:i w:val="0"/>
                      <w:iCs w:val="0"/>
                      <w:color w:val="auto"/>
                      <w:sz w:val="21"/>
                      <w:szCs w:val="21"/>
                      <w:u w:val="none"/>
                      <w:lang w:val="en-US" w:eastAsia="zh-CN"/>
                    </w:rPr>
                    <w:t>/</w:t>
                  </w:r>
                </w:p>
              </w:tc>
              <w:tc>
                <w:tcPr>
                  <w:tcW w:w="324" w:type="pct"/>
                  <w:tcBorders>
                    <w:tl2br w:val="nil"/>
                    <w:tr2bl w:val="nil"/>
                  </w:tcBorders>
                  <w:shd w:val="clear" w:color="auto" w:fill="auto"/>
                  <w:noWrap w:val="0"/>
                  <w:vAlign w:val="center"/>
                </w:tcPr>
                <w:p w14:paraId="1B05A0F3">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259" w:type="pct"/>
                  <w:tcBorders>
                    <w:tl2br w:val="nil"/>
                    <w:tr2bl w:val="nil"/>
                  </w:tcBorders>
                  <w:shd w:val="clear" w:color="auto" w:fill="auto"/>
                  <w:noWrap w:val="0"/>
                  <w:vAlign w:val="center"/>
                </w:tcPr>
                <w:p w14:paraId="38BEE20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333" w:type="pct"/>
                  <w:tcBorders>
                    <w:tl2br w:val="nil"/>
                    <w:tr2bl w:val="nil"/>
                  </w:tcBorders>
                  <w:shd w:val="clear" w:color="auto" w:fill="auto"/>
                  <w:noWrap w:val="0"/>
                  <w:vAlign w:val="center"/>
                </w:tcPr>
                <w:p w14:paraId="715D0AB0">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62" w:type="pct"/>
                  <w:vMerge w:val="continue"/>
                  <w:tcBorders>
                    <w:tl2br w:val="nil"/>
                    <w:tr2bl w:val="nil"/>
                  </w:tcBorders>
                  <w:shd w:val="clear" w:color="auto" w:fill="auto"/>
                  <w:noWrap w:val="0"/>
                  <w:vAlign w:val="center"/>
                </w:tcPr>
                <w:p w14:paraId="069B8D87">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44" w:type="pct"/>
                  <w:vMerge w:val="continue"/>
                  <w:tcBorders>
                    <w:tl2br w:val="nil"/>
                    <w:tr2bl w:val="nil"/>
                  </w:tcBorders>
                  <w:shd w:val="clear" w:color="auto" w:fill="auto"/>
                  <w:noWrap w:val="0"/>
                  <w:vAlign w:val="center"/>
                </w:tcPr>
                <w:p w14:paraId="3D7B0481">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35" w:type="pct"/>
                  <w:tcBorders>
                    <w:tl2br w:val="nil"/>
                    <w:tr2bl w:val="nil"/>
                  </w:tcBorders>
                  <w:shd w:val="clear" w:color="auto" w:fill="auto"/>
                  <w:noWrap w:val="0"/>
                  <w:vAlign w:val="center"/>
                </w:tcPr>
                <w:p w14:paraId="135BCCC4">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4"/>
                      <w:szCs w:val="24"/>
                      <w:lang w:val="en-US" w:eastAsia="zh-CN"/>
                    </w:rPr>
                    <w:t>&lt;10</w:t>
                  </w:r>
                </w:p>
              </w:tc>
              <w:tc>
                <w:tcPr>
                  <w:tcW w:w="435" w:type="pct"/>
                  <w:tcBorders>
                    <w:tl2br w:val="nil"/>
                    <w:tr2bl w:val="nil"/>
                  </w:tcBorders>
                  <w:shd w:val="clear" w:color="auto" w:fill="auto"/>
                  <w:noWrap w:val="0"/>
                  <w:vAlign w:val="center"/>
                </w:tcPr>
                <w:p w14:paraId="784EC868">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color w:val="auto"/>
                      <w:kern w:val="2"/>
                      <w:sz w:val="21"/>
                      <w:szCs w:val="21"/>
                      <w:lang w:val="en-US" w:eastAsia="zh-CN" w:bidi="zh-CN"/>
                    </w:rPr>
                  </w:pPr>
                  <w:r>
                    <w:rPr>
                      <w:rFonts w:hint="eastAsia" w:ascii="Times New Roman" w:hAnsi="Times New Roman" w:cs="Times New Roman"/>
                      <w:color w:val="auto"/>
                      <w:kern w:val="2"/>
                      <w:sz w:val="21"/>
                      <w:szCs w:val="21"/>
                      <w:lang w:val="en-US" w:eastAsia="zh-CN" w:bidi="zh-CN"/>
                    </w:rPr>
                    <w:t>/</w:t>
                  </w:r>
                </w:p>
              </w:tc>
              <w:tc>
                <w:tcPr>
                  <w:tcW w:w="476" w:type="pct"/>
                  <w:tcBorders>
                    <w:tl2br w:val="nil"/>
                    <w:tr2bl w:val="nil"/>
                  </w:tcBorders>
                  <w:shd w:val="clear" w:color="auto" w:fill="auto"/>
                  <w:noWrap w:val="0"/>
                  <w:vAlign w:val="center"/>
                </w:tcPr>
                <w:p w14:paraId="08F4D353">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429" w:type="pct"/>
                  <w:tcBorders>
                    <w:tl2br w:val="nil"/>
                    <w:tr2bl w:val="nil"/>
                  </w:tcBorders>
                  <w:shd w:val="clear" w:color="auto" w:fill="auto"/>
                  <w:noWrap w:val="0"/>
                  <w:vAlign w:val="center"/>
                </w:tcPr>
                <w:p w14:paraId="5237BA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lang w:val="en-US" w:eastAsia="zh-CN" w:bidi="ar-SA"/>
                    </w:rPr>
                  </w:pPr>
                  <w:r>
                    <w:rPr>
                      <w:rFonts w:hint="eastAsia"/>
                      <w:color w:val="auto"/>
                    </w:rPr>
                    <w:t>20（无量纲）</w:t>
                  </w:r>
                </w:p>
              </w:tc>
            </w:tr>
            <w:tr w14:paraId="4CFA0E0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194" w:hRule="atLeast"/>
                <w:jc w:val="center"/>
              </w:trPr>
              <w:tc>
                <w:tcPr>
                  <w:tcW w:w="244" w:type="pct"/>
                  <w:tcBorders>
                    <w:tl2br w:val="nil"/>
                    <w:tr2bl w:val="nil"/>
                  </w:tcBorders>
                  <w:noWrap w:val="0"/>
                  <w:vAlign w:val="center"/>
                </w:tcPr>
                <w:p w14:paraId="34EC1498">
                  <w:pPr>
                    <w:keepNext w:val="0"/>
                    <w:keepLines w:val="0"/>
                    <w:pageBreakBefore w:val="0"/>
                    <w:widowControl/>
                    <w:suppressLineNumbers w:val="0"/>
                    <w:kinsoku/>
                    <w:wordWrap/>
                    <w:overflowPunct/>
                    <w:topLinePunct w:val="0"/>
                    <w:autoSpaceDE/>
                    <w:autoSpaceDN/>
                    <w:bidi w:val="0"/>
                    <w:spacing w:line="288" w:lineRule="auto"/>
                    <w:jc w:val="center"/>
                    <w:textAlignment w:val="auto"/>
                    <w:rPr>
                      <w:rFonts w:hint="default"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投料粉尘</w:t>
                  </w:r>
                </w:p>
              </w:tc>
              <w:tc>
                <w:tcPr>
                  <w:tcW w:w="222" w:type="pct"/>
                  <w:tcBorders>
                    <w:tl2br w:val="nil"/>
                    <w:tr2bl w:val="nil"/>
                  </w:tcBorders>
                  <w:shd w:val="clear" w:color="auto" w:fill="auto"/>
                  <w:noWrap w:val="0"/>
                  <w:vAlign w:val="center"/>
                </w:tcPr>
                <w:p w14:paraId="6D64942C">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无组织</w:t>
                  </w:r>
                </w:p>
              </w:tc>
              <w:tc>
                <w:tcPr>
                  <w:tcW w:w="380" w:type="pct"/>
                  <w:tcBorders>
                    <w:tl2br w:val="nil"/>
                    <w:tr2bl w:val="nil"/>
                  </w:tcBorders>
                  <w:shd w:val="clear" w:color="auto" w:fill="auto"/>
                  <w:noWrap w:val="0"/>
                  <w:vAlign w:val="center"/>
                </w:tcPr>
                <w:p w14:paraId="46865208">
                  <w:pPr>
                    <w:pStyle w:val="5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435" w:type="pct"/>
                  <w:tcBorders>
                    <w:tl2br w:val="nil"/>
                    <w:tr2bl w:val="nil"/>
                  </w:tcBorders>
                  <w:shd w:val="clear" w:color="auto" w:fill="auto"/>
                  <w:noWrap w:val="0"/>
                  <w:vAlign w:val="center"/>
                </w:tcPr>
                <w:p w14:paraId="7A5DD9C9">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16" w:type="pct"/>
                  <w:tcBorders>
                    <w:tl2br w:val="nil"/>
                    <w:tr2bl w:val="nil"/>
                  </w:tcBorders>
                  <w:shd w:val="clear" w:color="auto" w:fill="auto"/>
                  <w:noWrap w:val="0"/>
                  <w:vAlign w:val="center"/>
                </w:tcPr>
                <w:p w14:paraId="0363C55C">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eastAsia="宋体" w:cs="Times New Roman"/>
                      <w:b w:val="0"/>
                      <w:bCs w:val="0"/>
                      <w:i w:val="0"/>
                      <w:iCs w:val="0"/>
                      <w:color w:val="auto"/>
                      <w:sz w:val="21"/>
                      <w:szCs w:val="21"/>
                      <w:u w:val="none"/>
                      <w:lang w:val="en-US" w:eastAsia="zh-CN"/>
                    </w:rPr>
                  </w:pPr>
                  <w:r>
                    <w:rPr>
                      <w:rFonts w:hint="eastAsia" w:eastAsia="宋体" w:cs="Times New Roman"/>
                      <w:b w:val="0"/>
                      <w:bCs w:val="0"/>
                      <w:i w:val="0"/>
                      <w:iCs w:val="0"/>
                      <w:color w:val="auto"/>
                      <w:sz w:val="21"/>
                      <w:szCs w:val="21"/>
                      <w:u w:val="none"/>
                      <w:lang w:val="en-US" w:eastAsia="zh-CN"/>
                    </w:rPr>
                    <w:t>0.005</w:t>
                  </w:r>
                </w:p>
              </w:tc>
              <w:tc>
                <w:tcPr>
                  <w:tcW w:w="324" w:type="pct"/>
                  <w:tcBorders>
                    <w:tl2br w:val="nil"/>
                    <w:tr2bl w:val="nil"/>
                  </w:tcBorders>
                  <w:shd w:val="clear" w:color="auto" w:fill="auto"/>
                  <w:noWrap w:val="0"/>
                  <w:vAlign w:val="center"/>
                </w:tcPr>
                <w:p w14:paraId="2EC5F13E">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259" w:type="pct"/>
                  <w:tcBorders>
                    <w:tl2br w:val="nil"/>
                    <w:tr2bl w:val="nil"/>
                  </w:tcBorders>
                  <w:shd w:val="clear" w:color="auto" w:fill="auto"/>
                  <w:noWrap w:val="0"/>
                  <w:vAlign w:val="center"/>
                </w:tcPr>
                <w:p w14:paraId="11E27158">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333" w:type="pct"/>
                  <w:tcBorders>
                    <w:tl2br w:val="nil"/>
                    <w:tr2bl w:val="nil"/>
                  </w:tcBorders>
                  <w:shd w:val="clear" w:color="auto" w:fill="auto"/>
                  <w:noWrap w:val="0"/>
                  <w:vAlign w:val="center"/>
                </w:tcPr>
                <w:p w14:paraId="7A003974">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62" w:type="pct"/>
                  <w:tcBorders>
                    <w:tl2br w:val="nil"/>
                    <w:tr2bl w:val="nil"/>
                  </w:tcBorders>
                  <w:shd w:val="clear" w:color="auto" w:fill="auto"/>
                  <w:noWrap w:val="0"/>
                  <w:vAlign w:val="center"/>
                </w:tcPr>
                <w:p w14:paraId="422D613B">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44" w:type="pct"/>
                  <w:tcBorders>
                    <w:tl2br w:val="nil"/>
                    <w:tr2bl w:val="nil"/>
                  </w:tcBorders>
                  <w:shd w:val="clear" w:color="auto" w:fill="auto"/>
                  <w:noWrap w:val="0"/>
                  <w:vAlign w:val="center"/>
                </w:tcPr>
                <w:p w14:paraId="6EE0E9AC">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加强通风</w:t>
                  </w:r>
                </w:p>
              </w:tc>
              <w:tc>
                <w:tcPr>
                  <w:tcW w:w="435" w:type="pct"/>
                  <w:tcBorders>
                    <w:tl2br w:val="nil"/>
                    <w:tr2bl w:val="nil"/>
                  </w:tcBorders>
                  <w:shd w:val="clear" w:color="auto" w:fill="auto"/>
                  <w:noWrap w:val="0"/>
                  <w:vAlign w:val="center"/>
                </w:tcPr>
                <w:p w14:paraId="050DAB2C">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35" w:type="pct"/>
                  <w:tcBorders>
                    <w:tl2br w:val="nil"/>
                    <w:tr2bl w:val="nil"/>
                  </w:tcBorders>
                  <w:shd w:val="clear" w:color="auto" w:fill="auto"/>
                  <w:noWrap w:val="0"/>
                  <w:vAlign w:val="center"/>
                </w:tcPr>
                <w:p w14:paraId="1913F8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0.005</w:t>
                  </w:r>
                </w:p>
              </w:tc>
              <w:tc>
                <w:tcPr>
                  <w:tcW w:w="476" w:type="pct"/>
                  <w:tcBorders>
                    <w:tl2br w:val="nil"/>
                    <w:tr2bl w:val="nil"/>
                  </w:tcBorders>
                  <w:shd w:val="clear" w:color="auto" w:fill="auto"/>
                  <w:noWrap w:val="0"/>
                  <w:vAlign w:val="center"/>
                </w:tcPr>
                <w:p w14:paraId="58167B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0.001</w:t>
                  </w:r>
                </w:p>
              </w:tc>
              <w:tc>
                <w:tcPr>
                  <w:tcW w:w="429" w:type="pct"/>
                  <w:tcBorders>
                    <w:tl2br w:val="nil"/>
                    <w:tr2bl w:val="nil"/>
                  </w:tcBorders>
                  <w:shd w:val="clear" w:color="auto" w:fill="auto"/>
                  <w:noWrap w:val="0"/>
                  <w:vAlign w:val="center"/>
                </w:tcPr>
                <w:p w14:paraId="10F977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sz w:val="21"/>
                      <w:szCs w:val="21"/>
                      <w:lang w:val="en-US" w:eastAsia="zh-CN"/>
                    </w:rPr>
                  </w:pPr>
                  <w:r>
                    <w:rPr>
                      <w:rFonts w:hint="eastAsia" w:cs="Times New Roman"/>
                      <w:b w:val="0"/>
                      <w:bCs/>
                      <w:color w:val="auto"/>
                      <w:sz w:val="21"/>
                      <w:szCs w:val="21"/>
                      <w:lang w:val="en-US" w:eastAsia="zh-CN"/>
                    </w:rPr>
                    <w:t>0.5</w:t>
                  </w:r>
                </w:p>
              </w:tc>
            </w:tr>
            <w:tr w14:paraId="2CE651FA">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854" w:hRule="atLeast"/>
                <w:jc w:val="center"/>
              </w:trPr>
              <w:tc>
                <w:tcPr>
                  <w:tcW w:w="244" w:type="pct"/>
                  <w:vMerge w:val="restart"/>
                  <w:tcBorders>
                    <w:tl2br w:val="nil"/>
                    <w:tr2bl w:val="nil"/>
                  </w:tcBorders>
                  <w:noWrap w:val="0"/>
                  <w:vAlign w:val="center"/>
                </w:tcPr>
                <w:p w14:paraId="0320A2D6">
                  <w:pPr>
                    <w:keepNext w:val="0"/>
                    <w:keepLines w:val="0"/>
                    <w:pageBreakBefore w:val="0"/>
                    <w:widowControl/>
                    <w:suppressLineNumbers w:val="0"/>
                    <w:kinsoku/>
                    <w:wordWrap/>
                    <w:overflowPunct/>
                    <w:topLinePunct w:val="0"/>
                    <w:autoSpaceDE/>
                    <w:autoSpaceDN/>
                    <w:bidi w:val="0"/>
                    <w:spacing w:line="288" w:lineRule="auto"/>
                    <w:jc w:val="center"/>
                    <w:textAlignment w:val="auto"/>
                    <w:rPr>
                      <w:rFonts w:hint="eastAsia" w:ascii="宋体" w:hAnsi="宋体" w:cs="宋体"/>
                      <w:color w:val="auto"/>
                      <w:kern w:val="0"/>
                      <w:sz w:val="21"/>
                      <w:szCs w:val="21"/>
                      <w:lang w:val="en-US" w:eastAsia="zh-CN" w:bidi="ar"/>
                    </w:rPr>
                  </w:pPr>
                  <w:r>
                    <w:rPr>
                      <w:rFonts w:hint="eastAsia"/>
                      <w:color w:val="auto"/>
                      <w:sz w:val="21"/>
                      <w:szCs w:val="21"/>
                    </w:rPr>
                    <w:t>污水处理站</w:t>
                  </w:r>
                </w:p>
              </w:tc>
              <w:tc>
                <w:tcPr>
                  <w:tcW w:w="222" w:type="pct"/>
                  <w:vMerge w:val="restart"/>
                  <w:tcBorders>
                    <w:tl2br w:val="nil"/>
                    <w:tr2bl w:val="nil"/>
                  </w:tcBorders>
                  <w:shd w:val="clear" w:color="auto" w:fill="auto"/>
                  <w:noWrap w:val="0"/>
                  <w:vAlign w:val="center"/>
                </w:tcPr>
                <w:p w14:paraId="51DEC22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无组织</w:t>
                  </w:r>
                </w:p>
              </w:tc>
              <w:tc>
                <w:tcPr>
                  <w:tcW w:w="380" w:type="pct"/>
                  <w:tcBorders>
                    <w:tl2br w:val="nil"/>
                    <w:tr2bl w:val="nil"/>
                  </w:tcBorders>
                  <w:shd w:val="clear" w:color="auto" w:fill="auto"/>
                  <w:noWrap w:val="0"/>
                  <w:vAlign w:val="center"/>
                </w:tcPr>
                <w:p w14:paraId="69E3B779">
                  <w:pPr>
                    <w:widowControl/>
                    <w:spacing w:beforeLines="0" w:afterLines="0" w:line="288"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435" w:type="pct"/>
                  <w:tcBorders>
                    <w:tl2br w:val="nil"/>
                    <w:tr2bl w:val="nil"/>
                  </w:tcBorders>
                  <w:shd w:val="clear" w:color="auto" w:fill="auto"/>
                  <w:noWrap w:val="0"/>
                  <w:vAlign w:val="center"/>
                </w:tcPr>
                <w:p w14:paraId="54C3F4FB">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16" w:type="pct"/>
                  <w:tcBorders>
                    <w:tl2br w:val="nil"/>
                    <w:tr2bl w:val="nil"/>
                  </w:tcBorders>
                  <w:shd w:val="clear" w:color="auto" w:fill="auto"/>
                  <w:noWrap w:val="0"/>
                  <w:vAlign w:val="center"/>
                </w:tcPr>
                <w:p w14:paraId="29F57C76">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eastAsia="宋体" w:cs="Times New Roman"/>
                      <w:b w:val="0"/>
                      <w:bCs w:val="0"/>
                      <w:i w:val="0"/>
                      <w:iCs w:val="0"/>
                      <w:color w:val="auto"/>
                      <w:sz w:val="21"/>
                      <w:szCs w:val="21"/>
                      <w:u w:val="none"/>
                      <w:lang w:val="en-US" w:eastAsia="zh-CN"/>
                    </w:rPr>
                  </w:pPr>
                  <w:r>
                    <w:rPr>
                      <w:rFonts w:hint="eastAsia" w:eastAsia="宋体" w:cs="Times New Roman"/>
                      <w:b w:val="0"/>
                      <w:bCs w:val="0"/>
                      <w:i w:val="0"/>
                      <w:iCs w:val="0"/>
                      <w:color w:val="auto"/>
                      <w:sz w:val="21"/>
                      <w:szCs w:val="21"/>
                      <w:u w:val="none"/>
                      <w:lang w:val="en-US" w:eastAsia="zh-CN"/>
                    </w:rPr>
                    <w:t>/</w:t>
                  </w:r>
                </w:p>
              </w:tc>
              <w:tc>
                <w:tcPr>
                  <w:tcW w:w="324" w:type="pct"/>
                  <w:tcBorders>
                    <w:tl2br w:val="nil"/>
                    <w:tr2bl w:val="nil"/>
                  </w:tcBorders>
                  <w:shd w:val="clear" w:color="auto" w:fill="auto"/>
                  <w:noWrap w:val="0"/>
                  <w:vAlign w:val="center"/>
                </w:tcPr>
                <w:p w14:paraId="00D7C37B">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259" w:type="pct"/>
                  <w:tcBorders>
                    <w:tl2br w:val="nil"/>
                    <w:tr2bl w:val="nil"/>
                  </w:tcBorders>
                  <w:shd w:val="clear" w:color="auto" w:fill="auto"/>
                  <w:noWrap w:val="0"/>
                  <w:vAlign w:val="center"/>
                </w:tcPr>
                <w:p w14:paraId="4725626C">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333" w:type="pct"/>
                  <w:tcBorders>
                    <w:tl2br w:val="nil"/>
                    <w:tr2bl w:val="nil"/>
                  </w:tcBorders>
                  <w:shd w:val="clear" w:color="auto" w:fill="auto"/>
                  <w:noWrap w:val="0"/>
                  <w:vAlign w:val="center"/>
                </w:tcPr>
                <w:p w14:paraId="7D445449">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62" w:type="pct"/>
                  <w:vMerge w:val="restart"/>
                  <w:tcBorders>
                    <w:tl2br w:val="nil"/>
                    <w:tr2bl w:val="nil"/>
                  </w:tcBorders>
                  <w:shd w:val="clear" w:color="auto" w:fill="auto"/>
                  <w:noWrap w:val="0"/>
                  <w:vAlign w:val="center"/>
                </w:tcPr>
                <w:p w14:paraId="1294CD1E">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44" w:type="pct"/>
                  <w:vMerge w:val="restart"/>
                  <w:tcBorders>
                    <w:tl2br w:val="nil"/>
                    <w:tr2bl w:val="nil"/>
                  </w:tcBorders>
                  <w:shd w:val="clear" w:color="auto" w:fill="auto"/>
                  <w:noWrap w:val="0"/>
                  <w:vAlign w:val="center"/>
                </w:tcPr>
                <w:p w14:paraId="3B22C1FE">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密闭定期喷洒除臭剂，并加强绿化</w:t>
                  </w:r>
                </w:p>
              </w:tc>
              <w:tc>
                <w:tcPr>
                  <w:tcW w:w="435" w:type="pct"/>
                  <w:tcBorders>
                    <w:tl2br w:val="nil"/>
                    <w:tr2bl w:val="nil"/>
                  </w:tcBorders>
                  <w:shd w:val="clear" w:color="auto" w:fill="auto"/>
                  <w:noWrap w:val="0"/>
                  <w:vAlign w:val="center"/>
                </w:tcPr>
                <w:p w14:paraId="37DFDD5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35" w:type="pct"/>
                  <w:tcBorders>
                    <w:tl2br w:val="nil"/>
                    <w:tr2bl w:val="nil"/>
                  </w:tcBorders>
                  <w:shd w:val="clear" w:color="auto" w:fill="auto"/>
                  <w:noWrap w:val="0"/>
                  <w:vAlign w:val="center"/>
                </w:tcPr>
                <w:p w14:paraId="231A55BB">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w:t>
                  </w:r>
                </w:p>
              </w:tc>
              <w:tc>
                <w:tcPr>
                  <w:tcW w:w="476" w:type="pct"/>
                  <w:tcBorders>
                    <w:tl2br w:val="nil"/>
                    <w:tr2bl w:val="nil"/>
                  </w:tcBorders>
                  <w:shd w:val="clear" w:color="auto" w:fill="auto"/>
                  <w:noWrap w:val="0"/>
                  <w:vAlign w:val="center"/>
                </w:tcPr>
                <w:p w14:paraId="7E3343DD">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eastAsia="宋体" w:cs="Times New Roman"/>
                      <w:b w:val="0"/>
                      <w:bCs w:val="0"/>
                      <w:i w:val="0"/>
                      <w:iCs w:val="0"/>
                      <w:color w:val="auto"/>
                      <w:sz w:val="21"/>
                      <w:szCs w:val="21"/>
                      <w:u w:val="none"/>
                      <w:lang w:val="en-US" w:eastAsia="zh-CN"/>
                    </w:rPr>
                  </w:pPr>
                  <w:r>
                    <w:rPr>
                      <w:rFonts w:hint="eastAsia" w:eastAsia="宋体" w:cs="Times New Roman"/>
                      <w:b w:val="0"/>
                      <w:bCs w:val="0"/>
                      <w:i w:val="0"/>
                      <w:iCs w:val="0"/>
                      <w:color w:val="auto"/>
                      <w:sz w:val="21"/>
                      <w:szCs w:val="21"/>
                      <w:u w:val="none"/>
                      <w:lang w:val="en-US" w:eastAsia="zh-CN"/>
                    </w:rPr>
                    <w:t>/</w:t>
                  </w:r>
                </w:p>
              </w:tc>
              <w:tc>
                <w:tcPr>
                  <w:tcW w:w="429" w:type="pct"/>
                  <w:tcBorders>
                    <w:tl2br w:val="nil"/>
                    <w:tr2bl w:val="nil"/>
                  </w:tcBorders>
                  <w:shd w:val="clear" w:color="auto" w:fill="auto"/>
                  <w:noWrap w:val="0"/>
                  <w:vAlign w:val="center"/>
                </w:tcPr>
                <w:p w14:paraId="7D435F3B">
                  <w:pPr>
                    <w:adjustRightInd w:val="0"/>
                    <w:snapToGrid w:val="0"/>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1.0</w:t>
                  </w:r>
                </w:p>
              </w:tc>
            </w:tr>
            <w:tr w14:paraId="28D0AA5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194" w:hRule="atLeast"/>
                <w:jc w:val="center"/>
              </w:trPr>
              <w:tc>
                <w:tcPr>
                  <w:tcW w:w="244" w:type="pct"/>
                  <w:vMerge w:val="continue"/>
                  <w:tcBorders>
                    <w:tl2br w:val="nil"/>
                    <w:tr2bl w:val="nil"/>
                  </w:tcBorders>
                  <w:noWrap w:val="0"/>
                  <w:vAlign w:val="center"/>
                </w:tcPr>
                <w:p w14:paraId="4FB5B898">
                  <w:pPr>
                    <w:keepNext w:val="0"/>
                    <w:keepLines w:val="0"/>
                    <w:pageBreakBefore w:val="0"/>
                    <w:widowControl/>
                    <w:suppressLineNumbers w:val="0"/>
                    <w:kinsoku/>
                    <w:wordWrap/>
                    <w:overflowPunct/>
                    <w:topLinePunct w:val="0"/>
                    <w:autoSpaceDE/>
                    <w:autoSpaceDN/>
                    <w:bidi w:val="0"/>
                    <w:spacing w:line="288" w:lineRule="auto"/>
                    <w:jc w:val="center"/>
                    <w:textAlignment w:val="auto"/>
                    <w:rPr>
                      <w:rFonts w:hint="eastAsia" w:ascii="宋体" w:hAnsi="宋体" w:cs="宋体"/>
                      <w:color w:val="auto"/>
                      <w:kern w:val="0"/>
                      <w:sz w:val="21"/>
                      <w:szCs w:val="21"/>
                      <w:lang w:val="en-US" w:eastAsia="zh-CN" w:bidi="ar"/>
                    </w:rPr>
                  </w:pPr>
                </w:p>
              </w:tc>
              <w:tc>
                <w:tcPr>
                  <w:tcW w:w="222" w:type="pct"/>
                  <w:vMerge w:val="continue"/>
                  <w:tcBorders>
                    <w:tl2br w:val="nil"/>
                    <w:tr2bl w:val="nil"/>
                  </w:tcBorders>
                  <w:shd w:val="clear" w:color="auto" w:fill="auto"/>
                  <w:noWrap w:val="0"/>
                  <w:vAlign w:val="center"/>
                </w:tcPr>
                <w:p w14:paraId="47AE9840">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color w:val="auto"/>
                      <w:sz w:val="21"/>
                      <w:szCs w:val="21"/>
                      <w:lang w:eastAsia="zh-CN"/>
                    </w:rPr>
                  </w:pPr>
                </w:p>
              </w:tc>
              <w:tc>
                <w:tcPr>
                  <w:tcW w:w="380" w:type="pct"/>
                  <w:tcBorders>
                    <w:tl2br w:val="nil"/>
                    <w:tr2bl w:val="nil"/>
                  </w:tcBorders>
                  <w:shd w:val="clear" w:color="auto" w:fill="auto"/>
                  <w:noWrap w:val="0"/>
                  <w:vAlign w:val="center"/>
                </w:tcPr>
                <w:p w14:paraId="4C12E024">
                  <w:pPr>
                    <w:widowControl/>
                    <w:spacing w:beforeLines="0" w:afterLines="0" w:line="288"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435" w:type="pct"/>
                  <w:tcBorders>
                    <w:tl2br w:val="nil"/>
                    <w:tr2bl w:val="nil"/>
                  </w:tcBorders>
                  <w:shd w:val="clear" w:color="auto" w:fill="auto"/>
                  <w:noWrap w:val="0"/>
                  <w:vAlign w:val="center"/>
                </w:tcPr>
                <w:p w14:paraId="13F2CD4B">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16" w:type="pct"/>
                  <w:tcBorders>
                    <w:tl2br w:val="nil"/>
                    <w:tr2bl w:val="nil"/>
                  </w:tcBorders>
                  <w:shd w:val="clear" w:color="auto" w:fill="auto"/>
                  <w:noWrap w:val="0"/>
                  <w:vAlign w:val="center"/>
                </w:tcPr>
                <w:p w14:paraId="7EDA1411">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eastAsia="宋体" w:cs="Times New Roman"/>
                      <w:b w:val="0"/>
                      <w:bCs w:val="0"/>
                      <w:i w:val="0"/>
                      <w:iCs w:val="0"/>
                      <w:color w:val="auto"/>
                      <w:sz w:val="21"/>
                      <w:szCs w:val="21"/>
                      <w:u w:val="none"/>
                      <w:lang w:val="en-US" w:eastAsia="zh-CN"/>
                    </w:rPr>
                  </w:pPr>
                  <w:r>
                    <w:rPr>
                      <w:rFonts w:hint="eastAsia" w:eastAsia="宋体" w:cs="Times New Roman"/>
                      <w:b w:val="0"/>
                      <w:bCs w:val="0"/>
                      <w:i w:val="0"/>
                      <w:iCs w:val="0"/>
                      <w:color w:val="auto"/>
                      <w:sz w:val="21"/>
                      <w:szCs w:val="21"/>
                      <w:u w:val="none"/>
                      <w:lang w:val="en-US" w:eastAsia="zh-CN"/>
                    </w:rPr>
                    <w:t>/</w:t>
                  </w:r>
                </w:p>
              </w:tc>
              <w:tc>
                <w:tcPr>
                  <w:tcW w:w="324" w:type="pct"/>
                  <w:tcBorders>
                    <w:tl2br w:val="nil"/>
                    <w:tr2bl w:val="nil"/>
                  </w:tcBorders>
                  <w:shd w:val="clear" w:color="auto" w:fill="auto"/>
                  <w:noWrap w:val="0"/>
                  <w:vAlign w:val="center"/>
                </w:tcPr>
                <w:p w14:paraId="4ADEF438">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259" w:type="pct"/>
                  <w:tcBorders>
                    <w:tl2br w:val="nil"/>
                    <w:tr2bl w:val="nil"/>
                  </w:tcBorders>
                  <w:shd w:val="clear" w:color="auto" w:fill="auto"/>
                  <w:noWrap w:val="0"/>
                  <w:vAlign w:val="center"/>
                </w:tcPr>
                <w:p w14:paraId="6531F67A">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333" w:type="pct"/>
                  <w:tcBorders>
                    <w:tl2br w:val="nil"/>
                    <w:tr2bl w:val="nil"/>
                  </w:tcBorders>
                  <w:shd w:val="clear" w:color="auto" w:fill="auto"/>
                  <w:noWrap w:val="0"/>
                  <w:vAlign w:val="center"/>
                </w:tcPr>
                <w:p w14:paraId="6C0C167C">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62" w:type="pct"/>
                  <w:vMerge w:val="continue"/>
                  <w:tcBorders>
                    <w:tl2br w:val="nil"/>
                    <w:tr2bl w:val="nil"/>
                  </w:tcBorders>
                  <w:shd w:val="clear" w:color="auto" w:fill="auto"/>
                  <w:noWrap w:val="0"/>
                  <w:vAlign w:val="center"/>
                </w:tcPr>
                <w:p w14:paraId="11A9C825">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color w:val="auto"/>
                      <w:sz w:val="21"/>
                      <w:szCs w:val="21"/>
                      <w:lang w:val="en-US" w:eastAsia="zh-CN"/>
                    </w:rPr>
                  </w:pPr>
                </w:p>
              </w:tc>
              <w:tc>
                <w:tcPr>
                  <w:tcW w:w="444" w:type="pct"/>
                  <w:vMerge w:val="continue"/>
                  <w:tcBorders>
                    <w:tl2br w:val="nil"/>
                    <w:tr2bl w:val="nil"/>
                  </w:tcBorders>
                  <w:shd w:val="clear" w:color="auto" w:fill="auto"/>
                  <w:noWrap w:val="0"/>
                  <w:vAlign w:val="center"/>
                </w:tcPr>
                <w:p w14:paraId="5645648D">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435" w:type="pct"/>
                  <w:tcBorders>
                    <w:tl2br w:val="nil"/>
                    <w:tr2bl w:val="nil"/>
                  </w:tcBorders>
                  <w:shd w:val="clear" w:color="auto" w:fill="auto"/>
                  <w:noWrap w:val="0"/>
                  <w:vAlign w:val="center"/>
                </w:tcPr>
                <w:p w14:paraId="7021E7EB">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435" w:type="pct"/>
                  <w:tcBorders>
                    <w:tl2br w:val="nil"/>
                    <w:tr2bl w:val="nil"/>
                  </w:tcBorders>
                  <w:shd w:val="clear" w:color="auto" w:fill="auto"/>
                  <w:noWrap w:val="0"/>
                  <w:vAlign w:val="center"/>
                </w:tcPr>
                <w:p w14:paraId="0939F26B">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b w:val="0"/>
                      <w:bCs w:val="0"/>
                      <w:i w:val="0"/>
                      <w:iCs w:val="0"/>
                      <w:color w:val="auto"/>
                      <w:kern w:val="2"/>
                      <w:sz w:val="21"/>
                      <w:szCs w:val="21"/>
                      <w:u w:val="none"/>
                      <w:lang w:val="en-US" w:eastAsia="zh-CN" w:bidi="ar-SA"/>
                    </w:rPr>
                  </w:pPr>
                  <w:r>
                    <w:rPr>
                      <w:rFonts w:hint="eastAsia" w:ascii="Times New Roman" w:hAnsi="Times New Roman" w:eastAsia="宋体" w:cs="Times New Roman"/>
                      <w:b w:val="0"/>
                      <w:bCs w:val="0"/>
                      <w:i w:val="0"/>
                      <w:iCs w:val="0"/>
                      <w:color w:val="auto"/>
                      <w:kern w:val="2"/>
                      <w:sz w:val="21"/>
                      <w:szCs w:val="21"/>
                      <w:u w:val="none"/>
                      <w:lang w:val="en-US" w:eastAsia="zh-CN" w:bidi="ar-SA"/>
                    </w:rPr>
                    <w:t>/</w:t>
                  </w:r>
                </w:p>
              </w:tc>
              <w:tc>
                <w:tcPr>
                  <w:tcW w:w="476" w:type="pct"/>
                  <w:tcBorders>
                    <w:tl2br w:val="nil"/>
                    <w:tr2bl w:val="nil"/>
                  </w:tcBorders>
                  <w:shd w:val="clear" w:color="auto" w:fill="auto"/>
                  <w:noWrap w:val="0"/>
                  <w:vAlign w:val="center"/>
                </w:tcPr>
                <w:p w14:paraId="47C9370D">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eastAsia="宋体" w:cs="Times New Roman"/>
                      <w:b w:val="0"/>
                      <w:bCs w:val="0"/>
                      <w:i w:val="0"/>
                      <w:iCs w:val="0"/>
                      <w:color w:val="auto"/>
                      <w:sz w:val="21"/>
                      <w:szCs w:val="21"/>
                      <w:u w:val="none"/>
                      <w:lang w:val="en-US" w:eastAsia="zh-CN"/>
                    </w:rPr>
                  </w:pPr>
                  <w:r>
                    <w:rPr>
                      <w:rFonts w:hint="eastAsia" w:eastAsia="宋体" w:cs="Times New Roman"/>
                      <w:b w:val="0"/>
                      <w:bCs w:val="0"/>
                      <w:i w:val="0"/>
                      <w:iCs w:val="0"/>
                      <w:color w:val="auto"/>
                      <w:sz w:val="21"/>
                      <w:szCs w:val="21"/>
                      <w:u w:val="none"/>
                      <w:lang w:val="en-US" w:eastAsia="zh-CN"/>
                    </w:rPr>
                    <w:t>/</w:t>
                  </w:r>
                </w:p>
              </w:tc>
              <w:tc>
                <w:tcPr>
                  <w:tcW w:w="429" w:type="pct"/>
                  <w:tcBorders>
                    <w:tl2br w:val="nil"/>
                    <w:tr2bl w:val="nil"/>
                  </w:tcBorders>
                  <w:shd w:val="clear" w:color="auto" w:fill="auto"/>
                  <w:noWrap w:val="0"/>
                  <w:vAlign w:val="center"/>
                </w:tcPr>
                <w:p w14:paraId="5E0A214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w:t>
                  </w:r>
                </w:p>
              </w:tc>
            </w:tr>
          </w:tbl>
          <w:p w14:paraId="53020C6F">
            <w:pPr>
              <w:pStyle w:val="2"/>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b/>
                <w:bCs/>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eastAsia="zh-CN"/>
              </w:rPr>
              <w:t>废气</w:t>
            </w:r>
            <w:r>
              <w:rPr>
                <w:rFonts w:hint="eastAsia" w:ascii="宋体" w:hAnsi="宋体" w:eastAsia="宋体" w:cs="宋体"/>
                <w:b/>
                <w:bCs/>
                <w:color w:val="auto"/>
                <w:sz w:val="24"/>
                <w:szCs w:val="24"/>
              </w:rPr>
              <w:t>污染源强核算过程：</w:t>
            </w:r>
          </w:p>
          <w:p w14:paraId="45AA52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本</w:t>
            </w:r>
            <w:r>
              <w:rPr>
                <w:rFonts w:hint="eastAsia" w:eastAsia="宋体"/>
                <w:color w:val="auto"/>
                <w:sz w:val="24"/>
                <w:lang w:val="en-US" w:eastAsia="zh-CN"/>
              </w:rPr>
              <w:t>技改</w:t>
            </w:r>
            <w:r>
              <w:rPr>
                <w:color w:val="auto"/>
                <w:sz w:val="24"/>
              </w:rPr>
              <w:t>项目建成后以电力为主要能源，</w:t>
            </w:r>
            <w:r>
              <w:rPr>
                <w:rFonts w:hint="eastAsia"/>
                <w:color w:val="auto"/>
                <w:sz w:val="24"/>
              </w:rPr>
              <w:t>项目再生塑料颗粒生产</w:t>
            </w:r>
            <w:r>
              <w:rPr>
                <w:rFonts w:hint="eastAsia"/>
                <w:color w:val="auto"/>
                <w:spacing w:val="2"/>
                <w:sz w:val="24"/>
              </w:rPr>
              <w:t>破碎工</w:t>
            </w:r>
            <w:r>
              <w:rPr>
                <w:rFonts w:hint="eastAsia"/>
                <w:color w:val="auto"/>
                <w:spacing w:val="4"/>
                <w:sz w:val="24"/>
              </w:rPr>
              <w:t>序</w:t>
            </w:r>
            <w:r>
              <w:rPr>
                <w:rFonts w:hint="eastAsia" w:eastAsia="宋体"/>
                <w:color w:val="auto"/>
                <w:spacing w:val="2"/>
                <w:sz w:val="24"/>
                <w:lang w:val="en-US" w:eastAsia="zh-CN"/>
              </w:rPr>
              <w:t>为水洗湿法破碎</w:t>
            </w:r>
            <w:r>
              <w:rPr>
                <w:rFonts w:hint="eastAsia"/>
                <w:color w:val="auto"/>
                <w:spacing w:val="2"/>
                <w:sz w:val="24"/>
              </w:rPr>
              <w:t>，基本不产生粉尘。</w:t>
            </w:r>
            <w:r>
              <w:rPr>
                <w:color w:val="auto"/>
                <w:sz w:val="24"/>
              </w:rPr>
              <w:t>本项目生产废气主要来自</w:t>
            </w:r>
            <w:r>
              <w:rPr>
                <w:rFonts w:hint="eastAsia"/>
                <w:color w:val="auto"/>
                <w:sz w:val="24"/>
              </w:rPr>
              <w:t>再生塑料颗粒</w:t>
            </w:r>
            <w:r>
              <w:rPr>
                <w:color w:val="auto"/>
                <w:sz w:val="24"/>
              </w:rPr>
              <w:t>塑料熔融</w:t>
            </w:r>
            <w:r>
              <w:rPr>
                <w:rFonts w:hint="eastAsia"/>
                <w:color w:val="auto"/>
                <w:sz w:val="24"/>
              </w:rPr>
              <w:t>挤塑</w:t>
            </w:r>
            <w:r>
              <w:rPr>
                <w:color w:val="auto"/>
                <w:sz w:val="24"/>
              </w:rPr>
              <w:t>造粒工序产生的有机废气</w:t>
            </w:r>
            <w:r>
              <w:rPr>
                <w:rFonts w:hint="eastAsia" w:eastAsia="宋体"/>
                <w:color w:val="auto"/>
                <w:sz w:val="24"/>
                <w:lang w:val="en-US" w:eastAsia="zh-CN"/>
              </w:rPr>
              <w:t>和少量辅料投料</w:t>
            </w:r>
            <w:r>
              <w:rPr>
                <w:rFonts w:hint="eastAsia"/>
                <w:color w:val="auto"/>
                <w:sz w:val="24"/>
              </w:rPr>
              <w:t>粉尘</w:t>
            </w:r>
            <w:r>
              <w:rPr>
                <w:color w:val="auto"/>
                <w:sz w:val="24"/>
              </w:rPr>
              <w:t>。</w:t>
            </w:r>
          </w:p>
          <w:p w14:paraId="265CF5D0">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496" w:firstLineChars="200"/>
              <w:textAlignment w:val="auto"/>
              <w:rPr>
                <w:rFonts w:hint="eastAsia" w:ascii="Times New Roman" w:hAnsi="Times New Roman" w:eastAsia="宋体" w:cs="Times New Roman"/>
                <w:b w:val="0"/>
                <w:bCs w:val="0"/>
                <w:color w:val="auto"/>
                <w:spacing w:val="4"/>
                <w:kern w:val="18"/>
                <w:sz w:val="24"/>
                <w:szCs w:val="24"/>
                <w:lang w:val="en-US" w:eastAsia="zh-CN" w:bidi="ar-SA"/>
              </w:rPr>
            </w:pPr>
            <w:r>
              <w:rPr>
                <w:rFonts w:hint="eastAsia" w:ascii="Times New Roman" w:hAnsi="Times New Roman" w:eastAsia="宋体" w:cs="Times New Roman"/>
                <w:b w:val="0"/>
                <w:bCs w:val="0"/>
                <w:color w:val="auto"/>
                <w:spacing w:val="4"/>
                <w:kern w:val="18"/>
                <w:sz w:val="24"/>
                <w:szCs w:val="24"/>
                <w:lang w:val="en-US" w:eastAsia="zh-CN" w:bidi="ar-SA"/>
              </w:rPr>
              <w:t>本项目产能不变，但调整了原料种类及用量，以下对技改后全厂污染物产排情况进行分析。</w:t>
            </w:r>
          </w:p>
          <w:p w14:paraId="2ED03381">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rFonts w:hint="eastAsia" w:ascii="Times New Roman" w:hAnsi="Times New Roman" w:eastAsia="宋体" w:cs="Times New Roman"/>
                <w:b/>
                <w:bCs/>
                <w:color w:val="auto"/>
                <w:spacing w:val="4"/>
                <w:kern w:val="18"/>
                <w:sz w:val="24"/>
                <w:szCs w:val="24"/>
                <w:lang w:val="en-US" w:eastAsia="zh-CN" w:bidi="ar-SA"/>
              </w:rPr>
            </w:pPr>
            <w:r>
              <w:rPr>
                <w:rFonts w:hint="eastAsia" w:ascii="Times New Roman" w:hAnsi="Times New Roman" w:eastAsia="宋体" w:cs="Times New Roman"/>
                <w:b/>
                <w:bCs/>
                <w:color w:val="auto"/>
                <w:spacing w:val="4"/>
                <w:kern w:val="18"/>
                <w:sz w:val="24"/>
                <w:szCs w:val="24"/>
                <w:lang w:val="en-US" w:eastAsia="zh-CN" w:bidi="ar-SA"/>
              </w:rPr>
              <w:t>（1）熔融挤出造粒有机废气</w:t>
            </w:r>
          </w:p>
          <w:p w14:paraId="1A7DCB4E">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imes New Roman" w:hAnsi="Times New Roman" w:eastAsia="宋体" w:cs="Times New Roman"/>
                <w:b w:val="0"/>
                <w:bCs w:val="0"/>
                <w:color w:val="auto"/>
                <w:spacing w:val="4"/>
                <w:kern w:val="18"/>
                <w:sz w:val="24"/>
                <w:szCs w:val="24"/>
                <w:lang w:val="en-US" w:eastAsia="zh-CN" w:bidi="ar-SA"/>
              </w:rPr>
            </w:pPr>
            <w:r>
              <w:rPr>
                <w:rFonts w:hint="eastAsia" w:ascii="Times New Roman" w:hAnsi="Times New Roman" w:eastAsia="宋体" w:cs="Times New Roman"/>
                <w:b w:val="0"/>
                <w:bCs w:val="0"/>
                <w:color w:val="auto"/>
                <w:spacing w:val="4"/>
                <w:kern w:val="18"/>
                <w:sz w:val="24"/>
                <w:szCs w:val="24"/>
                <w:lang w:val="en-US" w:eastAsia="zh-CN" w:bidi="ar-SA"/>
              </w:rPr>
              <w:t>本项目造粒机组废塑料熔融采用电加热方式，温度控制在120~170℃之间，而PE塑料热分解温度为300℃以上、PP塑料热解温度为330℃以上、ABS塑料热解温度为250℃以上，因此本项目使用的塑料原料在熔融状态下不会发生分解反应，此温度下熔融过程中释放的挥发气体不会分解产生苯系物(环式)。有机废气VOCs产生量参照《全国第二次污染源普查工业源产排污系数手册》中“42废弃资源综合利用行业系数手册”进行核算，废PE/PP 挤出造粒工艺挥发性有机物产污系数为350克/吨-原料，废ABS挤出造粒工艺挥发性有机物产污系数为957克/吨-原料，项目废PE塑料年用量5600吨，废PP塑料年用量5600吨，废ABS塑料年用量1300吨，则项目熔融挤出造粒工序VOCs产生量为5.164t/a。</w:t>
            </w:r>
          </w:p>
          <w:p w14:paraId="2B2CEB14">
            <w:pPr>
              <w:pStyle w:val="27"/>
              <w:rPr>
                <w:rFonts w:hint="default"/>
                <w:color w:val="auto"/>
                <w:lang w:val="en-US" w:eastAsia="zh-CN"/>
              </w:rPr>
            </w:pPr>
            <w:r>
              <w:rPr>
                <w:rFonts w:hint="eastAsia"/>
                <w:color w:val="auto"/>
                <w:lang w:val="en-US" w:eastAsia="zh-CN"/>
              </w:rPr>
              <w:t>本项目熔融挤出造粒废气收集后经集气管道送至废气处理设施（水浴除尘+高效静电+UV光解+活性炭吸附装置）进行处理后经15m高空排放（DA001），项目生产时尽量做到车间密闭，同时在每套造粒机废气产生点安装集气罩，配套风机、集气管道，根据《挥发性有机物无组织排放控制标准》（GB37822-2019）10.2中排风罩开口面最远的位置控制风速不应低于0.3m/s，根据《注册环保工程师手册》第2篇8.4.3：排风量计算公式为：Q=A</w:t>
            </w:r>
            <w:r>
              <w:rPr>
                <w:rFonts w:hint="eastAsia"/>
                <w:color w:val="auto"/>
                <w:vertAlign w:val="subscript"/>
                <w:lang w:val="en-US" w:eastAsia="zh-CN"/>
              </w:rPr>
              <w:t>0</w:t>
            </w:r>
            <w:r>
              <w:rPr>
                <w:rFonts w:hint="eastAsia"/>
                <w:color w:val="auto"/>
                <w:lang w:val="en-US" w:eastAsia="zh-CN"/>
              </w:rPr>
              <w:t>×V</w:t>
            </w:r>
            <w:r>
              <w:rPr>
                <w:rFonts w:hint="eastAsia"/>
                <w:color w:val="auto"/>
                <w:vertAlign w:val="subscript"/>
                <w:lang w:val="en-US" w:eastAsia="zh-CN"/>
              </w:rPr>
              <w:t>0</w:t>
            </w:r>
            <w:r>
              <w:rPr>
                <w:rFonts w:hint="eastAsia"/>
                <w:color w:val="auto"/>
                <w:lang w:val="en-US" w:eastAsia="zh-CN"/>
              </w:rPr>
              <w:t>×3600s（式中Q为集气罩排风量（m</w:t>
            </w:r>
            <w:r>
              <w:rPr>
                <w:rFonts w:hint="eastAsia"/>
                <w:color w:val="auto"/>
                <w:vertAlign w:val="superscript"/>
                <w:lang w:val="en-US" w:eastAsia="zh-CN"/>
              </w:rPr>
              <w:t>3</w:t>
            </w:r>
            <w:r>
              <w:rPr>
                <w:rFonts w:hint="eastAsia"/>
                <w:color w:val="auto"/>
                <w:lang w:val="en-US" w:eastAsia="zh-CN"/>
              </w:rPr>
              <w:t>/h），A</w:t>
            </w:r>
            <w:r>
              <w:rPr>
                <w:rFonts w:hint="eastAsia"/>
                <w:color w:val="auto"/>
                <w:vertAlign w:val="subscript"/>
                <w:lang w:val="en-US" w:eastAsia="zh-CN"/>
              </w:rPr>
              <w:t>0</w:t>
            </w:r>
            <w:r>
              <w:rPr>
                <w:rFonts w:hint="eastAsia"/>
                <w:color w:val="auto"/>
                <w:lang w:val="en-US" w:eastAsia="zh-CN"/>
              </w:rPr>
              <w:t>抽风罩面积，项目单个罩口面积约为1.1m</w:t>
            </w:r>
            <w:r>
              <w:rPr>
                <w:rFonts w:hint="eastAsia"/>
                <w:color w:val="auto"/>
                <w:vertAlign w:val="superscript"/>
                <w:lang w:val="en-US" w:eastAsia="zh-CN"/>
              </w:rPr>
              <w:t>2</w:t>
            </w:r>
            <w:r>
              <w:rPr>
                <w:rFonts w:hint="eastAsia"/>
                <w:color w:val="auto"/>
                <w:lang w:val="en-US" w:eastAsia="zh-CN"/>
              </w:rPr>
              <w:t xml:space="preserve"> ；V</w:t>
            </w:r>
            <w:r>
              <w:rPr>
                <w:rFonts w:hint="eastAsia"/>
                <w:color w:val="auto"/>
                <w:vertAlign w:val="subscript"/>
                <w:lang w:val="en-US" w:eastAsia="zh-CN"/>
              </w:rPr>
              <w:t>0</w:t>
            </w:r>
            <w:r>
              <w:rPr>
                <w:rFonts w:hint="eastAsia"/>
                <w:color w:val="auto"/>
                <w:lang w:val="en-US" w:eastAsia="zh-CN"/>
              </w:rPr>
              <w:t>为风速，项目单个罩口敞开面设计控制风速为0.4m/s；），则项目每个集气罩设计处理风量约为1584m</w:t>
            </w:r>
            <w:r>
              <w:rPr>
                <w:rFonts w:hint="eastAsia"/>
                <w:color w:val="auto"/>
                <w:vertAlign w:val="superscript"/>
                <w:lang w:val="en-US" w:eastAsia="zh-CN"/>
              </w:rPr>
              <w:t>3</w:t>
            </w:r>
            <w:r>
              <w:rPr>
                <w:rFonts w:hint="eastAsia"/>
                <w:color w:val="auto"/>
                <w:lang w:val="en-US" w:eastAsia="zh-CN"/>
              </w:rPr>
              <w:t>/h ，项目12条造粒生产线设置12个集气罩，风机系统装机风量约为19008m</w:t>
            </w:r>
            <w:r>
              <w:rPr>
                <w:rFonts w:hint="eastAsia"/>
                <w:color w:val="auto"/>
                <w:vertAlign w:val="superscript"/>
                <w:lang w:val="en-US" w:eastAsia="zh-CN"/>
              </w:rPr>
              <w:t>3</w:t>
            </w:r>
            <w:r>
              <w:rPr>
                <w:rFonts w:hint="eastAsia"/>
                <w:color w:val="auto"/>
                <w:lang w:val="en-US" w:eastAsia="zh-CN"/>
              </w:rPr>
              <w:t>/h，考虑到漏风等损失因素，项目风量取20000m</w:t>
            </w:r>
            <w:r>
              <w:rPr>
                <w:rFonts w:hint="eastAsia"/>
                <w:color w:val="auto"/>
                <w:vertAlign w:val="superscript"/>
                <w:lang w:val="en-US" w:eastAsia="zh-CN"/>
              </w:rPr>
              <w:t>3</w:t>
            </w:r>
            <w:r>
              <w:rPr>
                <w:rFonts w:hint="eastAsia"/>
                <w:color w:val="auto"/>
                <w:lang w:val="en-US" w:eastAsia="zh-CN"/>
              </w:rPr>
              <w:t>/h，年工作300d，每天工作16h。废气收集效率以90%计。根据《排放源统计调查产排污核算方法和系数手册》中“42 废弃资源综合利用行业系数手册 ”中的挤出造粒再生塑料粒子产生的挥发性有机废气采用活性炭吸附去除效率为55%、光解去除效率为40%，参考《广东省工业源挥发性有机物减排量核算方法(试行)》中静电法处理效率为50%，则项目采用“水浴除尘+高效静电+UV光解+活性炭吸附”装置对</w:t>
            </w:r>
            <w:r>
              <w:rPr>
                <w:rFonts w:hint="eastAsia" w:ascii="Times New Roman" w:hAnsi="Times New Roman" w:eastAsia="宋体" w:cs="Times New Roman"/>
                <w:b w:val="0"/>
                <w:bCs w:val="0"/>
                <w:color w:val="auto"/>
                <w:spacing w:val="4"/>
                <w:kern w:val="18"/>
                <w:sz w:val="24"/>
                <w:szCs w:val="24"/>
                <w:lang w:val="en-US" w:eastAsia="zh-CN" w:bidi="ar-SA"/>
              </w:rPr>
              <w:t>VOCs的治理效率为1-（1-50%）*（1-40%）*（1-55%）=86.5%。</w:t>
            </w:r>
            <w:r>
              <w:rPr>
                <w:rFonts w:hint="eastAsia" w:ascii="Times New Roman" w:hAnsi="Times New Roman" w:eastAsia="宋体" w:cs="Times New Roman"/>
                <w:color w:val="auto"/>
                <w:kern w:val="0"/>
                <w:sz w:val="24"/>
                <w:szCs w:val="24"/>
                <w:lang w:val="en-US" w:eastAsia="zh-CN" w:bidi="ar"/>
              </w:rPr>
              <w:t>则</w:t>
            </w:r>
            <w:r>
              <w:rPr>
                <w:rFonts w:hint="eastAsia" w:eastAsia="宋体" w:cs="Times New Roman"/>
                <w:b w:val="0"/>
                <w:bCs w:val="0"/>
                <w:color w:val="auto"/>
                <w:sz w:val="24"/>
                <w:szCs w:val="24"/>
                <w:lang w:eastAsia="zh-CN"/>
              </w:rPr>
              <w:t>有组织</w:t>
            </w:r>
            <w:r>
              <w:rPr>
                <w:rFonts w:hint="default" w:ascii="Times New Roman" w:hAnsi="Times New Roman" w:eastAsia="宋体" w:cs="Times New Roman"/>
                <w:b w:val="0"/>
                <w:bCs w:val="0"/>
                <w:color w:val="auto"/>
                <w:sz w:val="24"/>
                <w:szCs w:val="24"/>
                <w:lang w:eastAsia="zh-CN"/>
              </w:rPr>
              <w:t>VOCs</w:t>
            </w:r>
            <w:r>
              <w:rPr>
                <w:rFonts w:hint="eastAsia" w:eastAsia="宋体" w:cs="Times New Roman"/>
                <w:b w:val="0"/>
                <w:bCs w:val="0"/>
                <w:color w:val="auto"/>
                <w:sz w:val="24"/>
                <w:szCs w:val="24"/>
                <w:lang w:eastAsia="zh-CN"/>
              </w:rPr>
              <w:t>排放量为</w:t>
            </w:r>
            <w:r>
              <w:rPr>
                <w:rFonts w:hint="eastAsia" w:eastAsia="宋体" w:cs="Times New Roman"/>
                <w:b w:val="0"/>
                <w:bCs w:val="0"/>
                <w:color w:val="auto"/>
                <w:sz w:val="24"/>
                <w:szCs w:val="24"/>
                <w:lang w:val="en-US" w:eastAsia="zh-CN"/>
              </w:rPr>
              <w:t>0.627t/a（0.131kg/h），排放浓度6.531</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eastAsia" w:eastAsia="宋体" w:cs="Times New Roman"/>
                <w:b w:val="0"/>
                <w:bCs w:val="0"/>
                <w:color w:val="auto"/>
                <w:sz w:val="24"/>
                <w:szCs w:val="24"/>
                <w:lang w:val="en-US" w:eastAsia="zh-CN"/>
              </w:rPr>
              <w:t>，无组织排放量为0.5164t/a（0.108kg/h）。</w:t>
            </w:r>
          </w:p>
          <w:p w14:paraId="29FCD7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bCs/>
                <w:color w:val="auto"/>
                <w:sz w:val="24"/>
                <w:szCs w:val="24"/>
                <w:lang w:val="en-US" w:eastAsia="zh-CN"/>
              </w:rPr>
            </w:pPr>
            <w:r>
              <w:rPr>
                <w:rFonts w:hint="eastAsia"/>
                <w:b/>
                <w:bCs/>
                <w:color w:val="auto"/>
                <w:sz w:val="24"/>
                <w:szCs w:val="24"/>
                <w:lang w:val="en-US" w:eastAsia="zh-CN"/>
              </w:rPr>
              <w:t>（2）投料粉尘</w:t>
            </w:r>
          </w:p>
          <w:p w14:paraId="215F5127">
            <w:pPr>
              <w:pStyle w:val="2"/>
              <w:spacing w:line="360" w:lineRule="auto"/>
              <w:ind w:firstLine="480" w:firstLineChars="200"/>
              <w:rPr>
                <w:rFonts w:hint="eastAsia"/>
                <w:color w:val="auto"/>
                <w:lang w:val="en-US" w:eastAsia="zh-CN"/>
              </w:rPr>
            </w:pPr>
            <w:r>
              <w:rPr>
                <w:rFonts w:ascii="Times New Roman"/>
                <w:color w:val="auto"/>
              </w:rPr>
              <w:t>项目废塑料造粒生产线是人工投料，</w:t>
            </w:r>
            <w:r>
              <w:rPr>
                <w:rFonts w:hint="eastAsia" w:hAnsi="宋体"/>
                <w:color w:val="auto"/>
                <w:sz w:val="24"/>
              </w:rPr>
              <w:t>在此期间</w:t>
            </w:r>
            <w:r>
              <w:rPr>
                <w:rFonts w:ascii="Times New Roman"/>
                <w:color w:val="auto"/>
              </w:rPr>
              <w:t>根据比例</w:t>
            </w:r>
            <w:r>
              <w:rPr>
                <w:rFonts w:hint="eastAsia" w:hAnsi="宋体"/>
                <w:color w:val="auto"/>
                <w:sz w:val="24"/>
              </w:rPr>
              <w:t>添加少量硅酸钙粉</w:t>
            </w:r>
            <w:r>
              <w:rPr>
                <w:rFonts w:hint="eastAsia" w:ascii="Times New Roman"/>
                <w:color w:val="auto"/>
                <w:lang w:eastAsia="zh-CN"/>
              </w:rPr>
              <w:t>，</w:t>
            </w:r>
            <w:r>
              <w:rPr>
                <w:rFonts w:ascii="Times New Roman"/>
                <w:color w:val="auto"/>
              </w:rPr>
              <w:t>受熔融机抽风气流的影响飘逸在进粒口的粉尘会被吸入进腔内，类比同类型项目，投料外溢粉尘产生系数为原料量的0.1</w:t>
            </w:r>
            <w:r>
              <w:rPr>
                <w:rFonts w:hint="default" w:ascii="Times New Roman"/>
                <w:color w:val="auto"/>
              </w:rPr>
              <w:t>‰，</w:t>
            </w:r>
            <w:r>
              <w:rPr>
                <w:rFonts w:ascii="Times New Roman"/>
                <w:color w:val="auto"/>
              </w:rPr>
              <w:t>原料用量为50t/a，则颗粒物产生量为0.005t/a，项目投料粉尘产生量较小，在车间内无组织排放。</w:t>
            </w:r>
          </w:p>
          <w:p w14:paraId="7218FC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szCs w:val="24"/>
                <w:lang w:val="en-US" w:eastAsia="zh-CN"/>
              </w:rPr>
            </w:pPr>
            <w:r>
              <w:rPr>
                <w:rFonts w:hint="eastAsia"/>
                <w:b/>
                <w:bCs/>
                <w:color w:val="auto"/>
                <w:sz w:val="24"/>
                <w:szCs w:val="24"/>
                <w:lang w:val="en-US" w:eastAsia="zh-CN"/>
              </w:rPr>
              <w:t>（3）臭气浓度产排情况</w:t>
            </w:r>
          </w:p>
          <w:p w14:paraId="28352365">
            <w:pPr>
              <w:spacing w:line="360" w:lineRule="auto"/>
              <w:ind w:right="26" w:firstLine="480" w:firstLineChars="200"/>
              <w:rPr>
                <w:color w:val="auto"/>
                <w:sz w:val="24"/>
              </w:rPr>
            </w:pPr>
            <w:r>
              <w:rPr>
                <w:rFonts w:hint="eastAsia"/>
                <w:color w:val="auto"/>
                <w:sz w:val="24"/>
                <w:szCs w:val="24"/>
                <w:lang w:val="en-US" w:eastAsia="zh-CN"/>
              </w:rPr>
              <w:t>本项目废旧塑料加工生产过程中，热熔挤出工序产生的有机废气中将伴生异味气体，主要来源于少量塑料裂解产生的有异味的有机气体，其特征污染物为臭气浓度，该轻微异味部分经“水浴除尘+高效静电+UV光解+活性炭吸附”装置后以有组织排放的方式与</w:t>
            </w:r>
            <w:r>
              <w:rPr>
                <w:rFonts w:hint="eastAsia" w:ascii="Times New Roman" w:hAnsi="Times New Roman" w:eastAsia="宋体" w:cs="Times New Roman"/>
                <w:b w:val="0"/>
                <w:bCs w:val="0"/>
                <w:color w:val="auto"/>
                <w:spacing w:val="4"/>
                <w:kern w:val="18"/>
                <w:sz w:val="24"/>
                <w:szCs w:val="24"/>
                <w:lang w:val="en-US" w:eastAsia="zh-CN" w:bidi="ar-SA"/>
              </w:rPr>
              <w:t>VOCs</w:t>
            </w:r>
            <w:r>
              <w:rPr>
                <w:rFonts w:hint="eastAsia"/>
                <w:color w:val="auto"/>
                <w:sz w:val="24"/>
                <w:szCs w:val="24"/>
                <w:lang w:val="en-US" w:eastAsia="zh-CN"/>
              </w:rPr>
              <w:t>经同一排放口排放。根据竣工验收监测报告，排气筒监测臭气排放浓度最大值为 478(无量纲)，厂界处监测臭气浓度&lt;10(无量纲)，排放浓度能够满足</w:t>
            </w:r>
            <w:r>
              <w:rPr>
                <w:rFonts w:hint="eastAsia"/>
                <w:color w:val="auto"/>
                <w:sz w:val="24"/>
              </w:rPr>
              <w:t>《恶臭（异味）污染物排放标准》（DB31/1025-2016）表1及表3中相应标准。</w:t>
            </w:r>
          </w:p>
          <w:p w14:paraId="6610F212">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b/>
                <w:bCs/>
                <w:color w:val="auto"/>
                <w:sz w:val="24"/>
                <w:szCs w:val="24"/>
                <w:lang w:val="en-US" w:eastAsia="zh-CN"/>
              </w:rPr>
            </w:pPr>
            <w:r>
              <w:rPr>
                <w:rFonts w:hint="eastAsia"/>
                <w:b/>
                <w:bCs/>
                <w:color w:val="auto"/>
                <w:sz w:val="24"/>
                <w:szCs w:val="24"/>
                <w:lang w:val="en-US" w:eastAsia="zh-CN"/>
              </w:rPr>
              <w:t>污水处理站恶臭</w:t>
            </w:r>
          </w:p>
          <w:p w14:paraId="684771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本项目自建污水处理站废水处理过程中会产生一定量的臭气，臭气的有害气体主要成分为NH</w:t>
            </w:r>
            <w:r>
              <w:rPr>
                <w:rFonts w:hint="eastAsia"/>
                <w:color w:val="auto"/>
                <w:sz w:val="24"/>
                <w:szCs w:val="24"/>
                <w:vertAlign w:val="subscript"/>
                <w:lang w:val="en-US" w:eastAsia="zh-CN"/>
              </w:rPr>
              <w:t>3</w:t>
            </w:r>
            <w:r>
              <w:rPr>
                <w:rFonts w:hint="eastAsia"/>
                <w:color w:val="auto"/>
                <w:sz w:val="24"/>
                <w:szCs w:val="24"/>
                <w:lang w:val="en-US" w:eastAsia="zh-CN"/>
              </w:rPr>
              <w:t>、H</w:t>
            </w:r>
            <w:r>
              <w:rPr>
                <w:rFonts w:hint="eastAsia"/>
                <w:color w:val="auto"/>
                <w:sz w:val="24"/>
                <w:szCs w:val="24"/>
                <w:vertAlign w:val="subscript"/>
                <w:lang w:val="en-US" w:eastAsia="zh-CN"/>
              </w:rPr>
              <w:t>2</w:t>
            </w:r>
            <w:r>
              <w:rPr>
                <w:rFonts w:hint="eastAsia"/>
                <w:color w:val="auto"/>
                <w:sz w:val="24"/>
                <w:szCs w:val="24"/>
                <w:lang w:val="en-US" w:eastAsia="zh-CN"/>
              </w:rPr>
              <w:t>S、臭气浓度。恶臭气体一旦控制不好，将对周围环境存在着一定的影响。本项目恶臭主要来源于自建污水处理站设备中格栅间、调节池和生化处理单位，污水处理站设备为密闭式，且本项目废水处理规模较小，及时处理生产废水，自建污水处理站产生的臭气极少，排放可达到《恶臭（异味）污染物排放标准》（DB31/1025-2016）表3中相应标准，对周围环境影响较小。</w:t>
            </w:r>
          </w:p>
          <w:p w14:paraId="2AAF6F4E">
            <w:pPr>
              <w:pStyle w:val="2"/>
              <w:adjustRightInd w:val="0"/>
              <w:spacing w:beforeLines="0" w:afterLines="0" w:line="360" w:lineRule="auto"/>
              <w:ind w:firstLine="480" w:firstLineChars="200"/>
              <w:rPr>
                <w:rFonts w:hint="eastAsia" w:hAnsi="宋体"/>
                <w:color w:val="auto"/>
                <w:sz w:val="24"/>
                <w:szCs w:val="24"/>
              </w:rPr>
            </w:pPr>
            <w:r>
              <w:rPr>
                <w:rFonts w:hint="eastAsia" w:hAnsi="宋体"/>
                <w:color w:val="auto"/>
                <w:sz w:val="24"/>
                <w:szCs w:val="24"/>
              </w:rPr>
              <w:t>项目废气排放口基本情况见下表。</w:t>
            </w:r>
          </w:p>
          <w:p w14:paraId="59A8410E">
            <w:pPr>
              <w:jc w:val="center"/>
              <w:rPr>
                <w:rFonts w:hint="default" w:ascii="宋体" w:hAnsi="宋体" w:eastAsia="宋体" w:cs="宋体"/>
                <w:b/>
                <w:color w:val="auto"/>
                <w:sz w:val="21"/>
                <w:szCs w:val="21"/>
              </w:rPr>
            </w:pPr>
            <w:r>
              <w:rPr>
                <w:rFonts w:hint="default" w:ascii="宋体" w:hAnsi="宋体" w:eastAsia="宋体" w:cs="宋体"/>
                <w:b/>
                <w:color w:val="auto"/>
                <w:sz w:val="21"/>
                <w:szCs w:val="21"/>
              </w:rPr>
              <w:t>表4-</w:t>
            </w:r>
            <w:r>
              <w:rPr>
                <w:rFonts w:hint="eastAsia" w:ascii="宋体" w:hAnsi="宋体" w:cs="宋体"/>
                <w:b/>
                <w:color w:val="auto"/>
                <w:sz w:val="21"/>
                <w:szCs w:val="21"/>
                <w:lang w:val="en-US" w:eastAsia="zh-CN"/>
              </w:rPr>
              <w:t xml:space="preserve">2 </w:t>
            </w:r>
            <w:r>
              <w:rPr>
                <w:rFonts w:hint="default" w:ascii="宋体" w:hAnsi="宋体" w:eastAsia="宋体" w:cs="宋体"/>
                <w:b/>
                <w:color w:val="auto"/>
                <w:sz w:val="21"/>
                <w:szCs w:val="21"/>
              </w:rPr>
              <w:t xml:space="preserve"> 废气排放口基本情况一览表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0"/>
              <w:gridCol w:w="983"/>
              <w:gridCol w:w="939"/>
              <w:gridCol w:w="806"/>
              <w:gridCol w:w="1307"/>
              <w:gridCol w:w="1134"/>
              <w:gridCol w:w="600"/>
              <w:gridCol w:w="778"/>
              <w:gridCol w:w="638"/>
            </w:tblGrid>
            <w:tr w14:paraId="30040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pct"/>
                  <w:vMerge w:val="restart"/>
                  <w:tcBorders>
                    <w:tl2br w:val="nil"/>
                    <w:tr2bl w:val="nil"/>
                  </w:tcBorders>
                  <w:noWrap w:val="0"/>
                  <w:vAlign w:val="center"/>
                </w:tcPr>
                <w:p w14:paraId="6F7D8255">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排放口编号</w:t>
                  </w:r>
                </w:p>
              </w:tc>
              <w:tc>
                <w:tcPr>
                  <w:tcW w:w="598" w:type="pct"/>
                  <w:vMerge w:val="restart"/>
                  <w:tcBorders>
                    <w:tl2br w:val="nil"/>
                    <w:tr2bl w:val="nil"/>
                  </w:tcBorders>
                  <w:noWrap w:val="0"/>
                  <w:vAlign w:val="center"/>
                </w:tcPr>
                <w:p w14:paraId="0D8E5083">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排气筒名称</w:t>
                  </w:r>
                </w:p>
              </w:tc>
              <w:tc>
                <w:tcPr>
                  <w:tcW w:w="571" w:type="pct"/>
                  <w:vMerge w:val="restart"/>
                  <w:tcBorders>
                    <w:tl2br w:val="nil"/>
                    <w:tr2bl w:val="nil"/>
                  </w:tcBorders>
                  <w:noWrap w:val="0"/>
                  <w:vAlign w:val="center"/>
                </w:tcPr>
                <w:p w14:paraId="6BC74C44">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排放口类型</w:t>
                  </w:r>
                </w:p>
              </w:tc>
              <w:tc>
                <w:tcPr>
                  <w:tcW w:w="490" w:type="pct"/>
                  <w:vMerge w:val="restart"/>
                  <w:tcBorders>
                    <w:tl2br w:val="nil"/>
                    <w:tr2bl w:val="nil"/>
                  </w:tcBorders>
                  <w:noWrap w:val="0"/>
                  <w:vAlign w:val="center"/>
                </w:tcPr>
                <w:p w14:paraId="0A405737">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污染物种类</w:t>
                  </w:r>
                </w:p>
              </w:tc>
              <w:tc>
                <w:tcPr>
                  <w:tcW w:w="1485" w:type="pct"/>
                  <w:gridSpan w:val="2"/>
                  <w:tcBorders>
                    <w:tl2br w:val="nil"/>
                    <w:tr2bl w:val="nil"/>
                  </w:tcBorders>
                  <w:noWrap w:val="0"/>
                  <w:vAlign w:val="center"/>
                </w:tcPr>
                <w:p w14:paraId="6136854C">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地理坐标</w:t>
                  </w:r>
                </w:p>
              </w:tc>
              <w:tc>
                <w:tcPr>
                  <w:tcW w:w="365" w:type="pct"/>
                  <w:vMerge w:val="restart"/>
                  <w:tcBorders>
                    <w:tl2br w:val="nil"/>
                    <w:tr2bl w:val="nil"/>
                  </w:tcBorders>
                  <w:noWrap w:val="0"/>
                  <w:vAlign w:val="center"/>
                </w:tcPr>
                <w:p w14:paraId="6B0B9B9B">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高度/(m)</w:t>
                  </w:r>
                </w:p>
              </w:tc>
              <w:tc>
                <w:tcPr>
                  <w:tcW w:w="473" w:type="pct"/>
                  <w:vMerge w:val="restart"/>
                  <w:tcBorders>
                    <w:tl2br w:val="nil"/>
                    <w:tr2bl w:val="nil"/>
                  </w:tcBorders>
                  <w:noWrap w:val="0"/>
                  <w:vAlign w:val="center"/>
                </w:tcPr>
                <w:p w14:paraId="520F2C9A">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排气筒内径/(m)</w:t>
                  </w:r>
                </w:p>
              </w:tc>
              <w:tc>
                <w:tcPr>
                  <w:tcW w:w="388" w:type="pct"/>
                  <w:vMerge w:val="restart"/>
                  <w:tcBorders>
                    <w:tl2br w:val="nil"/>
                    <w:tr2bl w:val="nil"/>
                  </w:tcBorders>
                  <w:noWrap w:val="0"/>
                  <w:vAlign w:val="center"/>
                </w:tcPr>
                <w:p w14:paraId="228E69F2">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温度/(</w:t>
                  </w:r>
                  <w:r>
                    <w:rPr>
                      <w:rFonts w:hint="default" w:ascii="Times New Roman" w:hAnsi="Times New Roman" w:cs="Times New Roman"/>
                      <w:b/>
                      <w:bCs/>
                      <w:color w:val="auto"/>
                      <w:sz w:val="21"/>
                      <w:szCs w:val="21"/>
                      <w:lang w:eastAsia="ja-JP"/>
                    </w:rPr>
                    <w:t>℃</w:t>
                  </w:r>
                  <w:r>
                    <w:rPr>
                      <w:rFonts w:hint="default" w:ascii="Times New Roman" w:hAnsi="Times New Roman" w:cs="Times New Roman"/>
                      <w:b/>
                      <w:bCs/>
                      <w:color w:val="auto"/>
                      <w:sz w:val="21"/>
                      <w:szCs w:val="21"/>
                    </w:rPr>
                    <w:t>)</w:t>
                  </w:r>
                </w:p>
              </w:tc>
            </w:tr>
            <w:tr w14:paraId="7DE3F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pct"/>
                  <w:vMerge w:val="continue"/>
                  <w:tcBorders>
                    <w:tl2br w:val="nil"/>
                    <w:tr2bl w:val="nil"/>
                  </w:tcBorders>
                  <w:noWrap w:val="0"/>
                  <w:vAlign w:val="center"/>
                </w:tcPr>
                <w:p w14:paraId="5CB07EC8">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rPr>
                  </w:pPr>
                </w:p>
              </w:tc>
              <w:tc>
                <w:tcPr>
                  <w:tcW w:w="598" w:type="pct"/>
                  <w:vMerge w:val="continue"/>
                  <w:tcBorders>
                    <w:tl2br w:val="nil"/>
                    <w:tr2bl w:val="nil"/>
                  </w:tcBorders>
                  <w:noWrap w:val="0"/>
                  <w:vAlign w:val="center"/>
                </w:tcPr>
                <w:p w14:paraId="098BAA15">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rPr>
                  </w:pPr>
                </w:p>
              </w:tc>
              <w:tc>
                <w:tcPr>
                  <w:tcW w:w="571" w:type="pct"/>
                  <w:vMerge w:val="continue"/>
                  <w:tcBorders>
                    <w:tl2br w:val="nil"/>
                    <w:tr2bl w:val="nil"/>
                  </w:tcBorders>
                  <w:noWrap w:val="0"/>
                  <w:vAlign w:val="center"/>
                </w:tcPr>
                <w:p w14:paraId="0DF5C5EB">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rPr>
                  </w:pPr>
                </w:p>
              </w:tc>
              <w:tc>
                <w:tcPr>
                  <w:tcW w:w="490" w:type="pct"/>
                  <w:vMerge w:val="continue"/>
                  <w:tcBorders>
                    <w:tl2br w:val="nil"/>
                    <w:tr2bl w:val="nil"/>
                  </w:tcBorders>
                  <w:noWrap w:val="0"/>
                  <w:vAlign w:val="center"/>
                </w:tcPr>
                <w:p w14:paraId="095B617F">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rPr>
                  </w:pPr>
                </w:p>
              </w:tc>
              <w:tc>
                <w:tcPr>
                  <w:tcW w:w="795" w:type="pct"/>
                  <w:tcBorders>
                    <w:tl2br w:val="nil"/>
                    <w:tr2bl w:val="nil"/>
                  </w:tcBorders>
                  <w:noWrap w:val="0"/>
                  <w:vAlign w:val="center"/>
                </w:tcPr>
                <w:p w14:paraId="1EBBBA7C">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经度</w:t>
                  </w:r>
                </w:p>
              </w:tc>
              <w:tc>
                <w:tcPr>
                  <w:tcW w:w="690" w:type="pct"/>
                  <w:tcBorders>
                    <w:tl2br w:val="nil"/>
                    <w:tr2bl w:val="nil"/>
                  </w:tcBorders>
                  <w:noWrap w:val="0"/>
                  <w:vAlign w:val="center"/>
                </w:tcPr>
                <w:p w14:paraId="600FC9DD">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纬度</w:t>
                  </w:r>
                </w:p>
              </w:tc>
              <w:tc>
                <w:tcPr>
                  <w:tcW w:w="365" w:type="pct"/>
                  <w:vMerge w:val="continue"/>
                  <w:tcBorders>
                    <w:tl2br w:val="nil"/>
                    <w:tr2bl w:val="nil"/>
                  </w:tcBorders>
                  <w:noWrap w:val="0"/>
                  <w:vAlign w:val="center"/>
                </w:tcPr>
                <w:p w14:paraId="5534D3F0">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rPr>
                  </w:pPr>
                </w:p>
              </w:tc>
              <w:tc>
                <w:tcPr>
                  <w:tcW w:w="473" w:type="pct"/>
                  <w:vMerge w:val="continue"/>
                  <w:tcBorders>
                    <w:tl2br w:val="nil"/>
                    <w:tr2bl w:val="nil"/>
                  </w:tcBorders>
                  <w:noWrap w:val="0"/>
                  <w:vAlign w:val="center"/>
                </w:tcPr>
                <w:p w14:paraId="02C2D3A7">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rPr>
                  </w:pPr>
                </w:p>
              </w:tc>
              <w:tc>
                <w:tcPr>
                  <w:tcW w:w="388" w:type="pct"/>
                  <w:vMerge w:val="continue"/>
                  <w:tcBorders>
                    <w:tl2br w:val="nil"/>
                    <w:tr2bl w:val="nil"/>
                  </w:tcBorders>
                  <w:noWrap w:val="0"/>
                  <w:vAlign w:val="center"/>
                </w:tcPr>
                <w:p w14:paraId="5264AEAF">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rPr>
                  </w:pPr>
                </w:p>
              </w:tc>
            </w:tr>
            <w:tr w14:paraId="44B0B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6" w:type="pct"/>
                  <w:tcBorders>
                    <w:tl2br w:val="nil"/>
                    <w:tr2bl w:val="nil"/>
                  </w:tcBorders>
                  <w:noWrap w:val="0"/>
                  <w:vAlign w:val="center"/>
                </w:tcPr>
                <w:p w14:paraId="3A416B77">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cs="Times New Roman"/>
                      <w:color w:val="auto"/>
                      <w:sz w:val="21"/>
                      <w:szCs w:val="21"/>
                      <w:lang w:val="en-US" w:eastAsia="zh-CN"/>
                    </w:rPr>
                    <w:t>1</w:t>
                  </w:r>
                </w:p>
              </w:tc>
              <w:tc>
                <w:tcPr>
                  <w:tcW w:w="598" w:type="pct"/>
                  <w:tcBorders>
                    <w:tl2br w:val="nil"/>
                    <w:tr2bl w:val="nil"/>
                  </w:tcBorders>
                  <w:noWrap w:val="0"/>
                  <w:vAlign w:val="center"/>
                </w:tcPr>
                <w:p w14:paraId="468D839E">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排气筒</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rPr>
                    <w:t>#</w:t>
                  </w:r>
                </w:p>
              </w:tc>
              <w:tc>
                <w:tcPr>
                  <w:tcW w:w="571" w:type="pct"/>
                  <w:tcBorders>
                    <w:tl2br w:val="nil"/>
                    <w:tr2bl w:val="nil"/>
                  </w:tcBorders>
                  <w:noWrap w:val="0"/>
                  <w:vAlign w:val="center"/>
                </w:tcPr>
                <w:p w14:paraId="1B1CF810">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一般</w:t>
                  </w:r>
                  <w:r>
                    <w:rPr>
                      <w:rFonts w:hint="default" w:ascii="Times New Roman" w:hAnsi="Times New Roman" w:eastAsia="宋体" w:cs="Times New Roman"/>
                      <w:color w:val="auto"/>
                      <w:sz w:val="21"/>
                      <w:szCs w:val="21"/>
                    </w:rPr>
                    <w:t>排放口</w:t>
                  </w:r>
                </w:p>
              </w:tc>
              <w:tc>
                <w:tcPr>
                  <w:tcW w:w="490" w:type="pct"/>
                  <w:tcBorders>
                    <w:tl2br w:val="nil"/>
                    <w:tr2bl w:val="nil"/>
                  </w:tcBorders>
                  <w:noWrap w:val="0"/>
                  <w:vAlign w:val="center"/>
                </w:tcPr>
                <w:p w14:paraId="1489DD92">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rPr>
                    <w:t>VOCs</w:t>
                  </w:r>
                </w:p>
              </w:tc>
              <w:tc>
                <w:tcPr>
                  <w:tcW w:w="795" w:type="pct"/>
                  <w:tcBorders>
                    <w:tl2br w:val="nil"/>
                    <w:tr2bl w:val="nil"/>
                  </w:tcBorders>
                  <w:noWrap w:val="0"/>
                  <w:vAlign w:val="center"/>
                </w:tcPr>
                <w:p w14:paraId="562E9151">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115.451261°</w:t>
                  </w:r>
                </w:p>
              </w:tc>
              <w:tc>
                <w:tcPr>
                  <w:tcW w:w="690" w:type="pct"/>
                  <w:tcBorders>
                    <w:tl2br w:val="nil"/>
                    <w:tr2bl w:val="nil"/>
                  </w:tcBorders>
                  <w:noWrap w:val="0"/>
                  <w:vAlign w:val="center"/>
                </w:tcPr>
                <w:p w14:paraId="06819342">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29.075770°</w:t>
                  </w:r>
                </w:p>
              </w:tc>
              <w:tc>
                <w:tcPr>
                  <w:tcW w:w="365" w:type="pct"/>
                  <w:tcBorders>
                    <w:tl2br w:val="nil"/>
                    <w:tr2bl w:val="nil"/>
                  </w:tcBorders>
                  <w:noWrap w:val="0"/>
                  <w:vAlign w:val="center"/>
                </w:tcPr>
                <w:p w14:paraId="43FE1430">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473" w:type="pct"/>
                  <w:tcBorders>
                    <w:tl2br w:val="nil"/>
                    <w:tr2bl w:val="nil"/>
                  </w:tcBorders>
                  <w:noWrap w:val="0"/>
                  <w:vAlign w:val="center"/>
                </w:tcPr>
                <w:p w14:paraId="43FD9BBD">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388" w:type="pct"/>
                  <w:tcBorders>
                    <w:tl2br w:val="nil"/>
                    <w:tr2bl w:val="nil"/>
                  </w:tcBorders>
                  <w:noWrap w:val="0"/>
                  <w:vAlign w:val="center"/>
                </w:tcPr>
                <w:p w14:paraId="6DAFF089">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r>
          </w:tbl>
          <w:p w14:paraId="1648F566">
            <w:pPr>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ind w:leftChars="0"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、非正常工况</w:t>
            </w:r>
          </w:p>
          <w:p w14:paraId="31C3624C">
            <w:pPr>
              <w:pStyle w:val="8"/>
              <w:keepNext w:val="0"/>
              <w:keepLines w:val="0"/>
              <w:pageBreakBefore w:val="0"/>
              <w:kinsoku/>
              <w:wordWrap/>
              <w:overflowPunct/>
              <w:topLinePunct w:val="0"/>
              <w:autoSpaceDE/>
              <w:autoSpaceDN/>
              <w:bidi w:val="0"/>
              <w:snapToGrid w:val="0"/>
              <w:spacing w:before="0" w:beforeLines="0" w:after="0" w:afterLines="0" w:line="360" w:lineRule="auto"/>
              <w:ind w:leftChars="0" w:right="0" w:firstLine="480" w:firstLineChars="200"/>
              <w:textAlignment w:val="auto"/>
              <w:rPr>
                <w:rFonts w:hint="eastAsia" w:ascii="宋体" w:eastAsia="宋体"/>
                <w:color w:val="auto"/>
                <w:sz w:val="24"/>
                <w:szCs w:val="24"/>
              </w:rPr>
            </w:pPr>
            <w:r>
              <w:rPr>
                <w:rFonts w:hint="eastAsia" w:ascii="宋体" w:eastAsia="宋体"/>
                <w:color w:val="auto"/>
                <w:sz w:val="24"/>
                <w:szCs w:val="24"/>
                <w:lang w:val="en-US" w:eastAsia="zh-CN"/>
              </w:rPr>
              <w:t>非正常排放情况下，考虑废气处理设备均出现故障，则废气处理效率为0，废气未经处置直接通过排气筒排放，废气处理设施出现故障不能正常运行时，应立即停产进行维修，避免对周围环境造成污染。非正常工况排放源见</w:t>
            </w:r>
            <w:r>
              <w:rPr>
                <w:rFonts w:hint="eastAsia" w:ascii="宋体"/>
                <w:color w:val="auto"/>
                <w:sz w:val="24"/>
                <w:szCs w:val="24"/>
                <w:lang w:val="en-US" w:eastAsia="zh-CN"/>
              </w:rPr>
              <w:t>下</w:t>
            </w:r>
            <w:r>
              <w:rPr>
                <w:rFonts w:hint="eastAsia" w:ascii="宋体" w:eastAsia="宋体"/>
                <w:color w:val="auto"/>
                <w:sz w:val="24"/>
                <w:szCs w:val="24"/>
                <w:lang w:val="en-US" w:eastAsia="zh-CN"/>
              </w:rPr>
              <w:t>表</w:t>
            </w:r>
            <w:r>
              <w:rPr>
                <w:rFonts w:hint="eastAsia" w:ascii="宋体" w:eastAsia="宋体"/>
                <w:color w:val="auto"/>
                <w:sz w:val="24"/>
                <w:szCs w:val="24"/>
              </w:rPr>
              <w:t>。</w:t>
            </w:r>
          </w:p>
          <w:p w14:paraId="7714A87E">
            <w:pPr>
              <w:pStyle w:val="8"/>
              <w:spacing w:before="0" w:beforeLines="0" w:after="0" w:afterLines="0" w:line="240" w:lineRule="auto"/>
              <w:ind w:right="0"/>
              <w:jc w:val="center"/>
              <w:rPr>
                <w:rFonts w:hint="default"/>
                <w:b/>
                <w:color w:val="auto"/>
                <w:sz w:val="21"/>
                <w:szCs w:val="21"/>
              </w:rPr>
            </w:pPr>
            <w:r>
              <w:rPr>
                <w:rFonts w:hint="eastAsia" w:ascii="宋体" w:eastAsia="宋体"/>
                <w:b/>
                <w:color w:val="auto"/>
                <w:sz w:val="21"/>
                <w:szCs w:val="21"/>
              </w:rPr>
              <w:t>表4-</w:t>
            </w:r>
            <w:r>
              <w:rPr>
                <w:rFonts w:hint="eastAsia" w:ascii="宋体"/>
                <w:b/>
                <w:color w:val="auto"/>
                <w:sz w:val="21"/>
                <w:szCs w:val="21"/>
                <w:lang w:val="en-US" w:eastAsia="zh-CN"/>
              </w:rPr>
              <w:t xml:space="preserve">3 </w:t>
            </w:r>
            <w:r>
              <w:rPr>
                <w:rFonts w:hint="eastAsia" w:ascii="宋体" w:eastAsia="宋体"/>
                <w:b/>
                <w:color w:val="auto"/>
                <w:sz w:val="21"/>
                <w:szCs w:val="21"/>
              </w:rPr>
              <w:t xml:space="preserve"> 废气污染源非正常产排情况表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506"/>
              <w:gridCol w:w="754"/>
              <w:gridCol w:w="887"/>
              <w:gridCol w:w="719"/>
              <w:gridCol w:w="804"/>
              <w:gridCol w:w="715"/>
              <w:gridCol w:w="706"/>
              <w:gridCol w:w="739"/>
              <w:gridCol w:w="633"/>
              <w:gridCol w:w="1752"/>
            </w:tblGrid>
            <w:tr w14:paraId="528146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74" w:hRule="atLeast"/>
                <w:jc w:val="center"/>
              </w:trPr>
              <w:tc>
                <w:tcPr>
                  <w:tcW w:w="506" w:type="dxa"/>
                  <w:vMerge w:val="restart"/>
                  <w:tcBorders>
                    <w:tl2br w:val="nil"/>
                    <w:tr2bl w:val="nil"/>
                  </w:tcBorders>
                  <w:noWrap w:val="0"/>
                  <w:vAlign w:val="center"/>
                </w:tcPr>
                <w:p w14:paraId="5921C654">
                  <w:pPr>
                    <w:pStyle w:val="66"/>
                    <w:spacing w:beforeLines="0" w:afterLines="0" w:line="288" w:lineRule="auto"/>
                    <w:rPr>
                      <w:rFonts w:hint="eastAsia" w:ascii="宋体" w:hAnsi="宋体" w:eastAsia="宋体" w:cs="宋体"/>
                      <w:b/>
                      <w:color w:val="auto"/>
                      <w:sz w:val="21"/>
                      <w:szCs w:val="21"/>
                      <w:lang w:eastAsia="zh-CN"/>
                    </w:rPr>
                  </w:pPr>
                  <w:r>
                    <w:rPr>
                      <w:rFonts w:hint="eastAsia" w:ascii="宋体" w:hAnsi="宋体" w:cs="宋体"/>
                      <w:b/>
                      <w:color w:val="auto"/>
                      <w:sz w:val="21"/>
                      <w:szCs w:val="21"/>
                      <w:lang w:eastAsia="zh-CN"/>
                    </w:rPr>
                    <w:t>排气筒编号</w:t>
                  </w:r>
                </w:p>
              </w:tc>
              <w:tc>
                <w:tcPr>
                  <w:tcW w:w="754" w:type="dxa"/>
                  <w:vMerge w:val="restart"/>
                  <w:tcBorders>
                    <w:tl2br w:val="nil"/>
                    <w:tr2bl w:val="nil"/>
                  </w:tcBorders>
                  <w:noWrap w:val="0"/>
                  <w:vAlign w:val="center"/>
                </w:tcPr>
                <w:p w14:paraId="6782059E">
                  <w:pPr>
                    <w:pStyle w:val="66"/>
                    <w:spacing w:beforeLines="0" w:afterLines="0" w:line="288" w:lineRule="auto"/>
                    <w:rPr>
                      <w:rFonts w:hint="eastAsia" w:ascii="宋体" w:hAnsi="宋体" w:eastAsia="宋体" w:cs="宋体"/>
                      <w:b/>
                      <w:color w:val="auto"/>
                      <w:sz w:val="21"/>
                      <w:szCs w:val="21"/>
                    </w:rPr>
                  </w:pPr>
                  <w:r>
                    <w:rPr>
                      <w:rFonts w:hint="eastAsia" w:ascii="宋体" w:hAnsi="宋体" w:eastAsia="宋体" w:cs="宋体"/>
                      <w:b/>
                      <w:color w:val="auto"/>
                      <w:sz w:val="21"/>
                      <w:szCs w:val="21"/>
                    </w:rPr>
                    <w:t>污染物</w:t>
                  </w:r>
                </w:p>
              </w:tc>
              <w:tc>
                <w:tcPr>
                  <w:tcW w:w="887" w:type="dxa"/>
                  <w:vMerge w:val="restart"/>
                  <w:tcBorders>
                    <w:tl2br w:val="nil"/>
                    <w:tr2bl w:val="nil"/>
                  </w:tcBorders>
                  <w:noWrap w:val="0"/>
                  <w:vAlign w:val="center"/>
                </w:tcPr>
                <w:p w14:paraId="613D82D0">
                  <w:pPr>
                    <w:pStyle w:val="66"/>
                    <w:spacing w:beforeLines="0" w:afterLines="0" w:line="288" w:lineRule="auto"/>
                    <w:rPr>
                      <w:rFonts w:hint="eastAsia" w:ascii="宋体" w:hAnsi="宋体" w:eastAsia="宋体" w:cs="宋体"/>
                      <w:b/>
                      <w:color w:val="auto"/>
                      <w:sz w:val="21"/>
                      <w:szCs w:val="21"/>
                    </w:rPr>
                  </w:pPr>
                  <w:r>
                    <w:rPr>
                      <w:rFonts w:hint="eastAsia" w:ascii="宋体" w:hAnsi="宋体" w:eastAsia="宋体" w:cs="宋体"/>
                      <w:b/>
                      <w:color w:val="auto"/>
                      <w:sz w:val="21"/>
                      <w:szCs w:val="21"/>
                    </w:rPr>
                    <w:t>非正常工况原有</w:t>
                  </w:r>
                </w:p>
              </w:tc>
              <w:tc>
                <w:tcPr>
                  <w:tcW w:w="2944" w:type="dxa"/>
                  <w:gridSpan w:val="4"/>
                  <w:tcBorders>
                    <w:tl2br w:val="nil"/>
                    <w:tr2bl w:val="nil"/>
                  </w:tcBorders>
                  <w:noWrap w:val="0"/>
                  <w:vAlign w:val="center"/>
                </w:tcPr>
                <w:p w14:paraId="7F252747">
                  <w:pPr>
                    <w:pStyle w:val="66"/>
                    <w:spacing w:beforeLines="0" w:afterLines="0" w:line="288" w:lineRule="auto"/>
                    <w:rPr>
                      <w:rFonts w:hint="eastAsia" w:ascii="宋体" w:hAnsi="宋体" w:eastAsia="宋体" w:cs="宋体"/>
                      <w:b/>
                      <w:color w:val="auto"/>
                      <w:sz w:val="21"/>
                      <w:szCs w:val="21"/>
                    </w:rPr>
                  </w:pPr>
                  <w:r>
                    <w:rPr>
                      <w:rFonts w:hint="eastAsia" w:ascii="宋体" w:hAnsi="宋体" w:eastAsia="宋体" w:cs="宋体"/>
                      <w:b/>
                      <w:color w:val="auto"/>
                      <w:sz w:val="21"/>
                      <w:szCs w:val="21"/>
                    </w:rPr>
                    <w:t>非正常排放状况</w:t>
                  </w:r>
                </w:p>
              </w:tc>
              <w:tc>
                <w:tcPr>
                  <w:tcW w:w="739" w:type="dxa"/>
                  <w:tcBorders>
                    <w:tl2br w:val="nil"/>
                    <w:tr2bl w:val="nil"/>
                  </w:tcBorders>
                  <w:noWrap w:val="0"/>
                  <w:vAlign w:val="center"/>
                </w:tcPr>
                <w:p w14:paraId="07B5AD3F">
                  <w:pPr>
                    <w:pStyle w:val="66"/>
                    <w:spacing w:beforeLines="0" w:afterLines="0" w:line="288" w:lineRule="auto"/>
                    <w:rPr>
                      <w:rFonts w:hint="eastAsia" w:ascii="宋体" w:hAnsi="宋体" w:eastAsia="宋体" w:cs="宋体"/>
                      <w:b/>
                      <w:color w:val="auto"/>
                      <w:sz w:val="21"/>
                      <w:szCs w:val="21"/>
                    </w:rPr>
                  </w:pPr>
                  <w:r>
                    <w:rPr>
                      <w:rFonts w:hint="eastAsia" w:ascii="宋体" w:hAnsi="宋体" w:eastAsia="宋体" w:cs="宋体"/>
                      <w:b/>
                      <w:color w:val="auto"/>
                      <w:sz w:val="21"/>
                      <w:szCs w:val="21"/>
                    </w:rPr>
                    <w:t>执行标准</w:t>
                  </w:r>
                </w:p>
              </w:tc>
              <w:tc>
                <w:tcPr>
                  <w:tcW w:w="633" w:type="dxa"/>
                  <w:vMerge w:val="restart"/>
                  <w:tcBorders>
                    <w:tl2br w:val="nil"/>
                    <w:tr2bl w:val="nil"/>
                  </w:tcBorders>
                  <w:noWrap w:val="0"/>
                  <w:vAlign w:val="center"/>
                </w:tcPr>
                <w:p w14:paraId="60130AA2">
                  <w:pPr>
                    <w:pStyle w:val="66"/>
                    <w:spacing w:beforeLines="0" w:afterLines="0" w:line="288" w:lineRule="auto"/>
                    <w:rPr>
                      <w:rFonts w:hint="eastAsia" w:ascii="宋体" w:hAnsi="宋体" w:eastAsia="宋体" w:cs="宋体"/>
                      <w:b/>
                      <w:color w:val="auto"/>
                      <w:sz w:val="21"/>
                      <w:szCs w:val="21"/>
                    </w:rPr>
                  </w:pPr>
                  <w:r>
                    <w:rPr>
                      <w:rFonts w:hint="eastAsia" w:ascii="宋体" w:hAnsi="宋体" w:eastAsia="宋体" w:cs="宋体"/>
                      <w:b/>
                      <w:color w:val="auto"/>
                      <w:sz w:val="21"/>
                      <w:szCs w:val="21"/>
                    </w:rPr>
                    <w:t>达标分析</w:t>
                  </w:r>
                </w:p>
              </w:tc>
              <w:tc>
                <w:tcPr>
                  <w:tcW w:w="1752" w:type="dxa"/>
                  <w:vMerge w:val="restart"/>
                  <w:tcBorders>
                    <w:tl2br w:val="nil"/>
                    <w:tr2bl w:val="nil"/>
                  </w:tcBorders>
                  <w:noWrap w:val="0"/>
                  <w:vAlign w:val="center"/>
                </w:tcPr>
                <w:p w14:paraId="644CB95D">
                  <w:pPr>
                    <w:pStyle w:val="66"/>
                    <w:spacing w:beforeLines="0" w:afterLines="0" w:line="288" w:lineRule="auto"/>
                    <w:rPr>
                      <w:rFonts w:hint="eastAsia" w:ascii="宋体" w:hAnsi="宋体" w:eastAsia="宋体" w:cs="宋体"/>
                      <w:b/>
                      <w:color w:val="auto"/>
                      <w:sz w:val="21"/>
                      <w:szCs w:val="21"/>
                    </w:rPr>
                  </w:pPr>
                  <w:r>
                    <w:rPr>
                      <w:rFonts w:hint="eastAsia" w:ascii="宋体" w:hAnsi="宋体" w:eastAsia="宋体" w:cs="宋体"/>
                      <w:b/>
                      <w:color w:val="auto"/>
                      <w:sz w:val="21"/>
                      <w:szCs w:val="21"/>
                    </w:rPr>
                    <w:t>控制措施</w:t>
                  </w:r>
                </w:p>
              </w:tc>
            </w:tr>
            <w:tr w14:paraId="2C19AED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3" w:hRule="atLeast"/>
                <w:jc w:val="center"/>
              </w:trPr>
              <w:tc>
                <w:tcPr>
                  <w:tcW w:w="506" w:type="dxa"/>
                  <w:vMerge w:val="continue"/>
                  <w:tcBorders>
                    <w:tl2br w:val="nil"/>
                    <w:tr2bl w:val="nil"/>
                  </w:tcBorders>
                  <w:noWrap w:val="0"/>
                  <w:vAlign w:val="center"/>
                </w:tcPr>
                <w:p w14:paraId="12C3C947">
                  <w:pPr>
                    <w:pStyle w:val="66"/>
                    <w:spacing w:beforeLines="0" w:afterLines="0" w:line="288" w:lineRule="auto"/>
                    <w:rPr>
                      <w:rFonts w:hint="eastAsia" w:ascii="宋体" w:hAnsi="宋体" w:eastAsia="宋体" w:cs="宋体"/>
                      <w:color w:val="auto"/>
                      <w:sz w:val="21"/>
                      <w:szCs w:val="21"/>
                    </w:rPr>
                  </w:pPr>
                </w:p>
              </w:tc>
              <w:tc>
                <w:tcPr>
                  <w:tcW w:w="754" w:type="dxa"/>
                  <w:vMerge w:val="continue"/>
                  <w:tcBorders>
                    <w:tl2br w:val="nil"/>
                    <w:tr2bl w:val="nil"/>
                  </w:tcBorders>
                  <w:noWrap w:val="0"/>
                  <w:vAlign w:val="center"/>
                </w:tcPr>
                <w:p w14:paraId="517B853A">
                  <w:pPr>
                    <w:pStyle w:val="66"/>
                    <w:spacing w:beforeLines="0" w:afterLines="0" w:line="288" w:lineRule="auto"/>
                    <w:rPr>
                      <w:rFonts w:hint="eastAsia" w:ascii="宋体" w:hAnsi="宋体" w:eastAsia="宋体" w:cs="宋体"/>
                      <w:color w:val="auto"/>
                      <w:sz w:val="21"/>
                      <w:szCs w:val="21"/>
                    </w:rPr>
                  </w:pPr>
                </w:p>
              </w:tc>
              <w:tc>
                <w:tcPr>
                  <w:tcW w:w="887" w:type="dxa"/>
                  <w:vMerge w:val="continue"/>
                  <w:tcBorders>
                    <w:tl2br w:val="nil"/>
                    <w:tr2bl w:val="nil"/>
                  </w:tcBorders>
                  <w:noWrap w:val="0"/>
                  <w:vAlign w:val="center"/>
                </w:tcPr>
                <w:p w14:paraId="4260C6BF">
                  <w:pPr>
                    <w:pStyle w:val="66"/>
                    <w:spacing w:beforeLines="0" w:afterLines="0" w:line="288" w:lineRule="auto"/>
                    <w:rPr>
                      <w:rFonts w:hint="eastAsia" w:ascii="宋体" w:hAnsi="宋体" w:eastAsia="宋体" w:cs="宋体"/>
                      <w:b/>
                      <w:color w:val="auto"/>
                      <w:sz w:val="21"/>
                      <w:szCs w:val="21"/>
                    </w:rPr>
                  </w:pPr>
                </w:p>
              </w:tc>
              <w:tc>
                <w:tcPr>
                  <w:tcW w:w="719" w:type="dxa"/>
                  <w:tcBorders>
                    <w:tl2br w:val="nil"/>
                    <w:tr2bl w:val="nil"/>
                  </w:tcBorders>
                  <w:noWrap w:val="0"/>
                  <w:vAlign w:val="center"/>
                </w:tcPr>
                <w:p w14:paraId="034E888F">
                  <w:pPr>
                    <w:pStyle w:val="66"/>
                    <w:spacing w:beforeLines="0" w:afterLines="0" w:line="288" w:lineRule="auto"/>
                    <w:rPr>
                      <w:rFonts w:hint="eastAsia" w:ascii="宋体" w:hAnsi="宋体" w:eastAsia="宋体" w:cs="宋体"/>
                      <w:b/>
                      <w:color w:val="auto"/>
                      <w:sz w:val="21"/>
                      <w:szCs w:val="21"/>
                    </w:rPr>
                  </w:pPr>
                  <w:r>
                    <w:rPr>
                      <w:rFonts w:hint="eastAsia" w:ascii="宋体" w:hAnsi="宋体" w:eastAsia="宋体" w:cs="宋体"/>
                      <w:b/>
                      <w:color w:val="auto"/>
                      <w:sz w:val="21"/>
                      <w:szCs w:val="21"/>
                    </w:rPr>
                    <w:t>频次及持续时间</w:t>
                  </w:r>
                </w:p>
              </w:tc>
              <w:tc>
                <w:tcPr>
                  <w:tcW w:w="804" w:type="dxa"/>
                  <w:tcBorders>
                    <w:tl2br w:val="nil"/>
                    <w:tr2bl w:val="nil"/>
                  </w:tcBorders>
                  <w:noWrap w:val="0"/>
                  <w:vAlign w:val="center"/>
                </w:tcPr>
                <w:p w14:paraId="11577EC8">
                  <w:pPr>
                    <w:pStyle w:val="2"/>
                    <w:spacing w:beforeLines="0" w:afterLines="0" w:line="288" w:lineRule="auto"/>
                    <w:jc w:val="center"/>
                    <w:textAlignment w:val="baseline"/>
                    <w:rPr>
                      <w:rFonts w:hint="eastAsia" w:hAnsi="宋体"/>
                      <w:b/>
                      <w:color w:val="auto"/>
                      <w:sz w:val="21"/>
                      <w:szCs w:val="21"/>
                    </w:rPr>
                  </w:pPr>
                  <w:r>
                    <w:rPr>
                      <w:rFonts w:hint="eastAsia" w:hAnsi="宋体"/>
                      <w:b/>
                      <w:color w:val="auto"/>
                      <w:sz w:val="21"/>
                      <w:szCs w:val="21"/>
                    </w:rPr>
                    <w:t>排放</w:t>
                  </w:r>
                </w:p>
                <w:p w14:paraId="2A057CAD">
                  <w:pPr>
                    <w:pStyle w:val="2"/>
                    <w:spacing w:beforeLines="0" w:afterLines="0" w:line="288" w:lineRule="auto"/>
                    <w:jc w:val="center"/>
                    <w:textAlignment w:val="baseline"/>
                    <w:rPr>
                      <w:rFonts w:hint="eastAsia" w:hAnsi="宋体"/>
                      <w:color w:val="auto"/>
                      <w:sz w:val="21"/>
                      <w:szCs w:val="21"/>
                    </w:rPr>
                  </w:pPr>
                  <w:r>
                    <w:rPr>
                      <w:rFonts w:hint="eastAsia" w:hAnsi="宋体"/>
                      <w:b/>
                      <w:color w:val="auto"/>
                      <w:sz w:val="21"/>
                      <w:szCs w:val="21"/>
                    </w:rPr>
                    <w:t>浓度mg/m</w:t>
                  </w:r>
                  <w:r>
                    <w:rPr>
                      <w:rFonts w:hint="eastAsia" w:hAnsi="宋体"/>
                      <w:b/>
                      <w:color w:val="auto"/>
                      <w:sz w:val="21"/>
                      <w:szCs w:val="21"/>
                      <w:vertAlign w:val="superscript"/>
                    </w:rPr>
                    <w:t>3</w:t>
                  </w:r>
                </w:p>
              </w:tc>
              <w:tc>
                <w:tcPr>
                  <w:tcW w:w="715" w:type="dxa"/>
                  <w:tcBorders>
                    <w:tl2br w:val="nil"/>
                    <w:tr2bl w:val="nil"/>
                  </w:tcBorders>
                  <w:noWrap w:val="0"/>
                  <w:vAlign w:val="center"/>
                </w:tcPr>
                <w:p w14:paraId="75B20E7A">
                  <w:pPr>
                    <w:pStyle w:val="2"/>
                    <w:spacing w:beforeLines="0" w:afterLines="0" w:line="288" w:lineRule="auto"/>
                    <w:jc w:val="center"/>
                    <w:textAlignment w:val="baseline"/>
                    <w:rPr>
                      <w:rFonts w:hint="eastAsia" w:hAnsi="宋体"/>
                      <w:b/>
                      <w:color w:val="auto"/>
                      <w:sz w:val="21"/>
                      <w:szCs w:val="21"/>
                    </w:rPr>
                  </w:pPr>
                  <w:r>
                    <w:rPr>
                      <w:rFonts w:hint="eastAsia" w:hAnsi="宋体"/>
                      <w:b/>
                      <w:color w:val="auto"/>
                      <w:sz w:val="21"/>
                      <w:szCs w:val="21"/>
                    </w:rPr>
                    <w:t>排放</w:t>
                  </w:r>
                </w:p>
                <w:p w14:paraId="22B27425">
                  <w:pPr>
                    <w:pStyle w:val="2"/>
                    <w:spacing w:beforeLines="0" w:afterLines="0" w:line="288" w:lineRule="auto"/>
                    <w:jc w:val="center"/>
                    <w:textAlignment w:val="baseline"/>
                    <w:rPr>
                      <w:rFonts w:hint="eastAsia" w:hAnsi="宋体"/>
                      <w:color w:val="auto"/>
                      <w:sz w:val="21"/>
                      <w:szCs w:val="21"/>
                    </w:rPr>
                  </w:pPr>
                  <w:r>
                    <w:rPr>
                      <w:rFonts w:hint="eastAsia" w:hAnsi="宋体"/>
                      <w:b/>
                      <w:color w:val="auto"/>
                      <w:sz w:val="21"/>
                      <w:szCs w:val="21"/>
                    </w:rPr>
                    <w:t>速率kg/h</w:t>
                  </w:r>
                </w:p>
              </w:tc>
              <w:tc>
                <w:tcPr>
                  <w:tcW w:w="706" w:type="dxa"/>
                  <w:tcBorders>
                    <w:tl2br w:val="nil"/>
                    <w:tr2bl w:val="nil"/>
                  </w:tcBorders>
                  <w:noWrap w:val="0"/>
                  <w:vAlign w:val="center"/>
                </w:tcPr>
                <w:p w14:paraId="63A657E5">
                  <w:pPr>
                    <w:pStyle w:val="2"/>
                    <w:spacing w:beforeLines="0" w:afterLines="0" w:line="288" w:lineRule="auto"/>
                    <w:jc w:val="center"/>
                    <w:textAlignment w:val="baseline"/>
                    <w:rPr>
                      <w:rFonts w:hint="eastAsia" w:hAnsi="宋体"/>
                      <w:b/>
                      <w:color w:val="auto"/>
                      <w:sz w:val="21"/>
                      <w:szCs w:val="21"/>
                    </w:rPr>
                  </w:pPr>
                  <w:r>
                    <w:rPr>
                      <w:rFonts w:hint="eastAsia" w:hAnsi="宋体"/>
                      <w:b/>
                      <w:color w:val="auto"/>
                      <w:sz w:val="21"/>
                      <w:szCs w:val="21"/>
                    </w:rPr>
                    <w:t>排放量t/a</w:t>
                  </w:r>
                </w:p>
              </w:tc>
              <w:tc>
                <w:tcPr>
                  <w:tcW w:w="739" w:type="dxa"/>
                  <w:tcBorders>
                    <w:tl2br w:val="nil"/>
                    <w:tr2bl w:val="nil"/>
                  </w:tcBorders>
                  <w:noWrap w:val="0"/>
                  <w:vAlign w:val="center"/>
                </w:tcPr>
                <w:p w14:paraId="6E5134E4">
                  <w:pPr>
                    <w:pStyle w:val="66"/>
                    <w:spacing w:beforeLines="0" w:afterLines="0" w:line="288" w:lineRule="auto"/>
                    <w:rPr>
                      <w:rFonts w:hint="eastAsia" w:ascii="宋体" w:hAnsi="宋体" w:eastAsia="宋体" w:cs="宋体"/>
                      <w:color w:val="auto"/>
                      <w:sz w:val="21"/>
                      <w:szCs w:val="21"/>
                    </w:rPr>
                  </w:pPr>
                  <w:r>
                    <w:rPr>
                      <w:rFonts w:hint="eastAsia" w:ascii="宋体" w:hAnsi="宋体" w:eastAsia="宋体" w:cs="宋体"/>
                      <w:b/>
                      <w:color w:val="auto"/>
                      <w:sz w:val="21"/>
                      <w:szCs w:val="21"/>
                    </w:rPr>
                    <w:t>浓度mg/m</w:t>
                  </w:r>
                  <w:r>
                    <w:rPr>
                      <w:rFonts w:hint="eastAsia" w:ascii="宋体" w:hAnsi="宋体" w:eastAsia="宋体" w:cs="宋体"/>
                      <w:b/>
                      <w:color w:val="auto"/>
                      <w:sz w:val="21"/>
                      <w:szCs w:val="21"/>
                      <w:vertAlign w:val="superscript"/>
                    </w:rPr>
                    <w:t>3</w:t>
                  </w:r>
                </w:p>
              </w:tc>
              <w:tc>
                <w:tcPr>
                  <w:tcW w:w="633" w:type="dxa"/>
                  <w:vMerge w:val="continue"/>
                  <w:tcBorders>
                    <w:tl2br w:val="nil"/>
                    <w:tr2bl w:val="nil"/>
                  </w:tcBorders>
                  <w:noWrap w:val="0"/>
                  <w:vAlign w:val="center"/>
                </w:tcPr>
                <w:p w14:paraId="09B78EE3">
                  <w:pPr>
                    <w:pStyle w:val="66"/>
                    <w:spacing w:beforeLines="0" w:afterLines="0" w:line="288" w:lineRule="auto"/>
                    <w:rPr>
                      <w:rFonts w:hint="eastAsia" w:ascii="宋体" w:hAnsi="宋体" w:eastAsia="宋体" w:cs="宋体"/>
                      <w:color w:val="auto"/>
                      <w:sz w:val="21"/>
                      <w:szCs w:val="21"/>
                    </w:rPr>
                  </w:pPr>
                </w:p>
              </w:tc>
              <w:tc>
                <w:tcPr>
                  <w:tcW w:w="1752" w:type="dxa"/>
                  <w:vMerge w:val="continue"/>
                  <w:tcBorders>
                    <w:tl2br w:val="nil"/>
                    <w:tr2bl w:val="nil"/>
                  </w:tcBorders>
                  <w:noWrap w:val="0"/>
                  <w:vAlign w:val="center"/>
                </w:tcPr>
                <w:p w14:paraId="4B68A4B6">
                  <w:pPr>
                    <w:pStyle w:val="66"/>
                    <w:spacing w:beforeLines="0" w:afterLines="0" w:line="288" w:lineRule="auto"/>
                    <w:rPr>
                      <w:rFonts w:hint="eastAsia" w:ascii="宋体" w:hAnsi="宋体" w:eastAsia="宋体" w:cs="宋体"/>
                      <w:color w:val="auto"/>
                      <w:sz w:val="21"/>
                      <w:szCs w:val="21"/>
                    </w:rPr>
                  </w:pPr>
                </w:p>
              </w:tc>
            </w:tr>
            <w:tr w14:paraId="178032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78" w:hRule="atLeast"/>
                <w:jc w:val="center"/>
              </w:trPr>
              <w:tc>
                <w:tcPr>
                  <w:tcW w:w="506" w:type="dxa"/>
                  <w:tcBorders>
                    <w:tl2br w:val="nil"/>
                    <w:tr2bl w:val="nil"/>
                  </w:tcBorders>
                  <w:noWrap w:val="0"/>
                  <w:vAlign w:val="center"/>
                </w:tcPr>
                <w:p w14:paraId="6A9070F1">
                  <w:pPr>
                    <w:pStyle w:val="56"/>
                    <w:adjustRightInd w:val="0"/>
                    <w:snapToGrid w:val="0"/>
                    <w:spacing w:beforeLines="0" w:afterLines="0" w:line="288" w:lineRule="auto"/>
                    <w:rPr>
                      <w:rFonts w:hint="eastAsia" w:ascii="宋体" w:hAnsi="宋体" w:eastAsia="宋体" w:cs="宋体"/>
                      <w:b w:val="0"/>
                      <w:color w:val="auto"/>
                      <w:sz w:val="21"/>
                      <w:szCs w:val="21"/>
                      <w:lang w:val="en-US" w:eastAsia="zh-CN"/>
                    </w:rPr>
                  </w:pPr>
                  <w:r>
                    <w:rPr>
                      <w:rFonts w:hint="eastAsia" w:ascii="Times New Roman" w:hAnsi="Times New Roman" w:eastAsia="宋体" w:cs="Times New Roman"/>
                      <w:b w:val="0"/>
                      <w:bCs/>
                      <w:color w:val="auto"/>
                      <w:sz w:val="21"/>
                      <w:szCs w:val="21"/>
                    </w:rPr>
                    <w:t>DA00</w:t>
                  </w:r>
                  <w:r>
                    <w:rPr>
                      <w:rFonts w:hint="eastAsia" w:cs="Times New Roman"/>
                      <w:b w:val="0"/>
                      <w:bCs/>
                      <w:color w:val="auto"/>
                      <w:sz w:val="21"/>
                      <w:szCs w:val="21"/>
                      <w:lang w:val="en-US" w:eastAsia="zh-CN"/>
                    </w:rPr>
                    <w:t>1</w:t>
                  </w:r>
                </w:p>
              </w:tc>
              <w:tc>
                <w:tcPr>
                  <w:tcW w:w="754" w:type="dxa"/>
                  <w:tcBorders>
                    <w:tl2br w:val="nil"/>
                    <w:tr2bl w:val="nil"/>
                  </w:tcBorders>
                  <w:shd w:val="clear" w:color="auto" w:fill="auto"/>
                  <w:noWrap w:val="0"/>
                  <w:vAlign w:val="center"/>
                </w:tcPr>
                <w:p w14:paraId="11875256">
                  <w:pPr>
                    <w:keepNext w:val="0"/>
                    <w:keepLines w:val="0"/>
                    <w:pageBreakBefore w:val="0"/>
                    <w:widowControl/>
                    <w:kinsoku/>
                    <w:wordWrap/>
                    <w:overflowPunct/>
                    <w:topLinePunct w:val="0"/>
                    <w:bidi w:val="0"/>
                    <w:adjustRightInd/>
                    <w:snapToGrid/>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rPr>
                    <w:t>VOCs</w:t>
                  </w:r>
                </w:p>
              </w:tc>
              <w:tc>
                <w:tcPr>
                  <w:tcW w:w="887" w:type="dxa"/>
                  <w:tcBorders>
                    <w:tl2br w:val="nil"/>
                    <w:tr2bl w:val="nil"/>
                  </w:tcBorders>
                  <w:noWrap w:val="0"/>
                  <w:vAlign w:val="center"/>
                </w:tcPr>
                <w:p w14:paraId="7D3FED78">
                  <w:pPr>
                    <w:pStyle w:val="66"/>
                    <w:spacing w:beforeLines="0" w:afterLines="0" w:line="288"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环保设施</w:t>
                  </w:r>
                  <w:r>
                    <w:rPr>
                      <w:rFonts w:hint="eastAsia" w:ascii="宋体" w:hAnsi="宋体" w:eastAsia="宋体" w:cs="宋体"/>
                      <w:color w:val="auto"/>
                      <w:sz w:val="21"/>
                      <w:szCs w:val="21"/>
                    </w:rPr>
                    <w:t>故障，处理效率为0</w:t>
                  </w:r>
                </w:p>
              </w:tc>
              <w:tc>
                <w:tcPr>
                  <w:tcW w:w="719" w:type="dxa"/>
                  <w:tcBorders>
                    <w:tl2br w:val="nil"/>
                    <w:tr2bl w:val="nil"/>
                  </w:tcBorders>
                  <w:noWrap w:val="0"/>
                  <w:vAlign w:val="center"/>
                </w:tcPr>
                <w:p w14:paraId="79AB41CF">
                  <w:pPr>
                    <w:pStyle w:val="66"/>
                    <w:spacing w:beforeLines="0" w:afterLines="0" w:line="288" w:lineRule="auto"/>
                    <w:rPr>
                      <w:rFonts w:hint="eastAsia" w:ascii="宋体" w:hAnsi="宋体" w:eastAsia="宋体" w:cs="宋体"/>
                      <w:color w:val="auto"/>
                      <w:sz w:val="21"/>
                      <w:szCs w:val="21"/>
                    </w:rPr>
                  </w:pPr>
                  <w:r>
                    <w:rPr>
                      <w:rFonts w:hint="eastAsia" w:ascii="宋体" w:hAnsi="宋体" w:eastAsia="宋体" w:cs="宋体"/>
                      <w:color w:val="auto"/>
                      <w:spacing w:val="1"/>
                      <w:w w:val="85"/>
                      <w:kern w:val="0"/>
                      <w:sz w:val="21"/>
                      <w:szCs w:val="21"/>
                    </w:rPr>
                    <w:t>2次/a</w:t>
                  </w:r>
                  <w:r>
                    <w:rPr>
                      <w:rFonts w:hint="eastAsia" w:ascii="宋体" w:hAnsi="宋体" w:eastAsia="宋体" w:cs="宋体"/>
                      <w:color w:val="auto"/>
                      <w:w w:val="85"/>
                      <w:kern w:val="0"/>
                      <w:sz w:val="21"/>
                      <w:szCs w:val="21"/>
                    </w:rPr>
                    <w:t>，</w:t>
                  </w:r>
                  <w:r>
                    <w:rPr>
                      <w:rFonts w:hint="eastAsia" w:ascii="宋体" w:hAnsi="宋体" w:eastAsia="宋体" w:cs="宋体"/>
                      <w:color w:val="auto"/>
                      <w:sz w:val="21"/>
                      <w:szCs w:val="21"/>
                    </w:rPr>
                    <w:t>1h/次</w:t>
                  </w:r>
                </w:p>
              </w:tc>
              <w:tc>
                <w:tcPr>
                  <w:tcW w:w="804" w:type="dxa"/>
                  <w:tcBorders>
                    <w:tl2br w:val="nil"/>
                    <w:tr2bl w:val="nil"/>
                  </w:tcBorders>
                  <w:shd w:val="clear" w:color="auto" w:fill="auto"/>
                  <w:noWrap w:val="0"/>
                  <w:vAlign w:val="center"/>
                </w:tcPr>
                <w:p w14:paraId="3D5BAB9A">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48.413</w:t>
                  </w:r>
                </w:p>
              </w:tc>
              <w:tc>
                <w:tcPr>
                  <w:tcW w:w="715" w:type="dxa"/>
                  <w:tcBorders>
                    <w:tl2br w:val="nil"/>
                    <w:tr2bl w:val="nil"/>
                  </w:tcBorders>
                  <w:shd w:val="clear" w:color="auto" w:fill="auto"/>
                  <w:noWrap w:val="0"/>
                  <w:vAlign w:val="center"/>
                </w:tcPr>
                <w:p w14:paraId="26886B51">
                  <w:pPr>
                    <w:pStyle w:val="66"/>
                    <w:spacing w:line="288"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0.968</w:t>
                  </w:r>
                </w:p>
              </w:tc>
              <w:tc>
                <w:tcPr>
                  <w:tcW w:w="706" w:type="dxa"/>
                  <w:tcBorders>
                    <w:tl2br w:val="nil"/>
                    <w:tr2bl w:val="nil"/>
                  </w:tcBorders>
                  <w:shd w:val="clear" w:color="auto" w:fill="auto"/>
                  <w:noWrap w:val="0"/>
                  <w:vAlign w:val="center"/>
                </w:tcPr>
                <w:p w14:paraId="534125A9">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黑体" w:cs="Times New Roman"/>
                      <w:color w:val="auto"/>
                      <w:kern w:val="2"/>
                      <w:sz w:val="21"/>
                      <w:szCs w:val="21"/>
                      <w:lang w:val="en-US" w:eastAsia="zh-CN" w:bidi="zh-CN"/>
                    </w:rPr>
                  </w:pPr>
                  <w:r>
                    <w:rPr>
                      <w:rFonts w:hint="eastAsia" w:ascii="Times New Roman" w:hAnsi="Times New Roman" w:eastAsia="黑体" w:cs="Times New Roman"/>
                      <w:color w:val="auto"/>
                      <w:kern w:val="2"/>
                      <w:sz w:val="21"/>
                      <w:szCs w:val="21"/>
                      <w:lang w:val="en-US" w:eastAsia="zh-CN" w:bidi="zh-CN"/>
                    </w:rPr>
                    <w:t>4.648</w:t>
                  </w:r>
                </w:p>
              </w:tc>
              <w:tc>
                <w:tcPr>
                  <w:tcW w:w="739" w:type="dxa"/>
                  <w:tcBorders>
                    <w:tl2br w:val="nil"/>
                    <w:tr2bl w:val="nil"/>
                  </w:tcBorders>
                  <w:noWrap w:val="0"/>
                  <w:vAlign w:val="center"/>
                </w:tcPr>
                <w:p w14:paraId="4054EB03">
                  <w:pPr>
                    <w:pStyle w:val="66"/>
                    <w:spacing w:beforeLines="0" w:afterLines="0" w:line="288"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c>
                <w:tcPr>
                  <w:tcW w:w="633" w:type="dxa"/>
                  <w:tcBorders>
                    <w:tl2br w:val="nil"/>
                    <w:tr2bl w:val="nil"/>
                  </w:tcBorders>
                  <w:noWrap w:val="0"/>
                  <w:vAlign w:val="center"/>
                </w:tcPr>
                <w:p w14:paraId="32A05E4A">
                  <w:pPr>
                    <w:pStyle w:val="66"/>
                    <w:spacing w:beforeLines="0" w:afterLines="0" w:line="288" w:lineRule="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不达标</w:t>
                  </w:r>
                </w:p>
              </w:tc>
              <w:tc>
                <w:tcPr>
                  <w:tcW w:w="1752" w:type="dxa"/>
                  <w:tcBorders>
                    <w:tl2br w:val="nil"/>
                    <w:tr2bl w:val="nil"/>
                  </w:tcBorders>
                  <w:noWrap w:val="0"/>
                  <w:vAlign w:val="center"/>
                </w:tcPr>
                <w:p w14:paraId="40E8F0F0">
                  <w:pPr>
                    <w:pStyle w:val="66"/>
                    <w:spacing w:beforeLines="0" w:afterLines="0" w:line="288" w:lineRule="auto"/>
                    <w:rPr>
                      <w:rFonts w:hint="eastAsia" w:ascii="宋体" w:hAnsi="宋体" w:eastAsia="宋体" w:cs="宋体"/>
                      <w:color w:val="auto"/>
                      <w:sz w:val="21"/>
                      <w:szCs w:val="21"/>
                    </w:rPr>
                  </w:pPr>
                  <w:r>
                    <w:rPr>
                      <w:rFonts w:hint="eastAsia" w:ascii="宋体" w:hAnsi="宋体" w:eastAsia="宋体" w:cs="宋体"/>
                      <w:color w:val="auto"/>
                      <w:sz w:val="21"/>
                      <w:szCs w:val="21"/>
                    </w:rPr>
                    <w:t>企业应加强管理，一旦废气治理系统故障，立即停产检修，防止事故废气排放</w:t>
                  </w:r>
                </w:p>
              </w:tc>
            </w:tr>
          </w:tbl>
          <w:p w14:paraId="26E30CC0">
            <w:pPr>
              <w:spacing w:beforeLines="0" w:afterLines="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由上表可知，在非正常情况下，</w:t>
            </w:r>
            <w:r>
              <w:rPr>
                <w:rFonts w:hint="eastAsia" w:ascii="宋体" w:hAnsi="宋体" w:eastAsia="宋体" w:cs="宋体"/>
                <w:color w:val="auto"/>
                <w:sz w:val="24"/>
                <w:szCs w:val="24"/>
              </w:rPr>
              <w:t>项目废气排放口排放的污染物浓度不能满足排放标准要求，非正常工况下污染物量大大增加，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7FDBF217">
            <w:pPr>
              <w:widowControl/>
              <w:spacing w:beforeLines="0" w:afterLines="0" w:line="360" w:lineRule="auto"/>
              <w:ind w:firstLine="480" w:firstLineChars="200"/>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①安排专人负责环保设备的日常维护和管理，每个固定时间检查、汇报情况，及时发现废气处理设备的隐患，确保废气处理系统正常运行，发现装置失效情况，应立即停止生产；</w:t>
            </w:r>
          </w:p>
          <w:p w14:paraId="22B2861C">
            <w:pPr>
              <w:widowControl/>
              <w:spacing w:beforeLines="0" w:afterLines="0" w:line="360" w:lineRule="auto"/>
              <w:ind w:firstLine="480" w:firstLineChars="200"/>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②建立健全的环保管理机构，对环保管理人员和技术人员进行岗位培训，委托具有专业资质的环境检测单位对项目排放的各类污染物进行定期检测；</w:t>
            </w:r>
          </w:p>
          <w:p w14:paraId="3137690E">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③应定期维护、检修废气净化装置</w:t>
            </w:r>
            <w:r>
              <w:rPr>
                <w:rFonts w:hint="eastAsia" w:ascii="宋体" w:hAnsi="宋体" w:eastAsia="宋体" w:cs="宋体"/>
                <w:color w:val="auto"/>
                <w:sz w:val="24"/>
                <w:szCs w:val="24"/>
              </w:rPr>
              <w:t>，</w:t>
            </w:r>
            <w:r>
              <w:rPr>
                <w:rFonts w:hint="eastAsia" w:ascii="宋体" w:hAnsi="宋体" w:eastAsia="宋体" w:cs="宋体"/>
                <w:color w:val="auto"/>
                <w:kern w:val="0"/>
                <w:sz w:val="24"/>
                <w:szCs w:val="24"/>
                <w:lang w:bidi="ar"/>
              </w:rPr>
              <w:t>以保持废气处理装置的净化能力和净化容量</w:t>
            </w:r>
            <w:r>
              <w:rPr>
                <w:rFonts w:hint="eastAsia" w:ascii="宋体" w:hAnsi="宋体" w:eastAsia="宋体" w:cs="宋体"/>
                <w:color w:val="auto"/>
                <w:kern w:val="0"/>
                <w:sz w:val="24"/>
                <w:szCs w:val="24"/>
                <w:lang w:eastAsia="zh-CN" w:bidi="ar"/>
              </w:rPr>
              <w:t>，</w:t>
            </w:r>
            <w:r>
              <w:rPr>
                <w:rFonts w:hint="eastAsia" w:ascii="宋体" w:hAnsi="宋体" w:eastAsia="宋体" w:cs="宋体"/>
                <w:color w:val="auto"/>
                <w:kern w:val="0"/>
                <w:sz w:val="24"/>
                <w:szCs w:val="24"/>
                <w:lang w:bidi="ar"/>
              </w:rPr>
              <w:t>定期更换</w:t>
            </w:r>
            <w:r>
              <w:rPr>
                <w:rFonts w:hint="eastAsia" w:ascii="宋体" w:hAnsi="宋体" w:cs="宋体"/>
                <w:color w:val="auto"/>
                <w:sz w:val="24"/>
                <w:szCs w:val="24"/>
                <w:lang w:val="en-US" w:eastAsia="zh-CN"/>
              </w:rPr>
              <w:t>活性炭；</w:t>
            </w:r>
          </w:p>
          <w:p w14:paraId="31785584">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④</w:t>
            </w:r>
            <w:r>
              <w:rPr>
                <w:rFonts w:hint="default" w:ascii="Times New Roman" w:hAnsi="Times New Roman" w:eastAsia="宋体" w:cs="Times New Roman"/>
                <w:color w:val="auto"/>
                <w:spacing w:val="2"/>
                <w:kern w:val="2"/>
                <w:sz w:val="24"/>
                <w:szCs w:val="24"/>
                <w:highlight w:val="none"/>
                <w:lang w:val="en-US" w:eastAsia="zh-CN" w:bidi="ar-SA"/>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r>
              <w:rPr>
                <w:rFonts w:hint="eastAsia" w:ascii="宋体" w:hAnsi="宋体" w:eastAsia="宋体" w:cs="宋体"/>
                <w:color w:val="auto"/>
                <w:kern w:val="0"/>
                <w:sz w:val="24"/>
                <w:szCs w:val="24"/>
                <w:lang w:bidi="ar"/>
              </w:rPr>
              <w:t>。</w:t>
            </w:r>
          </w:p>
          <w:p w14:paraId="5B6C0FDE">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、废气治理措施技术可行性分析</w:t>
            </w:r>
          </w:p>
          <w:p w14:paraId="631E0B4D">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rFonts w:hint="default" w:cs="Times New Roman"/>
                <w:b w:val="0"/>
                <w:bCs w:val="0"/>
                <w:color w:val="auto"/>
                <w:spacing w:val="4"/>
                <w:kern w:val="18"/>
                <w:sz w:val="24"/>
                <w:szCs w:val="24"/>
                <w:lang w:val="en-US" w:eastAsia="zh-CN" w:bidi="ar-SA"/>
              </w:rPr>
            </w:pPr>
            <w:r>
              <w:rPr>
                <w:rFonts w:hint="eastAsia" w:cs="Times New Roman"/>
                <w:b w:val="0"/>
                <w:bCs w:val="0"/>
                <w:color w:val="auto"/>
                <w:spacing w:val="4"/>
                <w:kern w:val="18"/>
                <w:sz w:val="24"/>
                <w:szCs w:val="24"/>
                <w:lang w:val="en-US" w:eastAsia="zh-CN" w:bidi="ar-SA"/>
              </w:rPr>
              <w:t>项目熔融挤出造粒废气采用水浴除尘+高效静电+UV光解+活性炭吸附装置进行处理后高空排放，根据《排污许可证申请与核发技术规范 废弃资源加工工业》（HJ1034—2019）表A.1废弃资源加工工业排污单位废气污染防治可行技术参考表（见下表）。</w:t>
            </w:r>
          </w:p>
          <w:p w14:paraId="5B813A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pacing w:val="4"/>
                <w:kern w:val="18"/>
                <w:sz w:val="21"/>
                <w:szCs w:val="21"/>
                <w:lang w:val="en-US" w:eastAsia="zh-CN" w:bidi="ar-SA"/>
              </w:rPr>
            </w:pPr>
            <w:r>
              <w:rPr>
                <w:rFonts w:hint="eastAsia" w:cs="Times New Roman"/>
                <w:b/>
                <w:bCs/>
                <w:color w:val="auto"/>
                <w:spacing w:val="4"/>
                <w:kern w:val="18"/>
                <w:sz w:val="21"/>
                <w:szCs w:val="21"/>
                <w:lang w:val="en-US" w:eastAsia="zh-CN" w:bidi="ar-SA"/>
              </w:rPr>
              <w:t>表 4-4 A.1 废弃资源加工工业排污单位废气污染防治可行技术参考表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2054"/>
              <w:gridCol w:w="2054"/>
              <w:gridCol w:w="2054"/>
            </w:tblGrid>
            <w:tr w14:paraId="7A1E7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3" w:type="dxa"/>
                  <w:tcBorders>
                    <w:tl2br w:val="nil"/>
                    <w:tr2bl w:val="nil"/>
                  </w:tcBorders>
                  <w:vAlign w:val="center"/>
                </w:tcPr>
                <w:p w14:paraId="755397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pacing w:val="4"/>
                      <w:kern w:val="18"/>
                      <w:sz w:val="21"/>
                      <w:szCs w:val="21"/>
                      <w:vertAlign w:val="baseline"/>
                      <w:lang w:val="en-US" w:eastAsia="zh-CN" w:bidi="ar-SA"/>
                    </w:rPr>
                  </w:pPr>
                  <w:r>
                    <w:rPr>
                      <w:rFonts w:hint="eastAsia" w:cs="Times New Roman"/>
                      <w:b w:val="0"/>
                      <w:bCs w:val="0"/>
                      <w:color w:val="auto"/>
                      <w:spacing w:val="4"/>
                      <w:kern w:val="18"/>
                      <w:sz w:val="21"/>
                      <w:szCs w:val="21"/>
                      <w:vertAlign w:val="baseline"/>
                      <w:lang w:val="en-US" w:eastAsia="zh-CN" w:bidi="ar-SA"/>
                    </w:rPr>
                    <w:t>废弃资源种类</w:t>
                  </w:r>
                </w:p>
              </w:tc>
              <w:tc>
                <w:tcPr>
                  <w:tcW w:w="2054" w:type="dxa"/>
                  <w:tcBorders>
                    <w:tl2br w:val="nil"/>
                    <w:tr2bl w:val="nil"/>
                  </w:tcBorders>
                  <w:vAlign w:val="center"/>
                </w:tcPr>
                <w:p w14:paraId="1C7066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pacing w:val="4"/>
                      <w:kern w:val="18"/>
                      <w:sz w:val="21"/>
                      <w:szCs w:val="21"/>
                      <w:vertAlign w:val="baseline"/>
                      <w:lang w:val="en-US" w:eastAsia="zh-CN" w:bidi="ar-SA"/>
                    </w:rPr>
                  </w:pPr>
                  <w:r>
                    <w:rPr>
                      <w:rFonts w:hint="eastAsia" w:cs="Times New Roman"/>
                      <w:b w:val="0"/>
                      <w:bCs w:val="0"/>
                      <w:color w:val="auto"/>
                      <w:spacing w:val="4"/>
                      <w:kern w:val="18"/>
                      <w:sz w:val="21"/>
                      <w:szCs w:val="21"/>
                      <w:vertAlign w:val="baseline"/>
                      <w:lang w:val="en-US" w:eastAsia="zh-CN" w:bidi="ar-SA"/>
                    </w:rPr>
                    <w:t>主要生产单元</w:t>
                  </w:r>
                </w:p>
              </w:tc>
              <w:tc>
                <w:tcPr>
                  <w:tcW w:w="2054" w:type="dxa"/>
                  <w:tcBorders>
                    <w:tl2br w:val="nil"/>
                    <w:tr2bl w:val="nil"/>
                  </w:tcBorders>
                  <w:vAlign w:val="center"/>
                </w:tcPr>
                <w:p w14:paraId="693FE6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pacing w:val="4"/>
                      <w:kern w:val="18"/>
                      <w:sz w:val="21"/>
                      <w:szCs w:val="21"/>
                      <w:vertAlign w:val="baseline"/>
                      <w:lang w:val="en-US" w:eastAsia="zh-CN" w:bidi="ar-SA"/>
                    </w:rPr>
                  </w:pPr>
                  <w:r>
                    <w:rPr>
                      <w:rFonts w:hint="eastAsia" w:cs="Times New Roman"/>
                      <w:b w:val="0"/>
                      <w:bCs w:val="0"/>
                      <w:color w:val="auto"/>
                      <w:spacing w:val="4"/>
                      <w:kern w:val="18"/>
                      <w:sz w:val="21"/>
                      <w:szCs w:val="21"/>
                      <w:vertAlign w:val="baseline"/>
                      <w:lang w:val="en-US" w:eastAsia="zh-CN" w:bidi="ar-SA"/>
                    </w:rPr>
                    <w:t>主要污染物</w:t>
                  </w:r>
                </w:p>
              </w:tc>
              <w:tc>
                <w:tcPr>
                  <w:tcW w:w="2054" w:type="dxa"/>
                  <w:tcBorders>
                    <w:tl2br w:val="nil"/>
                    <w:tr2bl w:val="nil"/>
                  </w:tcBorders>
                  <w:vAlign w:val="center"/>
                </w:tcPr>
                <w:p w14:paraId="5BF06B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pacing w:val="4"/>
                      <w:kern w:val="18"/>
                      <w:sz w:val="21"/>
                      <w:szCs w:val="21"/>
                      <w:vertAlign w:val="baseline"/>
                      <w:lang w:val="en-US" w:eastAsia="zh-CN" w:bidi="ar-SA"/>
                    </w:rPr>
                  </w:pPr>
                  <w:r>
                    <w:rPr>
                      <w:rFonts w:hint="eastAsia" w:cs="Times New Roman"/>
                      <w:b w:val="0"/>
                      <w:bCs w:val="0"/>
                      <w:color w:val="auto"/>
                      <w:spacing w:val="4"/>
                      <w:kern w:val="18"/>
                      <w:sz w:val="21"/>
                      <w:szCs w:val="21"/>
                      <w:vertAlign w:val="baseline"/>
                      <w:lang w:val="en-US" w:eastAsia="zh-CN" w:bidi="ar-SA"/>
                    </w:rPr>
                    <w:t>可行技术</w:t>
                  </w:r>
                </w:p>
              </w:tc>
            </w:tr>
            <w:tr w14:paraId="12115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3" w:type="dxa"/>
                  <w:tcBorders>
                    <w:tl2br w:val="nil"/>
                    <w:tr2bl w:val="nil"/>
                  </w:tcBorders>
                  <w:vAlign w:val="center"/>
                </w:tcPr>
                <w:p w14:paraId="7796BB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pacing w:val="4"/>
                      <w:kern w:val="18"/>
                      <w:sz w:val="21"/>
                      <w:szCs w:val="21"/>
                      <w:vertAlign w:val="baseline"/>
                      <w:lang w:val="en-US" w:eastAsia="zh-CN" w:bidi="ar-SA"/>
                    </w:rPr>
                  </w:pPr>
                  <w:r>
                    <w:rPr>
                      <w:rFonts w:hint="eastAsia" w:cs="Times New Roman"/>
                      <w:b w:val="0"/>
                      <w:bCs w:val="0"/>
                      <w:color w:val="auto"/>
                      <w:spacing w:val="4"/>
                      <w:kern w:val="18"/>
                      <w:sz w:val="21"/>
                      <w:szCs w:val="21"/>
                      <w:vertAlign w:val="baseline"/>
                      <w:lang w:val="en-US" w:eastAsia="zh-CN" w:bidi="ar-SA"/>
                    </w:rPr>
                    <w:t>废气</w:t>
                  </w:r>
                </w:p>
              </w:tc>
              <w:tc>
                <w:tcPr>
                  <w:tcW w:w="2054" w:type="dxa"/>
                  <w:tcBorders>
                    <w:tl2br w:val="nil"/>
                    <w:tr2bl w:val="nil"/>
                  </w:tcBorders>
                  <w:vAlign w:val="center"/>
                </w:tcPr>
                <w:p w14:paraId="17929F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pacing w:val="4"/>
                      <w:kern w:val="18"/>
                      <w:sz w:val="21"/>
                      <w:szCs w:val="21"/>
                      <w:vertAlign w:val="baseline"/>
                      <w:lang w:val="en-US" w:eastAsia="zh-CN" w:bidi="ar-SA"/>
                    </w:rPr>
                  </w:pPr>
                  <w:r>
                    <w:rPr>
                      <w:rFonts w:hint="eastAsia" w:cs="Times New Roman"/>
                      <w:b w:val="0"/>
                      <w:bCs w:val="0"/>
                      <w:color w:val="auto"/>
                      <w:spacing w:val="4"/>
                      <w:kern w:val="18"/>
                      <w:sz w:val="21"/>
                      <w:szCs w:val="21"/>
                      <w:vertAlign w:val="baseline"/>
                      <w:lang w:val="en-US" w:eastAsia="zh-CN" w:bidi="ar-SA"/>
                    </w:rPr>
                    <w:t>熔融挤出造粒</w:t>
                  </w:r>
                </w:p>
              </w:tc>
              <w:tc>
                <w:tcPr>
                  <w:tcW w:w="2054" w:type="dxa"/>
                  <w:tcBorders>
                    <w:tl2br w:val="nil"/>
                    <w:tr2bl w:val="nil"/>
                  </w:tcBorders>
                  <w:vAlign w:val="center"/>
                </w:tcPr>
                <w:p w14:paraId="074846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pacing w:val="4"/>
                      <w:kern w:val="18"/>
                      <w:sz w:val="21"/>
                      <w:szCs w:val="21"/>
                      <w:vertAlign w:val="baseline"/>
                      <w:lang w:val="en-US" w:eastAsia="zh-CN" w:bidi="ar-SA"/>
                    </w:rPr>
                  </w:pPr>
                  <w:r>
                    <w:rPr>
                      <w:rFonts w:hint="eastAsia"/>
                      <w:color w:val="auto"/>
                    </w:rPr>
                    <w:t>VOCs</w:t>
                  </w:r>
                </w:p>
              </w:tc>
              <w:tc>
                <w:tcPr>
                  <w:tcW w:w="2054" w:type="dxa"/>
                  <w:tcBorders>
                    <w:tl2br w:val="nil"/>
                    <w:tr2bl w:val="nil"/>
                  </w:tcBorders>
                  <w:vAlign w:val="center"/>
                </w:tcPr>
                <w:p w14:paraId="650B18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pacing w:val="4"/>
                      <w:kern w:val="18"/>
                      <w:sz w:val="21"/>
                      <w:szCs w:val="21"/>
                      <w:vertAlign w:val="baseline"/>
                      <w:lang w:val="en-US" w:eastAsia="zh-CN" w:bidi="ar-SA"/>
                    </w:rPr>
                  </w:pPr>
                  <w:r>
                    <w:rPr>
                      <w:rFonts w:hint="eastAsia" w:cs="Times New Roman"/>
                      <w:b w:val="0"/>
                      <w:bCs w:val="0"/>
                      <w:color w:val="auto"/>
                      <w:spacing w:val="4"/>
                      <w:kern w:val="18"/>
                      <w:sz w:val="21"/>
                      <w:szCs w:val="21"/>
                      <w:vertAlign w:val="baseline"/>
                      <w:lang w:val="en-US" w:eastAsia="zh-CN" w:bidi="ar-SA"/>
                    </w:rPr>
                    <w:t>高温焚烧、催化燃烧、活性炭吸附</w:t>
                  </w:r>
                </w:p>
              </w:tc>
            </w:tr>
          </w:tbl>
          <w:p w14:paraId="0B54D0CA">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rFonts w:hint="eastAsia" w:cs="Times New Roman"/>
                <w:b w:val="0"/>
                <w:bCs w:val="0"/>
                <w:color w:val="auto"/>
                <w:spacing w:val="4"/>
                <w:kern w:val="18"/>
                <w:sz w:val="24"/>
                <w:szCs w:val="24"/>
                <w:lang w:val="en-US" w:eastAsia="zh-CN" w:bidi="ar-SA"/>
              </w:rPr>
            </w:pPr>
            <w:r>
              <w:rPr>
                <w:rFonts w:hint="eastAsia" w:cs="Times New Roman"/>
                <w:b w:val="0"/>
                <w:bCs w:val="0"/>
                <w:color w:val="auto"/>
                <w:spacing w:val="4"/>
                <w:kern w:val="18"/>
                <w:sz w:val="24"/>
                <w:szCs w:val="24"/>
                <w:lang w:val="en-US" w:eastAsia="zh-CN" w:bidi="ar-SA"/>
              </w:rPr>
              <w:t>根据《排污许可证申请与核发技术规范 废弃资源加工工业》（HJ 1034—2019）表A.1废弃资源加工工业排污单位废气污染防治可行技术参考表可知，活性炭吸附属于可行技术，即项目熔融挤出（造粒）废气采用水浴除尘+高效静电+UV光解+活性炭吸附对其进行处理后高空排放，是可行的。</w:t>
            </w:r>
          </w:p>
          <w:p w14:paraId="7259060E">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rFonts w:hint="eastAsia" w:cs="Times New Roman"/>
                <w:b w:val="0"/>
                <w:bCs w:val="0"/>
                <w:color w:val="auto"/>
                <w:spacing w:val="4"/>
                <w:kern w:val="18"/>
                <w:sz w:val="24"/>
                <w:szCs w:val="24"/>
                <w:lang w:val="en-US" w:eastAsia="zh-CN" w:bidi="ar-SA"/>
              </w:rPr>
            </w:pPr>
            <w:r>
              <w:rPr>
                <w:rFonts w:hint="eastAsia" w:cs="Times New Roman"/>
                <w:b w:val="0"/>
                <w:bCs w:val="0"/>
                <w:color w:val="auto"/>
                <w:spacing w:val="4"/>
                <w:kern w:val="18"/>
                <w:sz w:val="24"/>
                <w:szCs w:val="24"/>
                <w:lang w:val="en-US" w:eastAsia="zh-CN" w:bidi="ar-SA"/>
              </w:rPr>
              <w:t>针对本项目废气排放的特点，项目搅拌熔融废气污染因子以</w:t>
            </w:r>
            <w:r>
              <w:rPr>
                <w:rFonts w:hint="eastAsia"/>
                <w:color w:val="auto"/>
              </w:rPr>
              <w:t>VOCs</w:t>
            </w:r>
            <w:r>
              <w:rPr>
                <w:rFonts w:hint="eastAsia" w:cs="Times New Roman"/>
                <w:b w:val="0"/>
                <w:bCs w:val="0"/>
                <w:color w:val="auto"/>
                <w:spacing w:val="4"/>
                <w:kern w:val="18"/>
                <w:sz w:val="24"/>
                <w:szCs w:val="24"/>
                <w:lang w:val="en-US" w:eastAsia="zh-CN" w:bidi="ar-SA"/>
              </w:rPr>
              <w:t>等有机废气为主，为降低投资成本，保证净化效果和减少运行费用，建设单位拟采用“水浴除尘+高效静电+UV光解+活性炭吸附”装置处理有机废气。这种工艺是目前国内公认成熟处理有机废气的方式。</w:t>
            </w:r>
          </w:p>
          <w:p w14:paraId="6EA71393">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rFonts w:hint="eastAsia" w:cs="Times New Roman"/>
                <w:b w:val="0"/>
                <w:bCs w:val="0"/>
                <w:color w:val="auto"/>
                <w:spacing w:val="4"/>
                <w:kern w:val="18"/>
                <w:sz w:val="24"/>
                <w:szCs w:val="24"/>
                <w:lang w:val="en-US" w:eastAsia="zh-CN" w:bidi="ar-SA"/>
              </w:rPr>
            </w:pPr>
            <w:r>
              <w:rPr>
                <w:rFonts w:hint="eastAsia" w:cs="Times New Roman"/>
                <w:b w:val="0"/>
                <w:bCs w:val="0"/>
                <w:color w:val="auto"/>
                <w:spacing w:val="4"/>
                <w:kern w:val="18"/>
                <w:sz w:val="24"/>
                <w:szCs w:val="24"/>
                <w:lang w:val="en-US" w:eastAsia="zh-CN" w:bidi="ar-SA"/>
              </w:rPr>
              <w:t>水喷淋工作原理：水喷淋是一种溶液吸收的方法，它的特点是对含尘浓度的适应性极强，不仅可除去较粗的粉尘粒子，同时也可以去除废气中的可溶成分从而达到净化空气的效果，此外还可通过循环液除去其他的有害气体。有机废气通过负压风机抽排，由铁管道输送至喷淋塔中，在喷淋塔中装置高压喷嘴，使水能达到雾化状态。从而增大水与有机气体的接触表面积，使有机气体大面积与水结合，更有利于有机气体的吸收，达到处理最佳效果。</w:t>
            </w:r>
          </w:p>
          <w:p w14:paraId="027C9085">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rFonts w:hint="eastAsia" w:cs="Times New Roman"/>
                <w:b w:val="0"/>
                <w:bCs w:val="0"/>
                <w:color w:val="auto"/>
                <w:spacing w:val="4"/>
                <w:kern w:val="18"/>
                <w:sz w:val="24"/>
                <w:szCs w:val="24"/>
                <w:lang w:val="en-US" w:eastAsia="zh-CN" w:bidi="ar-SA"/>
              </w:rPr>
            </w:pPr>
            <w:r>
              <w:rPr>
                <w:rFonts w:hint="eastAsia" w:cs="Times New Roman"/>
                <w:b w:val="0"/>
                <w:bCs w:val="0"/>
                <w:color w:val="auto"/>
                <w:spacing w:val="4"/>
                <w:kern w:val="18"/>
                <w:sz w:val="24"/>
                <w:szCs w:val="24"/>
                <w:lang w:val="en-US" w:eastAsia="zh-CN" w:bidi="ar-SA"/>
              </w:rPr>
              <w:t>静电除油：烟气送入静电除油烟设备，在高压静电的作用下，烟气中的油雾颗粒等被滤除掉，然后再由排风口排放。静电除油烟设备是利用阴极在高压电场中发射出来的电子，以及由电子碰尘粒时产生电像力互相吸引而荷电。电场的设计使油烟粒子的运动速度较低，一般在零点几秒内便能使油烟粒子荷上足够的电荷，带电粒子在电场中会受到电场力（库仑力）的作用，其结果是油烟粒子被吸附到阳极上。因此静电除油烟的除油烟率非常高，而且特别适用于捕捉粒径较小和重量较轻的油烟粒子。</w:t>
            </w:r>
          </w:p>
          <w:p w14:paraId="392192C7">
            <w:pPr>
              <w:pStyle w:val="90"/>
              <w:rPr>
                <w:rFonts w:hint="eastAsia"/>
                <w:color w:val="auto"/>
                <w:lang w:val="en-US" w:eastAsia="zh-CN"/>
              </w:rPr>
            </w:pPr>
            <w:r>
              <w:rPr>
                <w:rFonts w:hint="eastAsia" w:ascii="Times New Roman" w:hAnsi="Times New Roman" w:eastAsia="宋体" w:cs="Times New Roman"/>
                <w:color w:val="auto"/>
                <w:sz w:val="24"/>
                <w:szCs w:val="24"/>
                <w:lang w:val="en-US" w:eastAsia="zh-CN"/>
              </w:rPr>
              <w:t>UV光解：</w:t>
            </w:r>
            <w:r>
              <w:rPr>
                <w:rFonts w:hint="default" w:ascii="Times New Roman" w:hAnsi="Times New Roman" w:eastAsia="宋体" w:cs="Times New Roman"/>
                <w:color w:val="auto"/>
                <w:sz w:val="24"/>
                <w:szCs w:val="24"/>
              </w:rPr>
              <w:t>UV光解废气处理设备利用特定波长的紫外线照射废气中的有害物质，使其化学结构发生改变，从而将其分解成无害或低害的物质。在这一过程中，紫外线的作用如同神奇的“光剑”，将有害物质一扫而光。</w:t>
            </w:r>
          </w:p>
          <w:p w14:paraId="494B605F">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rFonts w:hint="eastAsia" w:cs="Times New Roman"/>
                <w:b w:val="0"/>
                <w:bCs w:val="0"/>
                <w:color w:val="auto"/>
                <w:spacing w:val="4"/>
                <w:kern w:val="18"/>
                <w:sz w:val="24"/>
                <w:szCs w:val="24"/>
                <w:lang w:val="en-US" w:eastAsia="zh-CN" w:bidi="ar-SA"/>
              </w:rPr>
            </w:pPr>
            <w:r>
              <w:rPr>
                <w:rFonts w:hint="eastAsia" w:cs="Times New Roman"/>
                <w:b w:val="0"/>
                <w:bCs w:val="0"/>
                <w:color w:val="auto"/>
                <w:spacing w:val="4"/>
                <w:kern w:val="18"/>
                <w:sz w:val="24"/>
                <w:szCs w:val="24"/>
                <w:lang w:val="en-US" w:eastAsia="zh-CN" w:bidi="ar-SA"/>
              </w:rPr>
              <w:t>活性炭吸附装置：活性炭是一种多孔性的含炭物质，它具有高度发达的孔隙构造，活性炭的多孔结构为其提供了大量的表面积，能与气体（杂质）充分接触，从而赋予了活性炭所特有的吸附性能，使其非常容易达到吸收收集杂质的目的。就像磁力一样，所有的分子之间都具有相互引力。正因为如此，活性炭孔壁上的大量的分子可以产生强大的引力，从而达到将有害的杂质吸引到孔径中的目的。由于分子之间拥有相互吸引的作用力，当一个分子被活性炭内孔捕捉进入到活性炭孔隙中后，由于分子之间相互吸引的原因，会导致更多的分子不断被吸引，直到添满活性炭内孔隙为止，所以活性炭在使用过程中性能会逐渐衰减，需定期进行更换。</w:t>
            </w:r>
          </w:p>
          <w:p w14:paraId="67A6D790">
            <w:pPr>
              <w:pStyle w:val="68"/>
              <w:pageBreakBefore w:val="0"/>
              <w:kinsoku/>
              <w:wordWrap/>
              <w:bidi w:val="0"/>
              <w:adjustRightInd/>
              <w:snapToGrid/>
              <w:spacing w:beforeAutospacing="0" w:afterAutospacing="0" w:line="360" w:lineRule="auto"/>
              <w:ind w:left="0" w:leftChars="0" w:right="0" w:firstLine="482" w:firstLineChars="20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5、废气达标排放分析</w:t>
            </w:r>
          </w:p>
          <w:p w14:paraId="70898A6F">
            <w:pPr>
              <w:pStyle w:val="68"/>
              <w:pageBreakBefore w:val="0"/>
              <w:kinsoku/>
              <w:wordWrap/>
              <w:bidi w:val="0"/>
              <w:adjustRightInd/>
              <w:snapToGrid/>
              <w:spacing w:beforeAutospacing="0" w:afterAutospacing="0" w:line="360" w:lineRule="auto"/>
              <w:ind w:left="0" w:leftChars="0" w:right="0" w:firstLine="48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4"/>
                <w:szCs w:val="24"/>
                <w:lang w:val="en-US" w:eastAsia="zh-CN" w:bidi="ar-SA"/>
              </w:rPr>
              <w:t>由工程分析可知，项目</w:t>
            </w:r>
            <w:r>
              <w:rPr>
                <w:rFonts w:hint="eastAsia"/>
                <w:color w:val="auto"/>
                <w:lang w:val="en-US" w:eastAsia="zh-CN"/>
              </w:rPr>
              <w:t>熔融挤出造粒废气收集后经集气管道送至废气处理设施（水喷淋+高效静电+UV光解+活性炭吸附装置）进行处理后经15m高空排放（DA001）</w:t>
            </w:r>
            <w:r>
              <w:rPr>
                <w:rFonts w:hint="eastAsia" w:ascii="Times New Roman" w:hAnsi="Times New Roman" w:eastAsia="宋体" w:cs="Times New Roman"/>
                <w:color w:val="auto"/>
                <w:kern w:val="2"/>
                <w:sz w:val="24"/>
                <w:szCs w:val="24"/>
                <w:lang w:val="en-US" w:eastAsia="zh-CN" w:bidi="ar-SA"/>
              </w:rPr>
              <w:t>。废气排放情况达标情况详见下。</w:t>
            </w:r>
          </w:p>
          <w:p w14:paraId="1F1C77C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firstLine="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 xml:space="preserve">5 </w:t>
            </w:r>
            <w:r>
              <w:rPr>
                <w:rFonts w:hint="eastAsia" w:ascii="Times New Roman" w:hAnsi="Times New Roman" w:eastAsia="宋体" w:cs="Times New Roman"/>
                <w:b/>
                <w:bCs/>
                <w:color w:val="auto"/>
                <w:sz w:val="21"/>
                <w:szCs w:val="21"/>
                <w:highlight w:val="none"/>
                <w:lang w:val="en-US" w:eastAsia="zh-CN"/>
              </w:rPr>
              <w:t xml:space="preserve"> 挥发性有机废气达标排放情况</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0"/>
              <w:gridCol w:w="912"/>
              <w:gridCol w:w="1080"/>
              <w:gridCol w:w="1104"/>
              <w:gridCol w:w="1200"/>
              <w:gridCol w:w="1212"/>
              <w:gridCol w:w="1191"/>
              <w:gridCol w:w="666"/>
            </w:tblGrid>
            <w:tr w14:paraId="4506F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vMerge w:val="restart"/>
                  <w:tcBorders>
                    <w:tl2br w:val="nil"/>
                    <w:tr2bl w:val="nil"/>
                  </w:tcBorders>
                  <w:noWrap w:val="0"/>
                  <w:vAlign w:val="center"/>
                </w:tcPr>
                <w:p w14:paraId="5D492E67">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排放口编号</w:t>
                  </w:r>
                </w:p>
              </w:tc>
              <w:tc>
                <w:tcPr>
                  <w:tcW w:w="555" w:type="pct"/>
                  <w:vMerge w:val="restart"/>
                  <w:tcBorders>
                    <w:tl2br w:val="nil"/>
                    <w:tr2bl w:val="nil"/>
                  </w:tcBorders>
                  <w:noWrap w:val="0"/>
                  <w:vAlign w:val="center"/>
                </w:tcPr>
                <w:p w14:paraId="60D4616D">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排气筒名称</w:t>
                  </w:r>
                </w:p>
              </w:tc>
              <w:tc>
                <w:tcPr>
                  <w:tcW w:w="657" w:type="pct"/>
                  <w:vMerge w:val="restart"/>
                  <w:tcBorders>
                    <w:tl2br w:val="nil"/>
                    <w:tr2bl w:val="nil"/>
                  </w:tcBorders>
                  <w:noWrap w:val="0"/>
                  <w:vAlign w:val="center"/>
                </w:tcPr>
                <w:p w14:paraId="626B3A0B">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w:t>
                  </w:r>
                </w:p>
              </w:tc>
              <w:tc>
                <w:tcPr>
                  <w:tcW w:w="671" w:type="pct"/>
                  <w:vMerge w:val="restart"/>
                  <w:tcBorders>
                    <w:tl2br w:val="nil"/>
                    <w:tr2bl w:val="nil"/>
                  </w:tcBorders>
                  <w:noWrap w:val="0"/>
                  <w:vAlign w:val="center"/>
                </w:tcPr>
                <w:p w14:paraId="1D542CE8">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排放浓度(mg/m</w:t>
                  </w:r>
                  <w:r>
                    <w:rPr>
                      <w:rFonts w:hint="default" w:ascii="Times New Roman" w:hAnsi="Times New Roman" w:cs="Times New Roman"/>
                      <w:b/>
                      <w:bCs/>
                      <w:color w:val="auto"/>
                      <w:kern w:val="0"/>
                      <w:sz w:val="21"/>
                      <w:szCs w:val="21"/>
                      <w:vertAlign w:val="superscript"/>
                    </w:rPr>
                    <w:t>3</w:t>
                  </w:r>
                  <w:r>
                    <w:rPr>
                      <w:rFonts w:hint="default" w:ascii="Times New Roman" w:hAnsi="Times New Roman" w:cs="Times New Roman"/>
                      <w:b/>
                      <w:bCs/>
                      <w:color w:val="auto"/>
                      <w:kern w:val="0"/>
                      <w:sz w:val="21"/>
                      <w:szCs w:val="21"/>
                    </w:rPr>
                    <w:t>)</w:t>
                  </w:r>
                </w:p>
              </w:tc>
              <w:tc>
                <w:tcPr>
                  <w:tcW w:w="730" w:type="pct"/>
                  <w:vMerge w:val="restart"/>
                  <w:tcBorders>
                    <w:tl2br w:val="nil"/>
                    <w:tr2bl w:val="nil"/>
                  </w:tcBorders>
                  <w:noWrap w:val="0"/>
                  <w:vAlign w:val="center"/>
                </w:tcPr>
                <w:p w14:paraId="3E716DC1">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排放速率（kg/h）</w:t>
                  </w:r>
                </w:p>
              </w:tc>
              <w:tc>
                <w:tcPr>
                  <w:tcW w:w="1462" w:type="pct"/>
                  <w:gridSpan w:val="2"/>
                  <w:tcBorders>
                    <w:tl2br w:val="nil"/>
                    <w:tr2bl w:val="nil"/>
                  </w:tcBorders>
                  <w:noWrap w:val="0"/>
                  <w:vAlign w:val="center"/>
                </w:tcPr>
                <w:p w14:paraId="619FC81A">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default" w:ascii="Times New Roman" w:hAnsi="Times New Roman" w:cs="Times New Roman"/>
                      <w:b/>
                      <w:bCs/>
                      <w:color w:val="auto"/>
                      <w:kern w:val="0"/>
                      <w:sz w:val="21"/>
                      <w:szCs w:val="21"/>
                      <w:highlight w:val="none"/>
                      <w:shd w:val="clear" w:color="auto" w:fill="auto"/>
                    </w:rPr>
                  </w:pPr>
                  <w:r>
                    <w:rPr>
                      <w:rFonts w:hint="default" w:ascii="Times New Roman" w:hAnsi="Times New Roman" w:cs="Times New Roman"/>
                      <w:b/>
                      <w:bCs/>
                      <w:color w:val="auto"/>
                      <w:kern w:val="0"/>
                      <w:sz w:val="21"/>
                      <w:szCs w:val="21"/>
                      <w:highlight w:val="none"/>
                      <w:shd w:val="clear" w:color="auto" w:fill="auto"/>
                    </w:rPr>
                    <w:t>标准值</w:t>
                  </w:r>
                </w:p>
              </w:tc>
              <w:tc>
                <w:tcPr>
                  <w:tcW w:w="405" w:type="pct"/>
                  <w:vMerge w:val="restart"/>
                  <w:tcBorders>
                    <w:tl2br w:val="nil"/>
                    <w:tr2bl w:val="nil"/>
                  </w:tcBorders>
                  <w:noWrap w:val="0"/>
                  <w:vAlign w:val="center"/>
                </w:tcPr>
                <w:p w14:paraId="0F128405">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达标情况</w:t>
                  </w:r>
                </w:p>
              </w:tc>
            </w:tr>
            <w:tr w14:paraId="24E68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vMerge w:val="continue"/>
                  <w:tcBorders>
                    <w:tl2br w:val="nil"/>
                    <w:tr2bl w:val="nil"/>
                  </w:tcBorders>
                  <w:noWrap w:val="0"/>
                  <w:vAlign w:val="center"/>
                </w:tcPr>
                <w:p w14:paraId="162D0C31">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color w:val="auto"/>
                      <w:sz w:val="21"/>
                      <w:szCs w:val="21"/>
                    </w:rPr>
                  </w:pPr>
                </w:p>
              </w:tc>
              <w:tc>
                <w:tcPr>
                  <w:tcW w:w="555" w:type="pct"/>
                  <w:vMerge w:val="continue"/>
                  <w:tcBorders>
                    <w:tl2br w:val="nil"/>
                    <w:tr2bl w:val="nil"/>
                  </w:tcBorders>
                  <w:noWrap w:val="0"/>
                  <w:vAlign w:val="center"/>
                </w:tcPr>
                <w:p w14:paraId="509E1AA0">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color w:val="auto"/>
                      <w:sz w:val="21"/>
                      <w:szCs w:val="21"/>
                    </w:rPr>
                  </w:pPr>
                </w:p>
              </w:tc>
              <w:tc>
                <w:tcPr>
                  <w:tcW w:w="657" w:type="pct"/>
                  <w:vMerge w:val="continue"/>
                  <w:tcBorders>
                    <w:tl2br w:val="nil"/>
                    <w:tr2bl w:val="nil"/>
                  </w:tcBorders>
                  <w:noWrap w:val="0"/>
                  <w:vAlign w:val="center"/>
                </w:tcPr>
                <w:p w14:paraId="3706CD3D">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color w:val="auto"/>
                      <w:sz w:val="21"/>
                      <w:szCs w:val="21"/>
                    </w:rPr>
                  </w:pPr>
                </w:p>
              </w:tc>
              <w:tc>
                <w:tcPr>
                  <w:tcW w:w="671" w:type="pct"/>
                  <w:vMerge w:val="continue"/>
                  <w:tcBorders>
                    <w:tl2br w:val="nil"/>
                    <w:tr2bl w:val="nil"/>
                  </w:tcBorders>
                  <w:noWrap w:val="0"/>
                  <w:vAlign w:val="center"/>
                </w:tcPr>
                <w:p w14:paraId="7CBC6A7D">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color w:val="auto"/>
                      <w:sz w:val="21"/>
                      <w:szCs w:val="21"/>
                    </w:rPr>
                  </w:pPr>
                </w:p>
              </w:tc>
              <w:tc>
                <w:tcPr>
                  <w:tcW w:w="730" w:type="pct"/>
                  <w:vMerge w:val="continue"/>
                  <w:tcBorders>
                    <w:tl2br w:val="nil"/>
                    <w:tr2bl w:val="nil"/>
                  </w:tcBorders>
                  <w:noWrap w:val="0"/>
                  <w:vAlign w:val="center"/>
                </w:tcPr>
                <w:p w14:paraId="0D9AD82B">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color w:val="auto"/>
                      <w:sz w:val="21"/>
                      <w:szCs w:val="21"/>
                    </w:rPr>
                  </w:pPr>
                </w:p>
              </w:tc>
              <w:tc>
                <w:tcPr>
                  <w:tcW w:w="737" w:type="pct"/>
                  <w:tcBorders>
                    <w:tl2br w:val="nil"/>
                    <w:tr2bl w:val="nil"/>
                  </w:tcBorders>
                  <w:noWrap w:val="0"/>
                  <w:vAlign w:val="center"/>
                </w:tcPr>
                <w:p w14:paraId="5E70BA22">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default" w:ascii="Times New Roman" w:hAnsi="Times New Roman" w:cs="Times New Roman"/>
                      <w:b/>
                      <w:bCs/>
                      <w:color w:val="auto"/>
                      <w:kern w:val="0"/>
                      <w:sz w:val="21"/>
                      <w:szCs w:val="21"/>
                      <w:highlight w:val="none"/>
                      <w:shd w:val="clear" w:color="auto" w:fill="auto"/>
                      <w:lang w:val="en-US" w:eastAsia="zh-CN" w:bidi="ar-SA"/>
                    </w:rPr>
                  </w:pPr>
                  <w:r>
                    <w:rPr>
                      <w:rFonts w:hint="default" w:ascii="Times New Roman" w:hAnsi="Times New Roman" w:cs="Times New Roman"/>
                      <w:b/>
                      <w:bCs/>
                      <w:color w:val="auto"/>
                      <w:kern w:val="0"/>
                      <w:sz w:val="21"/>
                      <w:szCs w:val="21"/>
                      <w:highlight w:val="none"/>
                      <w:shd w:val="clear" w:color="auto" w:fill="auto"/>
                    </w:rPr>
                    <w:t>排放浓度(mg/m</w:t>
                  </w:r>
                  <w:r>
                    <w:rPr>
                      <w:rFonts w:hint="default" w:ascii="Times New Roman" w:hAnsi="Times New Roman" w:cs="Times New Roman"/>
                      <w:b/>
                      <w:bCs/>
                      <w:color w:val="auto"/>
                      <w:kern w:val="0"/>
                      <w:sz w:val="21"/>
                      <w:szCs w:val="21"/>
                      <w:highlight w:val="none"/>
                      <w:shd w:val="clear" w:color="auto" w:fill="auto"/>
                      <w:vertAlign w:val="superscript"/>
                    </w:rPr>
                    <w:t>3</w:t>
                  </w:r>
                  <w:r>
                    <w:rPr>
                      <w:rFonts w:hint="default" w:ascii="Times New Roman" w:hAnsi="Times New Roman" w:cs="Times New Roman"/>
                      <w:b/>
                      <w:bCs/>
                      <w:color w:val="auto"/>
                      <w:kern w:val="0"/>
                      <w:sz w:val="21"/>
                      <w:szCs w:val="21"/>
                      <w:highlight w:val="none"/>
                      <w:shd w:val="clear" w:color="auto" w:fill="auto"/>
                    </w:rPr>
                    <w:t>)</w:t>
                  </w:r>
                </w:p>
              </w:tc>
              <w:tc>
                <w:tcPr>
                  <w:tcW w:w="724" w:type="pct"/>
                  <w:tcBorders>
                    <w:tl2br w:val="nil"/>
                    <w:tr2bl w:val="nil"/>
                  </w:tcBorders>
                  <w:noWrap w:val="0"/>
                  <w:vAlign w:val="center"/>
                </w:tcPr>
                <w:p w14:paraId="3B5BFC43">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eastAsia" w:ascii="Times New Roman" w:hAnsi="Times New Roman" w:eastAsia="宋体" w:cs="Times New Roman"/>
                      <w:b/>
                      <w:bCs/>
                      <w:color w:val="auto"/>
                      <w:kern w:val="0"/>
                      <w:sz w:val="21"/>
                      <w:szCs w:val="21"/>
                      <w:highlight w:val="none"/>
                      <w:shd w:val="clear" w:color="auto" w:fill="auto"/>
                      <w:lang w:val="en-US" w:eastAsia="zh-CN"/>
                    </w:rPr>
                  </w:pPr>
                  <w:r>
                    <w:rPr>
                      <w:rFonts w:hint="eastAsia" w:ascii="Times New Roman" w:hAnsi="Times New Roman" w:cs="Times New Roman"/>
                      <w:b/>
                      <w:bCs/>
                      <w:color w:val="auto"/>
                      <w:kern w:val="0"/>
                      <w:sz w:val="21"/>
                      <w:szCs w:val="21"/>
                      <w:highlight w:val="none"/>
                      <w:shd w:val="clear" w:color="auto" w:fill="auto"/>
                      <w:lang w:val="en-US" w:eastAsia="zh-CN"/>
                    </w:rPr>
                    <w:t>排放速率（kg/h）</w:t>
                  </w:r>
                </w:p>
              </w:tc>
              <w:tc>
                <w:tcPr>
                  <w:tcW w:w="405" w:type="pct"/>
                  <w:vMerge w:val="continue"/>
                  <w:tcBorders>
                    <w:tl2br w:val="nil"/>
                    <w:tr2bl w:val="nil"/>
                  </w:tcBorders>
                  <w:noWrap w:val="0"/>
                  <w:vAlign w:val="center"/>
                </w:tcPr>
                <w:p w14:paraId="2851C4E9">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firstLine="0"/>
                    <w:jc w:val="center"/>
                    <w:rPr>
                      <w:rFonts w:hint="default" w:ascii="Times New Roman" w:hAnsi="Times New Roman" w:cs="Times New Roman"/>
                      <w:b/>
                      <w:bCs/>
                      <w:color w:val="auto"/>
                      <w:kern w:val="0"/>
                      <w:sz w:val="21"/>
                      <w:szCs w:val="21"/>
                    </w:rPr>
                  </w:pPr>
                </w:p>
              </w:tc>
            </w:tr>
            <w:tr w14:paraId="71FBF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7" w:type="pct"/>
                  <w:tcBorders>
                    <w:tl2br w:val="nil"/>
                    <w:tr2bl w:val="nil"/>
                  </w:tcBorders>
                  <w:noWrap w:val="0"/>
                  <w:vAlign w:val="center"/>
                </w:tcPr>
                <w:p w14:paraId="3C7C7ADF">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DA00</w:t>
                  </w:r>
                  <w:r>
                    <w:rPr>
                      <w:rFonts w:hint="eastAsia" w:cs="Times New Roman"/>
                      <w:color w:val="auto"/>
                      <w:kern w:val="2"/>
                      <w:sz w:val="21"/>
                      <w:szCs w:val="21"/>
                      <w:lang w:val="en-US" w:eastAsia="zh-CN"/>
                    </w:rPr>
                    <w:t>1</w:t>
                  </w:r>
                </w:p>
              </w:tc>
              <w:tc>
                <w:tcPr>
                  <w:tcW w:w="555" w:type="pct"/>
                  <w:tcBorders>
                    <w:tl2br w:val="nil"/>
                    <w:tr2bl w:val="nil"/>
                  </w:tcBorders>
                  <w:noWrap w:val="0"/>
                  <w:vAlign w:val="center"/>
                </w:tcPr>
                <w:p w14:paraId="24F92AD8">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排气筒</w:t>
                  </w:r>
                  <w:r>
                    <w:rPr>
                      <w:rFonts w:hint="eastAsia" w:cs="Times New Roman"/>
                      <w:color w:val="auto"/>
                      <w:kern w:val="2"/>
                      <w:sz w:val="21"/>
                      <w:szCs w:val="21"/>
                      <w:lang w:val="en-US" w:eastAsia="zh-CN"/>
                    </w:rPr>
                    <w:t>1</w:t>
                  </w:r>
                  <w:r>
                    <w:rPr>
                      <w:rFonts w:hint="default" w:ascii="Times New Roman" w:hAnsi="Times New Roman" w:eastAsia="宋体" w:cs="Times New Roman"/>
                      <w:color w:val="auto"/>
                      <w:kern w:val="2"/>
                      <w:sz w:val="21"/>
                      <w:szCs w:val="21"/>
                    </w:rPr>
                    <w:t>#</w:t>
                  </w:r>
                </w:p>
              </w:tc>
              <w:tc>
                <w:tcPr>
                  <w:tcW w:w="657" w:type="pct"/>
                  <w:tcBorders>
                    <w:tl2br w:val="nil"/>
                    <w:tr2bl w:val="nil"/>
                  </w:tcBorders>
                  <w:noWrap w:val="0"/>
                  <w:vAlign w:val="center"/>
                </w:tcPr>
                <w:p w14:paraId="4C79BB7A">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rPr>
                      <w:rFonts w:hint="eastAsia" w:cs="Times New Roman"/>
                      <w:color w:val="auto"/>
                      <w:kern w:val="2"/>
                      <w:sz w:val="21"/>
                      <w:szCs w:val="21"/>
                      <w:lang w:val="en-US" w:eastAsia="zh-CN"/>
                    </w:rPr>
                  </w:pPr>
                  <w:r>
                    <w:rPr>
                      <w:rFonts w:hint="eastAsia"/>
                      <w:color w:val="auto"/>
                      <w:sz w:val="21"/>
                      <w:szCs w:val="21"/>
                    </w:rPr>
                    <w:t>VOCs</w:t>
                  </w:r>
                </w:p>
              </w:tc>
              <w:tc>
                <w:tcPr>
                  <w:tcW w:w="1104" w:type="dxa"/>
                  <w:tcBorders>
                    <w:tl2br w:val="nil"/>
                    <w:tr2bl w:val="nil"/>
                  </w:tcBorders>
                  <w:noWrap w:val="0"/>
                  <w:vAlign w:val="center"/>
                </w:tcPr>
                <w:p w14:paraId="0E87191D">
                  <w:pPr>
                    <w:pStyle w:val="66"/>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s="Times New Roman"/>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6.531</w:t>
                  </w:r>
                </w:p>
              </w:tc>
              <w:tc>
                <w:tcPr>
                  <w:tcW w:w="1200" w:type="dxa"/>
                  <w:tcBorders>
                    <w:tl2br w:val="nil"/>
                    <w:tr2bl w:val="nil"/>
                  </w:tcBorders>
                  <w:noWrap w:val="0"/>
                  <w:vAlign w:val="center"/>
                </w:tcPr>
                <w:p w14:paraId="59F3BEED">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cs="Times New Roman"/>
                      <w:color w:val="auto"/>
                      <w:kern w:val="0"/>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0.131</w:t>
                  </w:r>
                </w:p>
              </w:tc>
              <w:tc>
                <w:tcPr>
                  <w:tcW w:w="1212" w:type="dxa"/>
                  <w:tcBorders>
                    <w:tl2br w:val="nil"/>
                    <w:tr2bl w:val="nil"/>
                  </w:tcBorders>
                  <w:noWrap w:val="0"/>
                  <w:vAlign w:val="center"/>
                </w:tcPr>
                <w:p w14:paraId="05E92441">
                  <w:pPr>
                    <w:pStyle w:val="1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cs="Times New Roman"/>
                      <w:color w:val="auto"/>
                      <w:kern w:val="2"/>
                      <w:sz w:val="21"/>
                      <w:szCs w:val="21"/>
                      <w:lang w:val="en-US" w:eastAsia="zh-CN"/>
                    </w:rPr>
                  </w:pPr>
                  <w:r>
                    <w:rPr>
                      <w:rFonts w:hint="eastAsia" w:cs="Times New Roman"/>
                      <w:color w:val="auto"/>
                      <w:kern w:val="2"/>
                      <w:sz w:val="21"/>
                      <w:szCs w:val="21"/>
                      <w:lang w:val="en-US" w:eastAsia="zh-CN"/>
                    </w:rPr>
                    <w:t>40</w:t>
                  </w:r>
                </w:p>
              </w:tc>
              <w:tc>
                <w:tcPr>
                  <w:tcW w:w="724" w:type="pct"/>
                  <w:tcBorders>
                    <w:tl2br w:val="nil"/>
                    <w:tr2bl w:val="nil"/>
                  </w:tcBorders>
                  <w:noWrap w:val="0"/>
                  <w:vAlign w:val="center"/>
                </w:tcPr>
                <w:p w14:paraId="66B46714">
                  <w:pPr>
                    <w:pStyle w:val="67"/>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rPr>
                      <w:rFonts w:hint="default" w:cs="Times New Roman"/>
                      <w:color w:val="auto"/>
                      <w:kern w:val="2"/>
                      <w:sz w:val="21"/>
                      <w:szCs w:val="21"/>
                      <w:lang w:val="en-US" w:eastAsia="zh-CN"/>
                    </w:rPr>
                  </w:pPr>
                  <w:r>
                    <w:rPr>
                      <w:rFonts w:hint="eastAsia" w:cs="Times New Roman"/>
                      <w:color w:val="auto"/>
                      <w:kern w:val="2"/>
                      <w:sz w:val="21"/>
                      <w:szCs w:val="21"/>
                      <w:lang w:val="en-US" w:eastAsia="zh-CN"/>
                    </w:rPr>
                    <w:t>/</w:t>
                  </w:r>
                </w:p>
              </w:tc>
              <w:tc>
                <w:tcPr>
                  <w:tcW w:w="405" w:type="pct"/>
                  <w:tcBorders>
                    <w:tl2br w:val="nil"/>
                    <w:tr2bl w:val="nil"/>
                  </w:tcBorders>
                  <w:noWrap w:val="0"/>
                  <w:vAlign w:val="center"/>
                </w:tcPr>
                <w:p w14:paraId="3A5AFCE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firstLine="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达标</w:t>
                  </w:r>
                </w:p>
              </w:tc>
            </w:tr>
          </w:tbl>
          <w:p w14:paraId="02B17F56">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200"/>
              <w:textAlignment w:val="auto"/>
              <w:rPr>
                <w:rFonts w:hint="eastAsia" w:ascii="Times New Roman" w:hAnsi="Times New Roman" w:eastAsia="宋体" w:cs="Times New Roman"/>
                <w:b/>
                <w:bCs/>
                <w:snapToGrid w:val="0"/>
                <w:color w:val="auto"/>
                <w:spacing w:val="4"/>
                <w:kern w:val="2"/>
                <w:sz w:val="24"/>
                <w:szCs w:val="22"/>
                <w:lang w:val="en-US" w:eastAsia="zh-CN" w:bidi="ar-SA"/>
              </w:rPr>
            </w:pPr>
            <w:r>
              <w:rPr>
                <w:rFonts w:hint="eastAsia" w:ascii="Times New Roman" w:cs="Times New Roman"/>
                <w:b/>
                <w:bCs/>
                <w:snapToGrid w:val="0"/>
                <w:color w:val="auto"/>
                <w:spacing w:val="4"/>
                <w:kern w:val="2"/>
                <w:sz w:val="24"/>
                <w:szCs w:val="22"/>
                <w:lang w:val="en-US" w:eastAsia="zh-CN" w:bidi="ar-SA"/>
              </w:rPr>
              <w:t>6</w:t>
            </w:r>
            <w:r>
              <w:rPr>
                <w:rFonts w:hint="eastAsia" w:ascii="Times New Roman" w:hAnsi="Times New Roman" w:cs="Times New Roman"/>
                <w:b/>
                <w:bCs/>
                <w:snapToGrid w:val="0"/>
                <w:color w:val="auto"/>
                <w:spacing w:val="4"/>
                <w:kern w:val="2"/>
                <w:sz w:val="24"/>
                <w:szCs w:val="22"/>
                <w:lang w:val="en-US" w:eastAsia="zh-CN" w:bidi="ar-SA"/>
              </w:rPr>
              <w:t>、</w:t>
            </w:r>
            <w:r>
              <w:rPr>
                <w:rFonts w:hint="eastAsia" w:ascii="Times New Roman" w:hAnsi="Times New Roman" w:eastAsia="宋体" w:cs="Times New Roman"/>
                <w:b/>
                <w:bCs/>
                <w:snapToGrid w:val="0"/>
                <w:color w:val="auto"/>
                <w:spacing w:val="4"/>
                <w:kern w:val="2"/>
                <w:sz w:val="24"/>
                <w:szCs w:val="22"/>
                <w:lang w:val="en-US" w:eastAsia="zh-CN" w:bidi="ar-SA"/>
              </w:rPr>
              <w:t>卫生防护距离</w:t>
            </w:r>
          </w:p>
          <w:p w14:paraId="1B463342">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根据工程无组织排放情况，依据《大气有害物质无组织排放卫生防护距离推导技术导则》（GB/T 39499-2020）的规定，计算公式如下：</w:t>
            </w:r>
          </w:p>
          <w:p w14:paraId="093D9C5D">
            <w:pPr>
              <w:keepNext w:val="0"/>
              <w:keepLines w:val="0"/>
              <w:pageBreakBefore w:val="0"/>
              <w:widowControl w:val="0"/>
              <w:kinsoku/>
              <w:wordWrap/>
              <w:overflowPunct/>
              <w:topLinePunct w:val="0"/>
              <w:autoSpaceDE/>
              <w:autoSpaceDN/>
              <w:bidi w:val="0"/>
              <w:spacing w:line="480" w:lineRule="auto"/>
              <w:ind w:left="0" w:leftChars="0" w:right="0" w:rightChars="0" w:firstLine="480" w:firstLineChars="20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drawing>
                <wp:inline distT="0" distB="0" distL="114300" distR="114300">
                  <wp:extent cx="278130" cy="387985"/>
                  <wp:effectExtent l="0" t="0" r="0" b="1270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4"/>
                          <a:stretch>
                            <a:fillRect/>
                          </a:stretch>
                        </pic:blipFill>
                        <pic:spPr>
                          <a:xfrm>
                            <a:off x="0" y="0"/>
                            <a:ext cx="278130" cy="387985"/>
                          </a:xfrm>
                          <a:prstGeom prst="rect">
                            <a:avLst/>
                          </a:prstGeom>
                          <a:noFill/>
                          <a:ln>
                            <a:noFill/>
                          </a:ln>
                        </pic:spPr>
                      </pic:pic>
                    </a:graphicData>
                  </a:graphic>
                </wp:inline>
              </w:drawing>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drawing>
                <wp:inline distT="0" distB="0" distL="114300" distR="114300">
                  <wp:extent cx="1382395" cy="387985"/>
                  <wp:effectExtent l="0" t="0" r="0" b="1270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15"/>
                          <a:stretch>
                            <a:fillRect/>
                          </a:stretch>
                        </pic:blipFill>
                        <pic:spPr>
                          <a:xfrm>
                            <a:off x="0" y="0"/>
                            <a:ext cx="1382395" cy="387985"/>
                          </a:xfrm>
                          <a:prstGeom prst="rect">
                            <a:avLst/>
                          </a:prstGeom>
                          <a:noFill/>
                          <a:ln>
                            <a:noFill/>
                          </a:ln>
                        </pic:spPr>
                      </pic:pic>
                    </a:graphicData>
                  </a:graphic>
                </wp:inline>
              </w:drawing>
            </w:r>
          </w:p>
          <w:p w14:paraId="3A65464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式中：Cm—标准浓度限值</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eastAsia" w:ascii="宋体" w:hAnsi="宋体" w:eastAsia="宋体" w:cs="宋体"/>
                <w:color w:val="auto"/>
                <w:sz w:val="24"/>
                <w:szCs w:val="24"/>
                <w:lang w:val="en-US" w:eastAsia="zh-CN"/>
              </w:rPr>
              <w:t>；</w:t>
            </w:r>
          </w:p>
          <w:p w14:paraId="7E7E6E8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L—工业企业所需卫生防护距离（m）；</w:t>
            </w:r>
          </w:p>
          <w:p w14:paraId="2FC9B62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Qc—</w:t>
            </w:r>
            <w:r>
              <w:rPr>
                <w:rFonts w:hint="eastAsia" w:ascii="宋体" w:hAnsi="宋体" w:eastAsia="宋体" w:cs="宋体"/>
                <w:color w:val="auto"/>
                <w:sz w:val="24"/>
                <w:szCs w:val="24"/>
              </w:rPr>
              <w:t>有害气体无组织排放量可以达到的控制水平</w:t>
            </w:r>
            <w:r>
              <w:rPr>
                <w:rFonts w:hint="eastAsia" w:ascii="宋体" w:hAnsi="宋体" w:eastAsia="宋体" w:cs="宋体"/>
                <w:color w:val="auto"/>
                <w:sz w:val="24"/>
                <w:szCs w:val="24"/>
                <w:lang w:val="en-US" w:eastAsia="zh-CN"/>
              </w:rPr>
              <w:t>（kg/h）；</w:t>
            </w:r>
          </w:p>
          <w:p w14:paraId="54EEA4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r—</w:t>
            </w:r>
            <w:r>
              <w:rPr>
                <w:rFonts w:hint="eastAsia" w:ascii="宋体" w:hAnsi="宋体" w:eastAsia="宋体" w:cs="宋体"/>
                <w:color w:val="auto"/>
                <w:sz w:val="24"/>
                <w:szCs w:val="24"/>
              </w:rPr>
              <w:t>有害气体无组织排放源所在生产单元的等效半径（m）</w:t>
            </w:r>
            <w:r>
              <w:rPr>
                <w:rFonts w:hint="eastAsia" w:ascii="宋体" w:hAnsi="宋体" w:eastAsia="宋体" w:cs="宋体"/>
                <w:color w:val="auto"/>
                <w:sz w:val="24"/>
                <w:szCs w:val="24"/>
                <w:lang w:val="en-US" w:eastAsia="zh-CN"/>
              </w:rPr>
              <w:t>；</w:t>
            </w:r>
          </w:p>
          <w:p w14:paraId="461C45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A、B、C、D——卫生防护距离计算系数，无因次，根据工业企业所在地近5年平均风速及大气污染源构成类别，A、B、C、D 值的选取见下表。</w:t>
            </w:r>
          </w:p>
          <w:p w14:paraId="751A8147">
            <w:pPr>
              <w:spacing w:beforeLines="0" w:afterLines="0"/>
              <w:jc w:val="center"/>
              <w:rPr>
                <w:rFonts w:hint="eastAsia" w:ascii="宋体" w:eastAsia="宋体"/>
                <w:b/>
                <w:bCs/>
                <w:color w:val="auto"/>
                <w:sz w:val="21"/>
                <w:szCs w:val="21"/>
                <w:lang w:val="en-US" w:eastAsia="zh-CN"/>
              </w:rPr>
            </w:pPr>
            <w:r>
              <w:rPr>
                <w:rFonts w:hint="eastAsia" w:ascii="宋体" w:eastAsia="宋体"/>
                <w:b/>
                <w:bCs/>
                <w:color w:val="auto"/>
                <w:sz w:val="21"/>
                <w:szCs w:val="21"/>
                <w:lang w:eastAsia="zh-CN"/>
              </w:rPr>
              <w:t>表</w:t>
            </w:r>
            <w:r>
              <w:rPr>
                <w:rFonts w:hint="eastAsia" w:ascii="宋体" w:eastAsia="宋体"/>
                <w:b/>
                <w:bCs/>
                <w:color w:val="auto"/>
                <w:sz w:val="21"/>
                <w:szCs w:val="21"/>
                <w:lang w:val="en-US" w:eastAsia="zh-CN"/>
              </w:rPr>
              <w:t>4-6  卫生防护距离计算系数表</w:t>
            </w:r>
          </w:p>
          <w:tbl>
            <w:tblPr>
              <w:tblStyle w:val="22"/>
              <w:tblW w:w="821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547"/>
              <w:gridCol w:w="840"/>
              <w:gridCol w:w="675"/>
              <w:gridCol w:w="675"/>
              <w:gridCol w:w="675"/>
              <w:gridCol w:w="660"/>
              <w:gridCol w:w="570"/>
              <w:gridCol w:w="600"/>
              <w:gridCol w:w="540"/>
              <w:gridCol w:w="689"/>
            </w:tblGrid>
            <w:tr w14:paraId="05FB4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vMerge w:val="restart"/>
                  <w:tcBorders>
                    <w:tl2br w:val="nil"/>
                    <w:tr2bl w:val="nil"/>
                  </w:tcBorders>
                  <w:noWrap w:val="0"/>
                  <w:vAlign w:val="center"/>
                </w:tcPr>
                <w:p w14:paraId="4158E55B">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计算系数</w:t>
                  </w:r>
                </w:p>
              </w:tc>
              <w:tc>
                <w:tcPr>
                  <w:tcW w:w="1547" w:type="dxa"/>
                  <w:vMerge w:val="restart"/>
                  <w:tcBorders>
                    <w:tl2br w:val="nil"/>
                    <w:tr2bl w:val="nil"/>
                  </w:tcBorders>
                  <w:noWrap w:val="0"/>
                  <w:vAlign w:val="center"/>
                </w:tcPr>
                <w:p w14:paraId="01BE4FC8">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eastAsia="zh-CN"/>
                    </w:rPr>
                    <w:t>工业企业所在地区近</w:t>
                  </w:r>
                  <w:r>
                    <w:rPr>
                      <w:rFonts w:hint="eastAsia" w:ascii="宋体" w:hAnsi="宋体" w:eastAsia="宋体" w:cs="宋体"/>
                      <w:color w:val="auto"/>
                      <w:sz w:val="21"/>
                      <w:szCs w:val="21"/>
                      <w:vertAlign w:val="baseline"/>
                      <w:lang w:val="en-US" w:eastAsia="zh-CN"/>
                    </w:rPr>
                    <w:t>5年平均风速</w:t>
                  </w:r>
                </w:p>
              </w:tc>
              <w:tc>
                <w:tcPr>
                  <w:tcW w:w="5924" w:type="dxa"/>
                  <w:gridSpan w:val="9"/>
                  <w:tcBorders>
                    <w:tl2br w:val="nil"/>
                    <w:tr2bl w:val="nil"/>
                  </w:tcBorders>
                  <w:noWrap w:val="0"/>
                  <w:vAlign w:val="center"/>
                </w:tcPr>
                <w:p w14:paraId="6EC27322">
                  <w:pPr>
                    <w:pStyle w:val="2"/>
                    <w:keepNext w:val="0"/>
                    <w:keepLines w:val="0"/>
                    <w:pageBreakBefore w:val="0"/>
                    <w:widowControl w:val="0"/>
                    <w:kinsoku/>
                    <w:wordWrap/>
                    <w:overflowPunct/>
                    <w:topLinePunct w:val="0"/>
                    <w:bidi w:val="0"/>
                    <w:adjustRightInd/>
                    <w:snapToGrid/>
                    <w:jc w:val="center"/>
                    <w:textAlignment w:val="auto"/>
                    <w:rPr>
                      <w:rFonts w:hint="default" w:ascii="宋体" w:hAnsi="宋体" w:eastAsia="宋体" w:cs="宋体"/>
                      <w:color w:val="auto"/>
                      <w:sz w:val="21"/>
                      <w:szCs w:val="21"/>
                      <w:vertAlign w:val="baseline"/>
                      <w:lang w:val="en-US"/>
                    </w:rPr>
                  </w:pPr>
                  <w:r>
                    <w:rPr>
                      <w:rFonts w:hint="eastAsia" w:ascii="宋体" w:hAnsi="宋体" w:eastAsia="宋体" w:cs="宋体"/>
                      <w:color w:val="auto"/>
                      <w:sz w:val="21"/>
                      <w:szCs w:val="21"/>
                      <w:vertAlign w:val="baseline"/>
                      <w:lang w:eastAsia="zh-CN"/>
                    </w:rPr>
                    <w:t>卫生防护距离</w:t>
                  </w:r>
                  <w:r>
                    <w:rPr>
                      <w:rFonts w:hint="eastAsia" w:hAnsi="宋体" w:cs="宋体"/>
                      <w:color w:val="auto"/>
                      <w:sz w:val="21"/>
                      <w:szCs w:val="21"/>
                      <w:vertAlign w:val="baseline"/>
                      <w:lang w:val="en-US" w:eastAsia="zh-CN"/>
                    </w:rPr>
                    <w:t>L，m</w:t>
                  </w:r>
                </w:p>
              </w:tc>
            </w:tr>
            <w:tr w14:paraId="412E2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vMerge w:val="continue"/>
                  <w:tcBorders>
                    <w:tl2br w:val="nil"/>
                    <w:tr2bl w:val="nil"/>
                  </w:tcBorders>
                  <w:noWrap w:val="0"/>
                  <w:vAlign w:val="center"/>
                </w:tcPr>
                <w:p w14:paraId="09F62880">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p>
              </w:tc>
              <w:tc>
                <w:tcPr>
                  <w:tcW w:w="1547" w:type="dxa"/>
                  <w:vMerge w:val="continue"/>
                  <w:tcBorders>
                    <w:tl2br w:val="nil"/>
                    <w:tr2bl w:val="nil"/>
                  </w:tcBorders>
                  <w:noWrap w:val="0"/>
                  <w:vAlign w:val="center"/>
                </w:tcPr>
                <w:p w14:paraId="4A711593">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p>
              </w:tc>
              <w:tc>
                <w:tcPr>
                  <w:tcW w:w="2190" w:type="dxa"/>
                  <w:gridSpan w:val="3"/>
                  <w:tcBorders>
                    <w:tl2br w:val="nil"/>
                    <w:tr2bl w:val="nil"/>
                  </w:tcBorders>
                  <w:noWrap w:val="0"/>
                  <w:vAlign w:val="center"/>
                </w:tcPr>
                <w:p w14:paraId="6F15390E">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L≤1000m</w:t>
                  </w:r>
                </w:p>
              </w:tc>
              <w:tc>
                <w:tcPr>
                  <w:tcW w:w="1905" w:type="dxa"/>
                  <w:gridSpan w:val="3"/>
                  <w:tcBorders>
                    <w:tl2br w:val="nil"/>
                    <w:tr2bl w:val="nil"/>
                  </w:tcBorders>
                  <w:noWrap w:val="0"/>
                  <w:vAlign w:val="center"/>
                </w:tcPr>
                <w:p w14:paraId="5BBABA6D">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1000m≤L≤2000m</w:t>
                  </w:r>
                </w:p>
              </w:tc>
              <w:tc>
                <w:tcPr>
                  <w:tcW w:w="1829" w:type="dxa"/>
                  <w:gridSpan w:val="3"/>
                  <w:tcBorders>
                    <w:tl2br w:val="nil"/>
                    <w:tr2bl w:val="nil"/>
                  </w:tcBorders>
                  <w:noWrap w:val="0"/>
                  <w:vAlign w:val="center"/>
                </w:tcPr>
                <w:p w14:paraId="02913846">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2000m≤L</w:t>
                  </w:r>
                </w:p>
              </w:tc>
            </w:tr>
            <w:tr w14:paraId="40ED5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vMerge w:val="continue"/>
                  <w:tcBorders>
                    <w:tl2br w:val="nil"/>
                    <w:tr2bl w:val="nil"/>
                  </w:tcBorders>
                  <w:noWrap w:val="0"/>
                  <w:vAlign w:val="center"/>
                </w:tcPr>
                <w:p w14:paraId="666794FE">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p>
              </w:tc>
              <w:tc>
                <w:tcPr>
                  <w:tcW w:w="1547" w:type="dxa"/>
                  <w:vMerge w:val="continue"/>
                  <w:tcBorders>
                    <w:tl2br w:val="nil"/>
                    <w:tr2bl w:val="nil"/>
                  </w:tcBorders>
                  <w:noWrap w:val="0"/>
                  <w:vAlign w:val="center"/>
                </w:tcPr>
                <w:p w14:paraId="7126094B">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p>
              </w:tc>
              <w:tc>
                <w:tcPr>
                  <w:tcW w:w="5924" w:type="dxa"/>
                  <w:gridSpan w:val="9"/>
                  <w:tcBorders>
                    <w:tl2br w:val="nil"/>
                    <w:tr2bl w:val="nil"/>
                  </w:tcBorders>
                  <w:noWrap w:val="0"/>
                  <w:vAlign w:val="center"/>
                </w:tcPr>
                <w:p w14:paraId="26F2F13B">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工业企业大气污染源构成类别</w:t>
                  </w:r>
                </w:p>
              </w:tc>
            </w:tr>
            <w:tr w14:paraId="07735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vMerge w:val="continue"/>
                  <w:tcBorders>
                    <w:tl2br w:val="nil"/>
                    <w:tr2bl w:val="nil"/>
                  </w:tcBorders>
                  <w:noWrap w:val="0"/>
                  <w:vAlign w:val="center"/>
                </w:tcPr>
                <w:p w14:paraId="67AAD3C1">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p>
              </w:tc>
              <w:tc>
                <w:tcPr>
                  <w:tcW w:w="1547" w:type="dxa"/>
                  <w:vMerge w:val="continue"/>
                  <w:tcBorders>
                    <w:tl2br w:val="nil"/>
                    <w:tr2bl w:val="nil"/>
                  </w:tcBorders>
                  <w:noWrap w:val="0"/>
                  <w:vAlign w:val="center"/>
                </w:tcPr>
                <w:p w14:paraId="06C74D4E">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p>
              </w:tc>
              <w:tc>
                <w:tcPr>
                  <w:tcW w:w="840" w:type="dxa"/>
                  <w:tcBorders>
                    <w:tl2br w:val="nil"/>
                    <w:tr2bl w:val="nil"/>
                  </w:tcBorders>
                  <w:noWrap w:val="0"/>
                  <w:vAlign w:val="center"/>
                </w:tcPr>
                <w:p w14:paraId="6C190AD6">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Ⅰ</w:t>
                  </w:r>
                </w:p>
              </w:tc>
              <w:tc>
                <w:tcPr>
                  <w:tcW w:w="675" w:type="dxa"/>
                  <w:tcBorders>
                    <w:tl2br w:val="nil"/>
                    <w:tr2bl w:val="nil"/>
                  </w:tcBorders>
                  <w:noWrap w:val="0"/>
                  <w:vAlign w:val="center"/>
                </w:tcPr>
                <w:p w14:paraId="7C791CD0">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Ⅱ</w:t>
                  </w:r>
                </w:p>
              </w:tc>
              <w:tc>
                <w:tcPr>
                  <w:tcW w:w="675" w:type="dxa"/>
                  <w:tcBorders>
                    <w:tl2br w:val="nil"/>
                    <w:tr2bl w:val="nil"/>
                  </w:tcBorders>
                  <w:noWrap w:val="0"/>
                  <w:vAlign w:val="center"/>
                </w:tcPr>
                <w:p w14:paraId="44289B22">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Ⅲ</w:t>
                  </w:r>
                </w:p>
              </w:tc>
              <w:tc>
                <w:tcPr>
                  <w:tcW w:w="675" w:type="dxa"/>
                  <w:tcBorders>
                    <w:tl2br w:val="nil"/>
                    <w:tr2bl w:val="nil"/>
                  </w:tcBorders>
                  <w:noWrap w:val="0"/>
                  <w:vAlign w:val="center"/>
                </w:tcPr>
                <w:p w14:paraId="00DD4E82">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rPr>
                    <w:t>Ⅰ</w:t>
                  </w:r>
                </w:p>
              </w:tc>
              <w:tc>
                <w:tcPr>
                  <w:tcW w:w="660" w:type="dxa"/>
                  <w:tcBorders>
                    <w:tl2br w:val="nil"/>
                    <w:tr2bl w:val="nil"/>
                  </w:tcBorders>
                  <w:noWrap w:val="0"/>
                  <w:vAlign w:val="center"/>
                </w:tcPr>
                <w:p w14:paraId="546B8885">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rPr>
                    <w:t>Ⅱ</w:t>
                  </w:r>
                </w:p>
              </w:tc>
              <w:tc>
                <w:tcPr>
                  <w:tcW w:w="570" w:type="dxa"/>
                  <w:tcBorders>
                    <w:tl2br w:val="nil"/>
                    <w:tr2bl w:val="nil"/>
                  </w:tcBorders>
                  <w:noWrap w:val="0"/>
                  <w:vAlign w:val="center"/>
                </w:tcPr>
                <w:p w14:paraId="7DC2D006">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rPr>
                    <w:t>Ⅲ</w:t>
                  </w:r>
                </w:p>
              </w:tc>
              <w:tc>
                <w:tcPr>
                  <w:tcW w:w="600" w:type="dxa"/>
                  <w:tcBorders>
                    <w:tl2br w:val="nil"/>
                    <w:tr2bl w:val="nil"/>
                  </w:tcBorders>
                  <w:noWrap w:val="0"/>
                  <w:vAlign w:val="center"/>
                </w:tcPr>
                <w:p w14:paraId="2FC2923A">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rPr>
                    <w:t>Ⅰ</w:t>
                  </w:r>
                </w:p>
              </w:tc>
              <w:tc>
                <w:tcPr>
                  <w:tcW w:w="540" w:type="dxa"/>
                  <w:tcBorders>
                    <w:tl2br w:val="nil"/>
                    <w:tr2bl w:val="nil"/>
                  </w:tcBorders>
                  <w:noWrap w:val="0"/>
                  <w:vAlign w:val="center"/>
                </w:tcPr>
                <w:p w14:paraId="66B53834">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rPr>
                    <w:t>Ⅱ</w:t>
                  </w:r>
                </w:p>
              </w:tc>
              <w:tc>
                <w:tcPr>
                  <w:tcW w:w="689" w:type="dxa"/>
                  <w:tcBorders>
                    <w:tl2br w:val="nil"/>
                    <w:tr2bl w:val="nil"/>
                  </w:tcBorders>
                  <w:noWrap w:val="0"/>
                  <w:vAlign w:val="center"/>
                </w:tcPr>
                <w:p w14:paraId="76617B2F">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rPr>
                    <w:t>Ⅲ</w:t>
                  </w:r>
                </w:p>
              </w:tc>
            </w:tr>
            <w:tr w14:paraId="21828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tcBorders>
                    <w:tl2br w:val="nil"/>
                    <w:tr2bl w:val="nil"/>
                  </w:tcBorders>
                  <w:noWrap w:val="0"/>
                  <w:vAlign w:val="center"/>
                </w:tcPr>
                <w:p w14:paraId="52359137">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A</w:t>
                  </w:r>
                </w:p>
              </w:tc>
              <w:tc>
                <w:tcPr>
                  <w:tcW w:w="1547" w:type="dxa"/>
                  <w:tcBorders>
                    <w:tl2br w:val="nil"/>
                    <w:tr2bl w:val="nil"/>
                  </w:tcBorders>
                  <w:noWrap w:val="0"/>
                  <w:vAlign w:val="center"/>
                </w:tcPr>
                <w:p w14:paraId="793AD0CC">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p>
                <w:p w14:paraId="3DE37404">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w:t>
                  </w:r>
                </w:p>
                <w:p w14:paraId="2F731D8B">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＞4</w:t>
                  </w:r>
                </w:p>
              </w:tc>
              <w:tc>
                <w:tcPr>
                  <w:tcW w:w="840" w:type="dxa"/>
                  <w:tcBorders>
                    <w:tl2br w:val="nil"/>
                    <w:tr2bl w:val="nil"/>
                  </w:tcBorders>
                  <w:noWrap w:val="0"/>
                  <w:vAlign w:val="center"/>
                </w:tcPr>
                <w:p w14:paraId="5442567B">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p w14:paraId="77F19842">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700</w:t>
                  </w:r>
                </w:p>
                <w:p w14:paraId="44942574">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530</w:t>
                  </w:r>
                </w:p>
              </w:tc>
              <w:tc>
                <w:tcPr>
                  <w:tcW w:w="675" w:type="dxa"/>
                  <w:tcBorders>
                    <w:tl2br w:val="nil"/>
                    <w:tr2bl w:val="nil"/>
                  </w:tcBorders>
                  <w:noWrap w:val="0"/>
                  <w:vAlign w:val="center"/>
                </w:tcPr>
                <w:p w14:paraId="1D1F5533">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p w14:paraId="5CF212A2">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470</w:t>
                  </w:r>
                </w:p>
                <w:p w14:paraId="6AD331F6">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350</w:t>
                  </w:r>
                </w:p>
              </w:tc>
              <w:tc>
                <w:tcPr>
                  <w:tcW w:w="675" w:type="dxa"/>
                  <w:tcBorders>
                    <w:tl2br w:val="nil"/>
                    <w:tr2bl w:val="nil"/>
                  </w:tcBorders>
                  <w:noWrap w:val="0"/>
                  <w:vAlign w:val="center"/>
                </w:tcPr>
                <w:p w14:paraId="06E3E5C4">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p w14:paraId="4FC0785A">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350</w:t>
                  </w:r>
                </w:p>
                <w:p w14:paraId="5ECB3BEA">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260</w:t>
                  </w:r>
                </w:p>
              </w:tc>
              <w:tc>
                <w:tcPr>
                  <w:tcW w:w="675" w:type="dxa"/>
                  <w:tcBorders>
                    <w:tl2br w:val="nil"/>
                    <w:tr2bl w:val="nil"/>
                  </w:tcBorders>
                  <w:noWrap w:val="0"/>
                  <w:vAlign w:val="center"/>
                </w:tcPr>
                <w:p w14:paraId="6595A5D4">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p w14:paraId="3D14F577">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700</w:t>
                  </w:r>
                </w:p>
                <w:p w14:paraId="5ACD9A10">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530</w:t>
                  </w:r>
                </w:p>
              </w:tc>
              <w:tc>
                <w:tcPr>
                  <w:tcW w:w="660" w:type="dxa"/>
                  <w:tcBorders>
                    <w:tl2br w:val="nil"/>
                    <w:tr2bl w:val="nil"/>
                  </w:tcBorders>
                  <w:noWrap w:val="0"/>
                  <w:vAlign w:val="center"/>
                </w:tcPr>
                <w:p w14:paraId="7BA6CF49">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p w14:paraId="1CC9696F">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470</w:t>
                  </w:r>
                </w:p>
                <w:p w14:paraId="5CDFDDB3">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350</w:t>
                  </w:r>
                </w:p>
              </w:tc>
              <w:tc>
                <w:tcPr>
                  <w:tcW w:w="570" w:type="dxa"/>
                  <w:tcBorders>
                    <w:tl2br w:val="nil"/>
                    <w:tr2bl w:val="nil"/>
                  </w:tcBorders>
                  <w:noWrap w:val="0"/>
                  <w:vAlign w:val="center"/>
                </w:tcPr>
                <w:p w14:paraId="7C197557">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p w14:paraId="0F315790">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350</w:t>
                  </w:r>
                </w:p>
                <w:p w14:paraId="6758194F">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260</w:t>
                  </w:r>
                </w:p>
              </w:tc>
              <w:tc>
                <w:tcPr>
                  <w:tcW w:w="600" w:type="dxa"/>
                  <w:tcBorders>
                    <w:tl2br w:val="nil"/>
                    <w:tr2bl w:val="nil"/>
                  </w:tcBorders>
                  <w:noWrap w:val="0"/>
                  <w:vAlign w:val="center"/>
                </w:tcPr>
                <w:p w14:paraId="654EBAE1">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p w14:paraId="59F7F5CF">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380</w:t>
                  </w:r>
                </w:p>
                <w:p w14:paraId="18DCDE33">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290</w:t>
                  </w:r>
                </w:p>
              </w:tc>
              <w:tc>
                <w:tcPr>
                  <w:tcW w:w="540" w:type="dxa"/>
                  <w:tcBorders>
                    <w:tl2br w:val="nil"/>
                    <w:tr2bl w:val="nil"/>
                  </w:tcBorders>
                  <w:noWrap w:val="0"/>
                  <w:vAlign w:val="center"/>
                </w:tcPr>
                <w:p w14:paraId="7BDE7F09">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p w14:paraId="06AD3A35">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250</w:t>
                  </w:r>
                </w:p>
                <w:p w14:paraId="48406230">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190</w:t>
                  </w:r>
                </w:p>
              </w:tc>
              <w:tc>
                <w:tcPr>
                  <w:tcW w:w="689" w:type="dxa"/>
                  <w:tcBorders>
                    <w:tl2br w:val="nil"/>
                    <w:tr2bl w:val="nil"/>
                  </w:tcBorders>
                  <w:noWrap w:val="0"/>
                  <w:vAlign w:val="center"/>
                </w:tcPr>
                <w:p w14:paraId="54C1A7D4">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p w14:paraId="3380F9DB">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190</w:t>
                  </w:r>
                </w:p>
                <w:p w14:paraId="0D9FED89">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110</w:t>
                  </w:r>
                </w:p>
              </w:tc>
            </w:tr>
            <w:tr w14:paraId="36620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tcBorders>
                    <w:tl2br w:val="nil"/>
                    <w:tr2bl w:val="nil"/>
                  </w:tcBorders>
                  <w:noWrap w:val="0"/>
                  <w:vAlign w:val="center"/>
                </w:tcPr>
                <w:p w14:paraId="7DB67049">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B</w:t>
                  </w:r>
                </w:p>
              </w:tc>
              <w:tc>
                <w:tcPr>
                  <w:tcW w:w="1547" w:type="dxa"/>
                  <w:tcBorders>
                    <w:tl2br w:val="nil"/>
                    <w:tr2bl w:val="nil"/>
                  </w:tcBorders>
                  <w:noWrap w:val="0"/>
                  <w:vAlign w:val="center"/>
                </w:tcPr>
                <w:p w14:paraId="0CFA629E">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p>
                <w:p w14:paraId="1FF5C819">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lang w:val="en-US" w:eastAsia="zh-CN"/>
                    </w:rPr>
                    <w:t>2</w:t>
                  </w:r>
                </w:p>
              </w:tc>
              <w:tc>
                <w:tcPr>
                  <w:tcW w:w="2190" w:type="dxa"/>
                  <w:gridSpan w:val="3"/>
                  <w:tcBorders>
                    <w:tl2br w:val="nil"/>
                    <w:tr2bl w:val="nil"/>
                  </w:tcBorders>
                  <w:noWrap w:val="0"/>
                  <w:vAlign w:val="center"/>
                </w:tcPr>
                <w:p w14:paraId="3B937593">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p w14:paraId="279730B2">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0.021</w:t>
                  </w:r>
                </w:p>
              </w:tc>
              <w:tc>
                <w:tcPr>
                  <w:tcW w:w="1905" w:type="dxa"/>
                  <w:gridSpan w:val="3"/>
                  <w:tcBorders>
                    <w:tl2br w:val="nil"/>
                    <w:tr2bl w:val="nil"/>
                  </w:tcBorders>
                  <w:noWrap w:val="0"/>
                  <w:vAlign w:val="center"/>
                </w:tcPr>
                <w:p w14:paraId="76A76DCC">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0.015</w:t>
                  </w:r>
                </w:p>
                <w:p w14:paraId="0EFF3053">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0.036</w:t>
                  </w:r>
                </w:p>
              </w:tc>
              <w:tc>
                <w:tcPr>
                  <w:tcW w:w="1829" w:type="dxa"/>
                  <w:gridSpan w:val="3"/>
                  <w:tcBorders>
                    <w:tl2br w:val="nil"/>
                    <w:tr2bl w:val="nil"/>
                  </w:tcBorders>
                  <w:noWrap w:val="0"/>
                  <w:vAlign w:val="center"/>
                </w:tcPr>
                <w:p w14:paraId="6E20A45D">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0.015</w:t>
                  </w:r>
                </w:p>
                <w:p w14:paraId="5B59449C">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0.036</w:t>
                  </w:r>
                </w:p>
              </w:tc>
            </w:tr>
            <w:tr w14:paraId="74799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tcBorders>
                    <w:tl2br w:val="nil"/>
                    <w:tr2bl w:val="nil"/>
                  </w:tcBorders>
                  <w:noWrap w:val="0"/>
                  <w:vAlign w:val="center"/>
                </w:tcPr>
                <w:p w14:paraId="281AC0D5">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C</w:t>
                  </w:r>
                </w:p>
              </w:tc>
              <w:tc>
                <w:tcPr>
                  <w:tcW w:w="1547" w:type="dxa"/>
                  <w:tcBorders>
                    <w:tl2br w:val="nil"/>
                    <w:tr2bl w:val="nil"/>
                  </w:tcBorders>
                  <w:noWrap w:val="0"/>
                  <w:vAlign w:val="center"/>
                </w:tcPr>
                <w:p w14:paraId="2C72AABC">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p>
                <w:p w14:paraId="668AE6A4">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＞2</w:t>
                  </w:r>
                </w:p>
              </w:tc>
              <w:tc>
                <w:tcPr>
                  <w:tcW w:w="2190" w:type="dxa"/>
                  <w:gridSpan w:val="3"/>
                  <w:tcBorders>
                    <w:tl2br w:val="nil"/>
                    <w:tr2bl w:val="nil"/>
                  </w:tcBorders>
                  <w:noWrap w:val="0"/>
                  <w:vAlign w:val="center"/>
                </w:tcPr>
                <w:p w14:paraId="2E499CF6">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1.85</w:t>
                  </w:r>
                </w:p>
                <w:p w14:paraId="22230C9D">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1.85</w:t>
                  </w:r>
                </w:p>
              </w:tc>
              <w:tc>
                <w:tcPr>
                  <w:tcW w:w="1905" w:type="dxa"/>
                  <w:gridSpan w:val="3"/>
                  <w:tcBorders>
                    <w:tl2br w:val="nil"/>
                    <w:tr2bl w:val="nil"/>
                  </w:tcBorders>
                  <w:noWrap w:val="0"/>
                  <w:vAlign w:val="center"/>
                </w:tcPr>
                <w:p w14:paraId="11300D87">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1.79</w:t>
                  </w:r>
                </w:p>
                <w:p w14:paraId="16653DE5">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1.77</w:t>
                  </w:r>
                </w:p>
              </w:tc>
              <w:tc>
                <w:tcPr>
                  <w:tcW w:w="1829" w:type="dxa"/>
                  <w:gridSpan w:val="3"/>
                  <w:tcBorders>
                    <w:tl2br w:val="nil"/>
                    <w:tr2bl w:val="nil"/>
                  </w:tcBorders>
                  <w:noWrap w:val="0"/>
                  <w:vAlign w:val="center"/>
                </w:tcPr>
                <w:p w14:paraId="3AB81576">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1.79</w:t>
                  </w:r>
                </w:p>
                <w:p w14:paraId="3DA575F7">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1.77</w:t>
                  </w:r>
                </w:p>
              </w:tc>
            </w:tr>
            <w:tr w14:paraId="3E2A2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dxa"/>
                  <w:tcBorders>
                    <w:tl2br w:val="nil"/>
                    <w:tr2bl w:val="nil"/>
                  </w:tcBorders>
                  <w:noWrap w:val="0"/>
                  <w:vAlign w:val="center"/>
                </w:tcPr>
                <w:p w14:paraId="300F0A91">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w:t>
                  </w:r>
                </w:p>
              </w:tc>
              <w:tc>
                <w:tcPr>
                  <w:tcW w:w="1547" w:type="dxa"/>
                  <w:tcBorders>
                    <w:tl2br w:val="nil"/>
                    <w:tr2bl w:val="nil"/>
                  </w:tcBorders>
                  <w:noWrap w:val="0"/>
                  <w:vAlign w:val="center"/>
                </w:tcPr>
                <w:p w14:paraId="66C45319">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p>
                <w:p w14:paraId="3AC6C064">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＞2</w:t>
                  </w:r>
                </w:p>
              </w:tc>
              <w:tc>
                <w:tcPr>
                  <w:tcW w:w="2190" w:type="dxa"/>
                  <w:gridSpan w:val="3"/>
                  <w:tcBorders>
                    <w:tl2br w:val="nil"/>
                    <w:tr2bl w:val="nil"/>
                  </w:tcBorders>
                  <w:noWrap w:val="0"/>
                  <w:vAlign w:val="center"/>
                </w:tcPr>
                <w:p w14:paraId="6719E8AE">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0.78</w:t>
                  </w:r>
                </w:p>
                <w:p w14:paraId="685B03A6">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0.84</w:t>
                  </w:r>
                </w:p>
              </w:tc>
              <w:tc>
                <w:tcPr>
                  <w:tcW w:w="1905" w:type="dxa"/>
                  <w:gridSpan w:val="3"/>
                  <w:tcBorders>
                    <w:tl2br w:val="nil"/>
                    <w:tr2bl w:val="nil"/>
                  </w:tcBorders>
                  <w:noWrap w:val="0"/>
                  <w:vAlign w:val="center"/>
                </w:tcPr>
                <w:p w14:paraId="498CC836">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0.78</w:t>
                  </w:r>
                </w:p>
                <w:p w14:paraId="4B499607">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0.84</w:t>
                  </w:r>
                </w:p>
              </w:tc>
              <w:tc>
                <w:tcPr>
                  <w:tcW w:w="1829" w:type="dxa"/>
                  <w:gridSpan w:val="3"/>
                  <w:tcBorders>
                    <w:tl2br w:val="nil"/>
                    <w:tr2bl w:val="nil"/>
                  </w:tcBorders>
                  <w:noWrap w:val="0"/>
                  <w:vAlign w:val="center"/>
                </w:tcPr>
                <w:p w14:paraId="72F828CC">
                  <w:pPr>
                    <w:pStyle w:val="2"/>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0.57</w:t>
                  </w:r>
                </w:p>
                <w:p w14:paraId="48EE7A19">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vertAlign w:val="baseline"/>
                      <w:lang w:val="en-US" w:eastAsia="zh-CN"/>
                    </w:rPr>
                    <w:t>0.76</w:t>
                  </w:r>
                </w:p>
              </w:tc>
            </w:tr>
          </w:tbl>
          <w:p w14:paraId="0476EC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所在地的年平均风速2.3m/s。根据《大气有害物质无组织排放卫生防护距离推导技术》（GB/T39499-2020），当目标企业无组织排放多种有毒有害的污染物时，优先选择等标排放量最大的污染物为企业无组织排放的主要特征大气有害物质。当前两种污染物的等标排放量相差在10%以内时，需要同时选择这两种特征大气有害物质分别计算卫生防护距离。</w:t>
            </w:r>
          </w:p>
          <w:p w14:paraId="12CBF333">
            <w:pPr>
              <w:pStyle w:val="27"/>
              <w:snapToGrid w:val="0"/>
              <w:ind w:firstLine="480" w:firstLineChars="200"/>
              <w:rPr>
                <w:rFonts w:hint="eastAsia" w:hAnsi="宋体"/>
                <w:color w:val="auto"/>
                <w:sz w:val="24"/>
                <w:szCs w:val="24"/>
              </w:rPr>
            </w:pPr>
            <w:r>
              <w:rPr>
                <w:rFonts w:hint="eastAsia" w:hAnsi="宋体"/>
                <w:color w:val="auto"/>
                <w:sz w:val="24"/>
                <w:szCs w:val="24"/>
              </w:rPr>
              <w:t>等标排放量公式如下：</w:t>
            </w:r>
          </w:p>
          <w:p w14:paraId="6AC33015">
            <w:pPr>
              <w:adjustRightInd w:val="0"/>
              <w:snapToGrid w:val="0"/>
              <w:spacing w:line="360" w:lineRule="auto"/>
              <w:ind w:firstLine="480" w:firstLineChars="200"/>
              <w:jc w:val="center"/>
              <w:rPr>
                <w:rFonts w:hint="eastAsia" w:ascii="宋体" w:hAnsi="宋体" w:eastAsia="宋体" w:cs="宋体"/>
                <w:color w:val="auto"/>
                <w:sz w:val="24"/>
                <w:szCs w:val="24"/>
                <w:vertAlign w:val="superscript"/>
              </w:rPr>
            </w:pPr>
            <w:r>
              <w:rPr>
                <w:rFonts w:hint="eastAsia" w:ascii="宋体" w:hAnsi="宋体" w:eastAsia="宋体" w:cs="宋体"/>
                <w:color w:val="auto"/>
                <w:sz w:val="24"/>
                <w:szCs w:val="24"/>
              </w:rPr>
              <w:t>Pi=Qi/Coi×10</w:t>
            </w:r>
            <w:r>
              <w:rPr>
                <w:rFonts w:hint="eastAsia" w:ascii="宋体" w:hAnsi="宋体" w:eastAsia="宋体" w:cs="宋体"/>
                <w:color w:val="auto"/>
                <w:sz w:val="24"/>
                <w:szCs w:val="24"/>
                <w:vertAlign w:val="superscript"/>
              </w:rPr>
              <w:t>9</w:t>
            </w:r>
          </w:p>
          <w:p w14:paraId="1F9C0767">
            <w:pPr>
              <w:pStyle w:val="27"/>
              <w:snapToGrid w:val="0"/>
              <w:ind w:firstLine="480" w:firstLineChars="200"/>
              <w:rPr>
                <w:rFonts w:hint="eastAsia" w:hAnsi="宋体"/>
                <w:color w:val="auto"/>
                <w:sz w:val="24"/>
                <w:szCs w:val="24"/>
              </w:rPr>
            </w:pPr>
            <w:r>
              <w:rPr>
                <w:rFonts w:hint="eastAsia" w:hAnsi="宋体"/>
                <w:color w:val="auto"/>
                <w:sz w:val="24"/>
                <w:szCs w:val="24"/>
              </w:rPr>
              <w:t>式中Pi—评价等级判别参数，通常所谓的等标排放量，</w:t>
            </w:r>
            <w:r>
              <w:rPr>
                <w:rFonts w:hint="eastAsia" w:ascii="Times New Roman" w:eastAsia="Times New Roman" w:cs="Times New Roman"/>
                <w:color w:val="auto"/>
                <w:sz w:val="24"/>
                <w:szCs w:val="24"/>
              </w:rPr>
              <w:t>m</w:t>
            </w:r>
            <w:r>
              <w:rPr>
                <w:rFonts w:hint="eastAsia" w:ascii="Times New Roman" w:eastAsia="Times New Roman" w:cs="Times New Roman"/>
                <w:color w:val="auto"/>
                <w:sz w:val="24"/>
                <w:szCs w:val="24"/>
                <w:vertAlign w:val="superscript"/>
              </w:rPr>
              <w:t>3</w:t>
            </w:r>
            <w:r>
              <w:rPr>
                <w:rFonts w:hint="eastAsia" w:ascii="Times New Roman" w:eastAsia="Times New Roman" w:cs="Times New Roman"/>
                <w:color w:val="auto"/>
                <w:sz w:val="24"/>
                <w:szCs w:val="24"/>
              </w:rPr>
              <w:t>/h</w:t>
            </w:r>
            <w:r>
              <w:rPr>
                <w:rFonts w:hint="eastAsia" w:hAnsi="宋体"/>
                <w:color w:val="auto"/>
                <w:sz w:val="24"/>
                <w:szCs w:val="24"/>
              </w:rPr>
              <w:t>；</w:t>
            </w:r>
          </w:p>
          <w:p w14:paraId="1731E293">
            <w:pPr>
              <w:pStyle w:val="27"/>
              <w:snapToGrid w:val="0"/>
              <w:ind w:firstLine="480" w:firstLineChars="200"/>
              <w:rPr>
                <w:rFonts w:hint="eastAsia" w:hAnsi="宋体"/>
                <w:color w:val="auto"/>
                <w:sz w:val="24"/>
                <w:szCs w:val="24"/>
              </w:rPr>
            </w:pPr>
            <w:r>
              <w:rPr>
                <w:rFonts w:hint="eastAsia" w:hAnsi="宋体"/>
                <w:color w:val="auto"/>
                <w:sz w:val="24"/>
                <w:szCs w:val="24"/>
              </w:rPr>
              <w:t>Qi—单位时间的排放量，</w:t>
            </w:r>
            <w:r>
              <w:rPr>
                <w:rFonts w:hint="eastAsia" w:ascii="Times New Roman" w:eastAsia="Times New Roman" w:cs="Times New Roman"/>
                <w:color w:val="auto"/>
                <w:sz w:val="24"/>
                <w:szCs w:val="24"/>
              </w:rPr>
              <w:t>t/h</w:t>
            </w:r>
            <w:r>
              <w:rPr>
                <w:rFonts w:hint="eastAsia" w:hAnsi="宋体"/>
                <w:color w:val="auto"/>
                <w:sz w:val="24"/>
                <w:szCs w:val="24"/>
              </w:rPr>
              <w:t>；</w:t>
            </w:r>
          </w:p>
          <w:p w14:paraId="4EB75C88">
            <w:pPr>
              <w:pStyle w:val="27"/>
              <w:snapToGrid w:val="0"/>
              <w:ind w:firstLine="480" w:firstLineChars="200"/>
              <w:rPr>
                <w:rFonts w:hint="eastAsia" w:ascii="Times New Roman" w:eastAsia="Times New Roman" w:cs="Times New Roman"/>
                <w:color w:val="auto"/>
                <w:sz w:val="24"/>
                <w:szCs w:val="24"/>
              </w:rPr>
            </w:pPr>
            <w:r>
              <w:rPr>
                <w:rFonts w:hint="eastAsia" w:ascii="Times New Roman" w:eastAsia="Times New Roman" w:cs="Times New Roman"/>
                <w:color w:val="auto"/>
                <w:sz w:val="24"/>
                <w:szCs w:val="24"/>
              </w:rPr>
              <w:t>Coi—</w:t>
            </w:r>
            <w:r>
              <w:rPr>
                <w:rFonts w:hint="eastAsia" w:cs="Times New Roman"/>
                <w:color w:val="auto"/>
                <w:sz w:val="24"/>
                <w:szCs w:val="24"/>
              </w:rPr>
              <w:t>环境空气质量标准，mg/m</w:t>
            </w:r>
            <w:r>
              <w:rPr>
                <w:rFonts w:hint="eastAsia" w:ascii="Times New Roman" w:eastAsia="Times New Roman" w:cs="Times New Roman"/>
                <w:color w:val="auto"/>
                <w:sz w:val="24"/>
                <w:szCs w:val="24"/>
                <w:vertAlign w:val="superscript"/>
              </w:rPr>
              <w:t>3</w:t>
            </w:r>
            <w:r>
              <w:rPr>
                <w:rFonts w:hint="eastAsia" w:cs="Times New Roman"/>
                <w:color w:val="auto"/>
                <w:sz w:val="24"/>
                <w:szCs w:val="24"/>
              </w:rPr>
              <w:t>。</w:t>
            </w:r>
          </w:p>
          <w:p w14:paraId="00C5145E">
            <w:pPr>
              <w:jc w:val="center"/>
              <w:rPr>
                <w:rFonts w:hint="eastAsia"/>
                <w:b/>
                <w:color w:val="auto"/>
                <w:sz w:val="21"/>
                <w:szCs w:val="21"/>
              </w:rPr>
            </w:pPr>
            <w:r>
              <w:rPr>
                <w:rFonts w:hint="eastAsia"/>
                <w:b/>
                <w:color w:val="auto"/>
                <w:sz w:val="21"/>
                <w:szCs w:val="21"/>
              </w:rPr>
              <w:t>表4-</w:t>
            </w:r>
            <w:r>
              <w:rPr>
                <w:rFonts w:hint="eastAsia" w:ascii="宋体" w:eastAsia="宋体"/>
                <w:b/>
                <w:color w:val="auto"/>
                <w:sz w:val="21"/>
                <w:szCs w:val="21"/>
                <w:lang w:val="en-US" w:eastAsia="zh-CN"/>
              </w:rPr>
              <w:t xml:space="preserve">7 </w:t>
            </w:r>
            <w:r>
              <w:rPr>
                <w:rFonts w:hint="eastAsia"/>
                <w:b/>
                <w:color w:val="auto"/>
                <w:sz w:val="21"/>
                <w:szCs w:val="21"/>
              </w:rPr>
              <w:t xml:space="preserve"> 等标排放量</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129"/>
              <w:gridCol w:w="1685"/>
              <w:gridCol w:w="2336"/>
              <w:gridCol w:w="1762"/>
            </w:tblGrid>
            <w:tr w14:paraId="60286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tcBorders>
                    <w:tl2br w:val="nil"/>
                    <w:tr2bl w:val="nil"/>
                  </w:tcBorders>
                  <w:noWrap w:val="0"/>
                  <w:vAlign w:val="center"/>
                </w:tcPr>
                <w:p w14:paraId="65840926">
                  <w:pPr>
                    <w:adjustRightInd w:val="0"/>
                    <w:snapToGrid w:val="0"/>
                    <w:jc w:val="center"/>
                    <w:rPr>
                      <w:rFonts w:hint="eastAsia"/>
                      <w:b/>
                      <w:color w:val="auto"/>
                      <w:sz w:val="21"/>
                      <w:szCs w:val="21"/>
                    </w:rPr>
                  </w:pPr>
                  <w:r>
                    <w:rPr>
                      <w:rFonts w:hint="eastAsia"/>
                      <w:b/>
                      <w:color w:val="auto"/>
                      <w:sz w:val="21"/>
                      <w:szCs w:val="21"/>
                    </w:rPr>
                    <w:t>面源</w:t>
                  </w:r>
                </w:p>
              </w:tc>
              <w:tc>
                <w:tcPr>
                  <w:tcW w:w="687" w:type="pct"/>
                  <w:tcBorders>
                    <w:tl2br w:val="nil"/>
                    <w:tr2bl w:val="nil"/>
                  </w:tcBorders>
                  <w:noWrap w:val="0"/>
                  <w:vAlign w:val="center"/>
                </w:tcPr>
                <w:p w14:paraId="4790FE36">
                  <w:pPr>
                    <w:adjustRightInd w:val="0"/>
                    <w:snapToGrid w:val="0"/>
                    <w:jc w:val="center"/>
                    <w:rPr>
                      <w:rFonts w:hint="eastAsia"/>
                      <w:b/>
                      <w:color w:val="auto"/>
                      <w:sz w:val="21"/>
                      <w:szCs w:val="21"/>
                    </w:rPr>
                  </w:pPr>
                  <w:r>
                    <w:rPr>
                      <w:rFonts w:hint="eastAsia"/>
                      <w:b/>
                      <w:color w:val="auto"/>
                      <w:sz w:val="21"/>
                      <w:szCs w:val="21"/>
                    </w:rPr>
                    <w:t>污染物</w:t>
                  </w:r>
                </w:p>
              </w:tc>
              <w:tc>
                <w:tcPr>
                  <w:tcW w:w="1025" w:type="pct"/>
                  <w:tcBorders>
                    <w:tl2br w:val="nil"/>
                    <w:tr2bl w:val="nil"/>
                  </w:tcBorders>
                  <w:noWrap w:val="0"/>
                  <w:vAlign w:val="center"/>
                </w:tcPr>
                <w:p w14:paraId="42CFE417">
                  <w:pPr>
                    <w:adjustRightInd w:val="0"/>
                    <w:snapToGrid w:val="0"/>
                    <w:jc w:val="center"/>
                    <w:rPr>
                      <w:rFonts w:hint="eastAsia"/>
                      <w:b/>
                      <w:color w:val="auto"/>
                      <w:sz w:val="21"/>
                      <w:szCs w:val="21"/>
                    </w:rPr>
                  </w:pPr>
                  <w:r>
                    <w:rPr>
                      <w:rFonts w:hint="eastAsia"/>
                      <w:b/>
                      <w:color w:val="auto"/>
                      <w:sz w:val="21"/>
                      <w:szCs w:val="21"/>
                    </w:rPr>
                    <w:t>单位时间排放量（kg/h）</w:t>
                  </w:r>
                </w:p>
              </w:tc>
              <w:tc>
                <w:tcPr>
                  <w:tcW w:w="1422" w:type="pct"/>
                  <w:tcBorders>
                    <w:tl2br w:val="nil"/>
                    <w:tr2bl w:val="nil"/>
                  </w:tcBorders>
                  <w:noWrap w:val="0"/>
                  <w:vAlign w:val="center"/>
                </w:tcPr>
                <w:p w14:paraId="540F7F05">
                  <w:pPr>
                    <w:adjustRightInd w:val="0"/>
                    <w:snapToGrid w:val="0"/>
                    <w:jc w:val="center"/>
                    <w:rPr>
                      <w:rFonts w:hint="eastAsia"/>
                      <w:b/>
                      <w:color w:val="auto"/>
                      <w:sz w:val="21"/>
                      <w:szCs w:val="21"/>
                    </w:rPr>
                  </w:pPr>
                  <w:r>
                    <w:rPr>
                      <w:rFonts w:hint="eastAsia"/>
                      <w:b/>
                      <w:color w:val="auto"/>
                      <w:sz w:val="21"/>
                      <w:szCs w:val="21"/>
                    </w:rPr>
                    <w:t>环境空气质量标准值（mg/m</w:t>
                  </w:r>
                  <w:r>
                    <w:rPr>
                      <w:rFonts w:hint="eastAsia"/>
                      <w:b/>
                      <w:color w:val="auto"/>
                      <w:sz w:val="21"/>
                      <w:szCs w:val="21"/>
                      <w:vertAlign w:val="superscript"/>
                    </w:rPr>
                    <w:t>3</w:t>
                  </w:r>
                  <w:r>
                    <w:rPr>
                      <w:rFonts w:hint="eastAsia"/>
                      <w:b/>
                      <w:color w:val="auto"/>
                      <w:sz w:val="21"/>
                      <w:szCs w:val="21"/>
                    </w:rPr>
                    <w:t>）</w:t>
                  </w:r>
                </w:p>
              </w:tc>
              <w:tc>
                <w:tcPr>
                  <w:tcW w:w="1072" w:type="pct"/>
                  <w:tcBorders>
                    <w:tl2br w:val="nil"/>
                    <w:tr2bl w:val="nil"/>
                  </w:tcBorders>
                  <w:noWrap w:val="0"/>
                  <w:vAlign w:val="center"/>
                </w:tcPr>
                <w:p w14:paraId="1628D133">
                  <w:pPr>
                    <w:adjustRightInd w:val="0"/>
                    <w:snapToGrid w:val="0"/>
                    <w:jc w:val="center"/>
                    <w:rPr>
                      <w:rFonts w:hint="eastAsia"/>
                      <w:b/>
                      <w:color w:val="auto"/>
                      <w:sz w:val="21"/>
                      <w:szCs w:val="21"/>
                    </w:rPr>
                  </w:pPr>
                  <w:r>
                    <w:rPr>
                      <w:rFonts w:hint="eastAsia"/>
                      <w:b/>
                      <w:color w:val="auto"/>
                      <w:sz w:val="21"/>
                      <w:szCs w:val="21"/>
                    </w:rPr>
                    <w:t>等标排放量（m</w:t>
                  </w:r>
                  <w:r>
                    <w:rPr>
                      <w:rFonts w:hint="eastAsia"/>
                      <w:b/>
                      <w:color w:val="auto"/>
                      <w:sz w:val="21"/>
                      <w:szCs w:val="21"/>
                      <w:vertAlign w:val="superscript"/>
                    </w:rPr>
                    <w:t>3</w:t>
                  </w:r>
                  <w:r>
                    <w:rPr>
                      <w:rFonts w:hint="eastAsia"/>
                      <w:b/>
                      <w:color w:val="auto"/>
                      <w:sz w:val="21"/>
                      <w:szCs w:val="21"/>
                    </w:rPr>
                    <w:t>/h）</w:t>
                  </w:r>
                </w:p>
              </w:tc>
            </w:tr>
            <w:tr w14:paraId="7D4B5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92" w:type="pct"/>
                  <w:vMerge w:val="restart"/>
                  <w:tcBorders>
                    <w:tl2br w:val="nil"/>
                    <w:tr2bl w:val="nil"/>
                  </w:tcBorders>
                  <w:noWrap w:val="0"/>
                  <w:vAlign w:val="center"/>
                </w:tcPr>
                <w:p w14:paraId="091A4D10">
                  <w:pPr>
                    <w:spacing w:line="288" w:lineRule="auto"/>
                    <w:jc w:val="center"/>
                    <w:rPr>
                      <w:rFonts w:hint="eastAsia"/>
                      <w:color w:val="auto"/>
                      <w:sz w:val="21"/>
                      <w:szCs w:val="21"/>
                    </w:rPr>
                  </w:pPr>
                  <w:r>
                    <w:rPr>
                      <w:rFonts w:hint="eastAsia"/>
                      <w:color w:val="auto"/>
                      <w:sz w:val="21"/>
                      <w:szCs w:val="21"/>
                    </w:rPr>
                    <w:t>生产车间</w:t>
                  </w:r>
                </w:p>
              </w:tc>
              <w:tc>
                <w:tcPr>
                  <w:tcW w:w="687" w:type="pct"/>
                  <w:tcBorders>
                    <w:tl2br w:val="nil"/>
                    <w:tr2bl w:val="nil"/>
                  </w:tcBorders>
                  <w:noWrap w:val="0"/>
                  <w:vAlign w:val="center"/>
                </w:tcPr>
                <w:p w14:paraId="0423AEC8">
                  <w:pPr>
                    <w:widowControl/>
                    <w:snapToGrid w:val="0"/>
                    <w:jc w:val="center"/>
                    <w:textAlignment w:val="center"/>
                    <w:rPr>
                      <w:rFonts w:hint="default" w:ascii="Times New Roman" w:hAnsi="Times New Roman" w:eastAsia="宋体" w:cs="Times New Roman"/>
                      <w:color w:val="auto"/>
                      <w:sz w:val="21"/>
                      <w:szCs w:val="21"/>
                    </w:rPr>
                  </w:pPr>
                  <w:r>
                    <w:rPr>
                      <w:rFonts w:hint="eastAsia" w:ascii="宋体" w:eastAsia="宋体"/>
                      <w:color w:val="auto"/>
                      <w:sz w:val="21"/>
                      <w:szCs w:val="21"/>
                    </w:rPr>
                    <w:t>TSP</w:t>
                  </w:r>
                </w:p>
              </w:tc>
              <w:tc>
                <w:tcPr>
                  <w:tcW w:w="1025" w:type="pct"/>
                  <w:tcBorders>
                    <w:tl2br w:val="nil"/>
                    <w:tr2bl w:val="nil"/>
                  </w:tcBorders>
                  <w:noWrap w:val="0"/>
                  <w:vAlign w:val="center"/>
                </w:tcPr>
                <w:p w14:paraId="49F8219D">
                  <w:pPr>
                    <w:widowControl/>
                    <w:jc w:val="center"/>
                    <w:textAlignment w:val="center"/>
                    <w:rPr>
                      <w:rFonts w:hint="eastAsia" w:eastAsia="宋体"/>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bidi="ar"/>
                    </w:rPr>
                    <w:t>0.001</w:t>
                  </w:r>
                </w:p>
              </w:tc>
              <w:tc>
                <w:tcPr>
                  <w:tcW w:w="1422" w:type="pct"/>
                  <w:tcBorders>
                    <w:tl2br w:val="nil"/>
                    <w:tr2bl w:val="nil"/>
                  </w:tcBorders>
                  <w:noWrap w:val="0"/>
                  <w:vAlign w:val="center"/>
                </w:tcPr>
                <w:p w14:paraId="474E98FB">
                  <w:pPr>
                    <w:jc w:val="center"/>
                    <w:rPr>
                      <w:rFonts w:hint="default" w:ascii="宋体" w:eastAsia="宋体"/>
                      <w:color w:val="auto"/>
                      <w:sz w:val="21"/>
                      <w:szCs w:val="21"/>
                      <w:lang w:val="en-US" w:eastAsia="zh-CN"/>
                    </w:rPr>
                  </w:pPr>
                  <w:r>
                    <w:rPr>
                      <w:rFonts w:hint="eastAsia" w:ascii="宋体" w:eastAsia="宋体"/>
                      <w:color w:val="auto"/>
                      <w:sz w:val="21"/>
                      <w:szCs w:val="21"/>
                      <w:lang w:val="en-US" w:eastAsia="zh-CN"/>
                    </w:rPr>
                    <w:t>0.9</w:t>
                  </w:r>
                </w:p>
              </w:tc>
              <w:tc>
                <w:tcPr>
                  <w:tcW w:w="1072" w:type="pct"/>
                  <w:tcBorders>
                    <w:tl2br w:val="nil"/>
                    <w:tr2bl w:val="nil"/>
                  </w:tcBorders>
                  <w:noWrap w:val="0"/>
                  <w:vAlign w:val="center"/>
                </w:tcPr>
                <w:p w14:paraId="01E4DB2F">
                  <w:pPr>
                    <w:jc w:val="center"/>
                    <w:rPr>
                      <w:rFonts w:hint="default" w:ascii="宋体" w:eastAsia="宋体"/>
                      <w:color w:val="auto"/>
                      <w:sz w:val="21"/>
                      <w:szCs w:val="21"/>
                      <w:lang w:val="en-US" w:eastAsia="zh-CN"/>
                    </w:rPr>
                  </w:pPr>
                  <w:r>
                    <w:rPr>
                      <w:rFonts w:hint="eastAsia" w:ascii="宋体" w:eastAsia="宋体"/>
                      <w:color w:val="auto"/>
                      <w:sz w:val="21"/>
                      <w:szCs w:val="21"/>
                      <w:lang w:val="en-US" w:eastAsia="zh-CN"/>
                    </w:rPr>
                    <w:t>1111</w:t>
                  </w:r>
                </w:p>
              </w:tc>
            </w:tr>
            <w:tr w14:paraId="65540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792" w:type="pct"/>
                  <w:vMerge w:val="continue"/>
                  <w:tcBorders>
                    <w:tl2br w:val="nil"/>
                    <w:tr2bl w:val="nil"/>
                  </w:tcBorders>
                  <w:noWrap w:val="0"/>
                  <w:vAlign w:val="center"/>
                </w:tcPr>
                <w:p w14:paraId="6ACF5512">
                  <w:pPr>
                    <w:spacing w:line="288" w:lineRule="auto"/>
                    <w:jc w:val="center"/>
                    <w:rPr>
                      <w:rFonts w:hint="eastAsia"/>
                      <w:color w:val="auto"/>
                      <w:sz w:val="21"/>
                      <w:szCs w:val="21"/>
                    </w:rPr>
                  </w:pPr>
                </w:p>
              </w:tc>
              <w:tc>
                <w:tcPr>
                  <w:tcW w:w="687" w:type="pct"/>
                  <w:tcBorders>
                    <w:tl2br w:val="nil"/>
                    <w:tr2bl w:val="nil"/>
                  </w:tcBorders>
                  <w:noWrap w:val="0"/>
                  <w:vAlign w:val="center"/>
                </w:tcPr>
                <w:p w14:paraId="527A1E00">
                  <w:pPr>
                    <w:widowControl/>
                    <w:snapToGrid w:val="0"/>
                    <w:jc w:val="center"/>
                    <w:textAlignment w:val="center"/>
                    <w:rPr>
                      <w:rFonts w:hint="eastAsia" w:ascii="宋体" w:eastAsia="宋体"/>
                      <w:color w:val="auto"/>
                      <w:sz w:val="21"/>
                      <w:szCs w:val="21"/>
                    </w:rPr>
                  </w:pPr>
                  <w:r>
                    <w:rPr>
                      <w:rFonts w:hint="default" w:ascii="Times New Roman" w:hAnsi="Times New Roman" w:eastAsia="宋体" w:cs="Times New Roman"/>
                      <w:color w:val="auto"/>
                      <w:sz w:val="21"/>
                      <w:szCs w:val="21"/>
                    </w:rPr>
                    <w:t>VOCs</w:t>
                  </w:r>
                </w:p>
              </w:tc>
              <w:tc>
                <w:tcPr>
                  <w:tcW w:w="1025" w:type="pct"/>
                  <w:tcBorders>
                    <w:tl2br w:val="nil"/>
                    <w:tr2bl w:val="nil"/>
                  </w:tcBorders>
                  <w:noWrap w:val="0"/>
                  <w:vAlign w:val="center"/>
                </w:tcPr>
                <w:p w14:paraId="5022ABE3">
                  <w:pPr>
                    <w:widowControl/>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0.108</w:t>
                  </w:r>
                </w:p>
              </w:tc>
              <w:tc>
                <w:tcPr>
                  <w:tcW w:w="1422" w:type="pct"/>
                  <w:tcBorders>
                    <w:tl2br w:val="nil"/>
                    <w:tr2bl w:val="nil"/>
                  </w:tcBorders>
                  <w:noWrap w:val="0"/>
                  <w:vAlign w:val="center"/>
                </w:tcPr>
                <w:p w14:paraId="07F36360">
                  <w:pPr>
                    <w:jc w:val="center"/>
                    <w:rPr>
                      <w:rFonts w:hint="default" w:ascii="宋体" w:eastAsia="宋体"/>
                      <w:color w:val="auto"/>
                      <w:sz w:val="21"/>
                      <w:szCs w:val="21"/>
                      <w:lang w:val="en-US" w:eastAsia="zh-CN"/>
                    </w:rPr>
                  </w:pPr>
                  <w:r>
                    <w:rPr>
                      <w:rFonts w:hint="eastAsia" w:ascii="宋体" w:eastAsia="宋体"/>
                      <w:color w:val="auto"/>
                      <w:sz w:val="21"/>
                      <w:szCs w:val="21"/>
                      <w:lang w:val="en-US" w:eastAsia="zh-CN"/>
                    </w:rPr>
                    <w:t>1.2</w:t>
                  </w:r>
                </w:p>
              </w:tc>
              <w:tc>
                <w:tcPr>
                  <w:tcW w:w="1072" w:type="pct"/>
                  <w:tcBorders>
                    <w:tl2br w:val="nil"/>
                    <w:tr2bl w:val="nil"/>
                  </w:tcBorders>
                  <w:noWrap w:val="0"/>
                  <w:vAlign w:val="center"/>
                </w:tcPr>
                <w:p w14:paraId="77106DB4">
                  <w:pPr>
                    <w:jc w:val="center"/>
                    <w:rPr>
                      <w:rFonts w:hint="default" w:ascii="宋体" w:eastAsia="宋体"/>
                      <w:color w:val="auto"/>
                      <w:sz w:val="21"/>
                      <w:szCs w:val="21"/>
                      <w:lang w:val="en-US" w:eastAsia="zh-CN"/>
                    </w:rPr>
                  </w:pPr>
                  <w:r>
                    <w:rPr>
                      <w:rFonts w:hint="eastAsia" w:ascii="宋体" w:eastAsia="宋体"/>
                      <w:color w:val="auto"/>
                      <w:sz w:val="21"/>
                      <w:szCs w:val="21"/>
                      <w:lang w:val="en-US" w:eastAsia="zh-CN"/>
                    </w:rPr>
                    <w:t>90000</w:t>
                  </w:r>
                </w:p>
              </w:tc>
            </w:tr>
          </w:tbl>
          <w:p w14:paraId="780839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color w:val="auto"/>
                <w:sz w:val="24"/>
                <w:szCs w:val="24"/>
              </w:rPr>
              <w:t>项目无组织排放卫生防护距离预测结果见下图</w:t>
            </w:r>
            <w:r>
              <w:rPr>
                <w:rFonts w:hint="eastAsia"/>
                <w:color w:val="auto"/>
                <w:sz w:val="21"/>
                <w:szCs w:val="24"/>
              </w:rPr>
              <w:t>：</w:t>
            </w:r>
            <w:r>
              <w:rPr>
                <w:color w:val="auto"/>
              </w:rPr>
              <w:drawing>
                <wp:inline distT="0" distB="0" distL="114300" distR="114300">
                  <wp:extent cx="5212080" cy="2180590"/>
                  <wp:effectExtent l="0" t="0" r="7620" b="1016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16"/>
                          <a:stretch>
                            <a:fillRect/>
                          </a:stretch>
                        </pic:blipFill>
                        <pic:spPr>
                          <a:xfrm>
                            <a:off x="0" y="0"/>
                            <a:ext cx="5212080" cy="2180590"/>
                          </a:xfrm>
                          <a:prstGeom prst="rect">
                            <a:avLst/>
                          </a:prstGeom>
                          <a:noFill/>
                          <a:ln>
                            <a:noFill/>
                          </a:ln>
                        </pic:spPr>
                      </pic:pic>
                    </a:graphicData>
                  </a:graphic>
                </wp:inline>
              </w:drawing>
            </w:r>
          </w:p>
          <w:p w14:paraId="1A5C1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rPr>
            </w:pPr>
            <w:r>
              <w:rPr>
                <w:rFonts w:hint="default" w:ascii="Times New Roman" w:hAnsi="Times New Roman" w:cs="Times New Roman"/>
                <w:b/>
                <w:color w:val="auto"/>
              </w:rPr>
              <w:t>图4-</w:t>
            </w:r>
            <w:r>
              <w:rPr>
                <w:rFonts w:hint="eastAsia" w:ascii="Times New Roman" w:hAnsi="Times New Roman" w:cs="Times New Roman"/>
                <w:b/>
                <w:color w:val="auto"/>
                <w:lang w:val="en-US" w:eastAsia="zh-CN"/>
              </w:rPr>
              <w:t>1</w:t>
            </w:r>
            <w:r>
              <w:rPr>
                <w:rFonts w:hint="default" w:ascii="Times New Roman" w:hAnsi="Times New Roman" w:cs="Times New Roman"/>
                <w:b/>
                <w:color w:val="auto"/>
              </w:rPr>
              <w:t xml:space="preserve">  项目卫生防护距离计算截图</w:t>
            </w:r>
          </w:p>
          <w:p w14:paraId="39557B78">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bCs/>
                <w:color w:val="auto"/>
                <w:lang w:val="en-US" w:eastAsia="zh-CN"/>
              </w:rPr>
            </w:pPr>
            <w:r>
              <w:rPr>
                <w:color w:val="auto"/>
              </w:rPr>
              <w:drawing>
                <wp:inline distT="0" distB="0" distL="114300" distR="114300">
                  <wp:extent cx="5210810" cy="3189605"/>
                  <wp:effectExtent l="0" t="0" r="8890" b="10795"/>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17"/>
                          <a:stretch>
                            <a:fillRect/>
                          </a:stretch>
                        </pic:blipFill>
                        <pic:spPr>
                          <a:xfrm>
                            <a:off x="0" y="0"/>
                            <a:ext cx="5210810" cy="3189605"/>
                          </a:xfrm>
                          <a:prstGeom prst="rect">
                            <a:avLst/>
                          </a:prstGeom>
                          <a:noFill/>
                          <a:ln>
                            <a:noFill/>
                          </a:ln>
                        </pic:spPr>
                      </pic:pic>
                    </a:graphicData>
                  </a:graphic>
                </wp:inline>
              </w:drawing>
            </w:r>
          </w:p>
          <w:p w14:paraId="5284D130">
            <w:pPr>
              <w:pStyle w:val="2"/>
              <w:keepNext w:val="0"/>
              <w:keepLines w:val="0"/>
              <w:pageBreakBefore w:val="0"/>
              <w:widowControl w:val="0"/>
              <w:kinsoku/>
              <w:wordWrap/>
              <w:overflowPunct/>
              <w:topLinePunct w:val="0"/>
              <w:autoSpaceDE w:val="0"/>
              <w:autoSpaceDN w:val="0"/>
              <w:bidi w:val="0"/>
              <w:adjustRightInd/>
              <w:snapToGrid/>
              <w:jc w:val="center"/>
              <w:textAlignment w:val="auto"/>
              <w:rPr>
                <w:b w:val="0"/>
                <w:bCs w:val="0"/>
                <w:color w:val="auto"/>
                <w:sz w:val="21"/>
                <w:szCs w:val="21"/>
              </w:rPr>
            </w:pPr>
            <w:r>
              <w:rPr>
                <w:rFonts w:hint="eastAsia"/>
                <w:b/>
                <w:bCs/>
                <w:color w:val="auto"/>
                <w:sz w:val="21"/>
                <w:szCs w:val="21"/>
                <w:lang w:eastAsia="zh-CN"/>
              </w:rPr>
              <w:t>图</w:t>
            </w:r>
            <w:r>
              <w:rPr>
                <w:rFonts w:hint="eastAsia"/>
                <w:b/>
                <w:bCs/>
                <w:color w:val="auto"/>
                <w:sz w:val="21"/>
                <w:szCs w:val="21"/>
                <w:lang w:val="en-US" w:eastAsia="zh-CN"/>
              </w:rPr>
              <w:t>4-2  大气环境防护距离计算截图</w:t>
            </w:r>
          </w:p>
          <w:p w14:paraId="66AB8F70">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hAnsi="宋体" w:eastAsia="宋体"/>
                <w:color w:val="auto"/>
                <w:sz w:val="24"/>
                <w:szCs w:val="24"/>
                <w:vertAlign w:val="baseline"/>
                <w:lang w:val="en-US" w:eastAsia="zh-CN"/>
              </w:rPr>
            </w:pPr>
            <w:r>
              <w:rPr>
                <w:rFonts w:hint="eastAsia" w:ascii="宋体" w:hAnsi="宋体" w:eastAsia="宋体" w:cs="宋体"/>
                <w:color w:val="auto"/>
                <w:sz w:val="24"/>
                <w:szCs w:val="24"/>
                <w:lang w:val="en-US" w:eastAsia="zh-CN"/>
              </w:rPr>
              <w:t>根据《环境影响评价技术导则 大气环境》（HJ2.2-2018）相关要求，结合大气防护距离预测软件，项目大气防护距离无超标点，无需设置大气环境防护距离。经过计算，本项目卫生防护距离确定为生产车间外50m的区域。距离项目厂界500m范围内无居民点，故项目建设符合卫生防护距离的要求。</w:t>
            </w:r>
            <w:r>
              <w:rPr>
                <w:rFonts w:hint="eastAsia" w:ascii="宋体" w:hAnsi="宋体" w:eastAsia="宋体" w:cs="宋体"/>
                <w:color w:val="auto"/>
                <w:kern w:val="0"/>
                <w:sz w:val="24"/>
                <w:szCs w:val="24"/>
                <w:lang w:bidi="ar"/>
              </w:rPr>
              <w:t>项目建成后，</w:t>
            </w:r>
            <w:r>
              <w:rPr>
                <w:rFonts w:hint="eastAsia" w:ascii="宋体" w:eastAsia="宋体"/>
                <w:color w:val="auto"/>
                <w:sz w:val="24"/>
                <w:szCs w:val="24"/>
              </w:rPr>
              <w:t>建设单位应做好大气污染物治理措施，加强管理，确保处理装置正常运行，杜绝污染物事故性排放，减小对环境的影响。因此本项目建成后，</w:t>
            </w:r>
            <w:r>
              <w:rPr>
                <w:rFonts w:hint="eastAsia" w:ascii="宋体" w:hAnsi="宋体" w:eastAsia="宋体" w:cs="宋体"/>
                <w:color w:val="auto"/>
                <w:kern w:val="0"/>
                <w:sz w:val="24"/>
                <w:szCs w:val="24"/>
                <w:lang w:bidi="ar"/>
              </w:rPr>
              <w:t>项目废气经适当的处理措施处理后，对周围环境影响不大。</w:t>
            </w:r>
          </w:p>
          <w:p w14:paraId="59044772">
            <w:pPr>
              <w:pStyle w:val="20"/>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496" w:firstLineChars="200"/>
              <w:textAlignment w:val="auto"/>
              <w:rPr>
                <w:rFonts w:hint="eastAsia" w:ascii="Times New Roman" w:hAnsi="Times New Roman" w:eastAsia="宋体" w:cs="Times New Roman"/>
                <w:b w:val="0"/>
                <w:bCs w:val="0"/>
                <w:color w:val="auto"/>
                <w:spacing w:val="4"/>
                <w:kern w:val="18"/>
                <w:sz w:val="24"/>
                <w:szCs w:val="24"/>
                <w:lang w:val="en-US" w:eastAsia="zh-CN" w:bidi="ar-SA"/>
              </w:rPr>
            </w:pPr>
            <w:r>
              <w:rPr>
                <w:rFonts w:hint="eastAsia" w:ascii="Times New Roman" w:hAnsi="Times New Roman" w:eastAsia="宋体" w:cs="Times New Roman"/>
                <w:b w:val="0"/>
                <w:bCs w:val="0"/>
                <w:color w:val="auto"/>
                <w:spacing w:val="4"/>
                <w:kern w:val="18"/>
                <w:sz w:val="24"/>
                <w:szCs w:val="24"/>
                <w:lang w:val="en-US" w:eastAsia="zh-CN" w:bidi="ar-SA"/>
              </w:rPr>
              <w:t>综上所述，项目在严格落实各项废气污染治理措施的前提下，</w:t>
            </w:r>
            <w:r>
              <w:rPr>
                <w:rFonts w:hint="eastAsia" w:eastAsia="宋体" w:cs="Times New Roman"/>
                <w:b w:val="0"/>
                <w:bCs w:val="0"/>
                <w:color w:val="auto"/>
                <w:spacing w:val="4"/>
                <w:kern w:val="18"/>
                <w:sz w:val="24"/>
                <w:szCs w:val="24"/>
                <w:lang w:val="en-US" w:eastAsia="zh-CN" w:bidi="ar-SA"/>
              </w:rPr>
              <w:t>技改</w:t>
            </w:r>
            <w:r>
              <w:rPr>
                <w:rFonts w:hint="eastAsia" w:ascii="Times New Roman" w:hAnsi="Times New Roman" w:eastAsia="宋体" w:cs="Times New Roman"/>
                <w:b w:val="0"/>
                <w:bCs w:val="0"/>
                <w:color w:val="auto"/>
                <w:spacing w:val="4"/>
                <w:kern w:val="18"/>
                <w:sz w:val="24"/>
                <w:szCs w:val="24"/>
                <w:lang w:val="en-US" w:eastAsia="zh-CN" w:bidi="ar-SA"/>
              </w:rPr>
              <w:t>后项目废气均能达标排放，对周边环境影响较小，废气排放对周边环境影响可接受。</w:t>
            </w:r>
          </w:p>
          <w:p w14:paraId="03C677BE">
            <w:pPr>
              <w:pStyle w:val="8"/>
              <w:keepNext w:val="0"/>
              <w:keepLines w:val="0"/>
              <w:pageBreakBefore w:val="0"/>
              <w:kinsoku/>
              <w:wordWrap/>
              <w:overflowPunct/>
              <w:topLinePunct w:val="0"/>
              <w:bidi w:val="0"/>
              <w:spacing w:before="0" w:after="0" w:line="360" w:lineRule="auto"/>
              <w:ind w:right="0" w:firstLine="482" w:firstLineChars="200"/>
              <w:textAlignment w:val="auto"/>
              <w:rPr>
                <w:rFonts w:hint="default"/>
                <w:color w:val="auto"/>
                <w:sz w:val="24"/>
                <w:szCs w:val="24"/>
                <w:lang w:bidi="ar"/>
              </w:rPr>
            </w:pPr>
            <w:r>
              <w:rPr>
                <w:rFonts w:hint="eastAsia" w:ascii="宋体" w:hAnsi="宋体" w:eastAsia="宋体" w:cs="宋体"/>
                <w:b/>
                <w:color w:val="auto"/>
                <w:sz w:val="24"/>
                <w:szCs w:val="24"/>
              </w:rPr>
              <w:t>二、废水</w:t>
            </w:r>
          </w:p>
          <w:p w14:paraId="3E6B0E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96" w:firstLineChars="200"/>
              <w:textAlignment w:val="auto"/>
              <w:rPr>
                <w:rFonts w:hint="eastAsia" w:ascii="Times New Roman" w:hAnsi="Times New Roman" w:eastAsia="宋体" w:cs="Times New Roman"/>
                <w:color w:val="auto"/>
                <w:sz w:val="24"/>
                <w:szCs w:val="24"/>
                <w:lang w:val="en-US" w:eastAsia="zh-CN"/>
              </w:rPr>
            </w:pPr>
            <w:r>
              <w:rPr>
                <w:rFonts w:hint="eastAsia" w:cs="Times New Roman"/>
                <w:b w:val="0"/>
                <w:bCs w:val="0"/>
                <w:color w:val="auto"/>
                <w:spacing w:val="4"/>
                <w:kern w:val="18"/>
                <w:sz w:val="24"/>
                <w:szCs w:val="24"/>
                <w:lang w:val="en-US" w:eastAsia="zh-CN" w:bidi="ar-SA"/>
              </w:rPr>
              <w:t>1、源强核算：</w:t>
            </w:r>
          </w:p>
          <w:p w14:paraId="4AB0C6A5">
            <w:pPr>
              <w:pStyle w:val="91"/>
              <w:ind w:firstLine="480"/>
              <w:rPr>
                <w:color w:val="auto"/>
              </w:rPr>
            </w:pPr>
            <w:r>
              <w:rPr>
                <w:rFonts w:hint="eastAsia"/>
                <w:color w:val="auto"/>
              </w:rPr>
              <w:t>本项目废水主要是生活污水、循环冷却水排水和清洗废水。其中循环冷却水排水为清净下水，直接回用于清洗工序；清洗废水经厂内一体化污水处理站处理后部分回用于清洗工序，其他部分经管网进入</w:t>
            </w:r>
            <w:r>
              <w:rPr>
                <w:rFonts w:hint="default" w:ascii="Times New Roman" w:hAnsi="Times New Roman" w:cs="Times New Roman"/>
                <w:color w:val="auto"/>
                <w:sz w:val="24"/>
                <w:szCs w:val="24"/>
                <w:lang w:eastAsia="zh-CN"/>
              </w:rPr>
              <w:t>星火工业园污水处理厂</w:t>
            </w:r>
            <w:r>
              <w:rPr>
                <w:rFonts w:hint="eastAsia"/>
                <w:color w:val="auto"/>
              </w:rPr>
              <w:t>进一步处理；生活污水经化粪池处理后进入</w:t>
            </w:r>
            <w:r>
              <w:rPr>
                <w:rFonts w:hint="default" w:ascii="Times New Roman" w:hAnsi="Times New Roman" w:cs="Times New Roman"/>
                <w:color w:val="auto"/>
                <w:sz w:val="24"/>
                <w:szCs w:val="24"/>
                <w:lang w:eastAsia="zh-CN"/>
              </w:rPr>
              <w:t>星火工业园污水处理厂</w:t>
            </w:r>
            <w:r>
              <w:rPr>
                <w:rFonts w:hint="eastAsia"/>
                <w:color w:val="auto"/>
              </w:rPr>
              <w:t>进一步处理。</w:t>
            </w:r>
          </w:p>
          <w:p w14:paraId="4D9386F4">
            <w:pPr>
              <w:pStyle w:val="91"/>
              <w:ind w:firstLine="480"/>
              <w:rPr>
                <w:color w:val="auto"/>
              </w:rPr>
            </w:pPr>
            <w:r>
              <w:rPr>
                <w:rFonts w:hint="eastAsia"/>
                <w:color w:val="auto"/>
              </w:rPr>
              <w:t>（1）生活污水</w:t>
            </w:r>
          </w:p>
          <w:p w14:paraId="74C08EF7">
            <w:pPr>
              <w:pStyle w:val="91"/>
              <w:ind w:firstLine="480"/>
              <w:rPr>
                <w:rFonts w:hint="default" w:ascii="Times New Roman" w:hAnsi="Times New Roman" w:eastAsia="宋体" w:cs="Times New Roman"/>
                <w:color w:val="auto"/>
                <w:kern w:val="0"/>
                <w:sz w:val="24"/>
                <w:szCs w:val="24"/>
              </w:rPr>
            </w:pPr>
            <w:r>
              <w:rPr>
                <w:rFonts w:hAnsi="宋体"/>
                <w:color w:val="auto"/>
                <w:sz w:val="24"/>
              </w:rPr>
              <w:t>项目员工共</w:t>
            </w:r>
            <w:r>
              <w:rPr>
                <w:rFonts w:hint="eastAsia"/>
                <w:color w:val="auto"/>
                <w:sz w:val="24"/>
              </w:rPr>
              <w:t>10</w:t>
            </w:r>
            <w:r>
              <w:rPr>
                <w:rFonts w:hAnsi="宋体"/>
                <w:color w:val="auto"/>
                <w:sz w:val="24"/>
              </w:rPr>
              <w:t>人，年生产</w:t>
            </w:r>
            <w:r>
              <w:rPr>
                <w:rFonts w:hint="eastAsia" w:hAnsi="宋体"/>
                <w:color w:val="auto"/>
                <w:sz w:val="24"/>
              </w:rPr>
              <w:t>300天</w:t>
            </w:r>
            <w:r>
              <w:rPr>
                <w:rFonts w:hint="eastAsia"/>
                <w:color w:val="auto"/>
                <w:sz w:val="24"/>
              </w:rPr>
              <w:t>，用水量按100L/天计，</w:t>
            </w:r>
            <w:r>
              <w:rPr>
                <w:rFonts w:hAnsi="宋体"/>
                <w:color w:val="auto"/>
                <w:sz w:val="24"/>
              </w:rPr>
              <w:t>则项目</w:t>
            </w:r>
            <w:r>
              <w:rPr>
                <w:rFonts w:hint="eastAsia" w:hAnsi="宋体"/>
                <w:color w:val="auto"/>
                <w:sz w:val="24"/>
              </w:rPr>
              <w:t>生活</w:t>
            </w:r>
            <w:r>
              <w:rPr>
                <w:rFonts w:hAnsi="宋体"/>
                <w:color w:val="auto"/>
                <w:sz w:val="24"/>
              </w:rPr>
              <w:t>用水量为</w:t>
            </w:r>
            <w:r>
              <w:rPr>
                <w:rFonts w:hint="eastAsia"/>
                <w:color w:val="auto"/>
                <w:sz w:val="24"/>
              </w:rPr>
              <w:t>1</w:t>
            </w:r>
            <w:r>
              <w:rPr>
                <w:color w:val="auto"/>
                <w:sz w:val="24"/>
                <w:lang w:val="en-GB"/>
              </w:rPr>
              <w:t>m</w:t>
            </w:r>
            <w:r>
              <w:rPr>
                <w:color w:val="auto"/>
                <w:sz w:val="24"/>
                <w:vertAlign w:val="superscript"/>
                <w:lang w:val="en-GB"/>
              </w:rPr>
              <w:t>3</w:t>
            </w:r>
            <w:r>
              <w:rPr>
                <w:color w:val="auto"/>
                <w:sz w:val="24"/>
                <w:lang w:val="en-GB"/>
              </w:rPr>
              <w:t>/d</w:t>
            </w:r>
            <w:r>
              <w:rPr>
                <w:rFonts w:hAnsi="宋体"/>
                <w:color w:val="auto"/>
                <w:sz w:val="24"/>
              </w:rPr>
              <w:t>，</w:t>
            </w:r>
            <w:r>
              <w:rPr>
                <w:rFonts w:hint="eastAsia"/>
                <w:color w:val="auto"/>
                <w:sz w:val="24"/>
              </w:rPr>
              <w:t>300</w:t>
            </w:r>
            <w:r>
              <w:rPr>
                <w:color w:val="auto"/>
                <w:sz w:val="24"/>
                <w:lang w:val="en-GB"/>
              </w:rPr>
              <w:t>m</w:t>
            </w:r>
            <w:r>
              <w:rPr>
                <w:color w:val="auto"/>
                <w:sz w:val="24"/>
                <w:vertAlign w:val="superscript"/>
                <w:lang w:val="en-GB"/>
              </w:rPr>
              <w:t>3</w:t>
            </w:r>
            <w:r>
              <w:rPr>
                <w:color w:val="auto"/>
                <w:sz w:val="24"/>
                <w:lang w:val="en-GB"/>
              </w:rPr>
              <w:t>/a</w:t>
            </w:r>
            <w:r>
              <w:rPr>
                <w:rFonts w:hAnsi="宋体"/>
                <w:color w:val="auto"/>
                <w:sz w:val="24"/>
              </w:rPr>
              <w:t>。</w:t>
            </w:r>
            <w:r>
              <w:rPr>
                <w:rFonts w:hAnsi="宋体"/>
                <w:color w:val="auto"/>
                <w:sz w:val="24"/>
                <w:lang w:val="en-GB"/>
              </w:rPr>
              <w:t>排水量以生活用水量的</w:t>
            </w:r>
            <w:r>
              <w:rPr>
                <w:rFonts w:hint="eastAsia"/>
                <w:color w:val="auto"/>
                <w:sz w:val="24"/>
                <w:lang w:val="en-GB"/>
              </w:rPr>
              <w:t>8</w:t>
            </w:r>
            <w:r>
              <w:rPr>
                <w:rFonts w:hint="eastAsia"/>
                <w:color w:val="auto"/>
                <w:sz w:val="24"/>
              </w:rPr>
              <w:t>0</w:t>
            </w:r>
            <w:r>
              <w:rPr>
                <w:color w:val="auto"/>
                <w:sz w:val="24"/>
                <w:lang w:val="en-GB"/>
              </w:rPr>
              <w:t>%</w:t>
            </w:r>
            <w:r>
              <w:rPr>
                <w:rFonts w:hAnsi="宋体"/>
                <w:color w:val="auto"/>
                <w:sz w:val="24"/>
                <w:lang w:val="en-GB"/>
              </w:rPr>
              <w:t>计，则生活污水产生量约为</w:t>
            </w:r>
            <w:r>
              <w:rPr>
                <w:rFonts w:hint="eastAsia"/>
                <w:color w:val="auto"/>
                <w:sz w:val="24"/>
              </w:rPr>
              <w:t>0.8</w:t>
            </w:r>
            <w:r>
              <w:rPr>
                <w:color w:val="auto"/>
                <w:sz w:val="24"/>
                <w:lang w:val="en-GB"/>
              </w:rPr>
              <w:t>m</w:t>
            </w:r>
            <w:r>
              <w:rPr>
                <w:color w:val="auto"/>
                <w:sz w:val="24"/>
                <w:vertAlign w:val="superscript"/>
                <w:lang w:val="en-GB"/>
              </w:rPr>
              <w:t>3</w:t>
            </w:r>
            <w:r>
              <w:rPr>
                <w:color w:val="auto"/>
                <w:sz w:val="24"/>
                <w:lang w:val="en-GB"/>
              </w:rPr>
              <w:t>/d</w:t>
            </w:r>
            <w:r>
              <w:rPr>
                <w:rFonts w:hAnsi="宋体"/>
                <w:color w:val="auto"/>
                <w:sz w:val="24"/>
                <w:lang w:val="en-GB"/>
              </w:rPr>
              <w:t>，</w:t>
            </w:r>
            <w:r>
              <w:rPr>
                <w:rFonts w:hint="eastAsia" w:hAnsi="宋体"/>
                <w:color w:val="auto"/>
                <w:sz w:val="24"/>
              </w:rPr>
              <w:t>240</w:t>
            </w:r>
            <w:r>
              <w:rPr>
                <w:color w:val="auto"/>
                <w:sz w:val="24"/>
                <w:lang w:val="en-GB"/>
              </w:rPr>
              <w:t>m</w:t>
            </w:r>
            <w:r>
              <w:rPr>
                <w:color w:val="auto"/>
                <w:sz w:val="24"/>
                <w:vertAlign w:val="superscript"/>
                <w:lang w:val="en-GB"/>
              </w:rPr>
              <w:t>3</w:t>
            </w:r>
            <w:r>
              <w:rPr>
                <w:color w:val="auto"/>
                <w:sz w:val="24"/>
                <w:lang w:val="en-GB"/>
              </w:rPr>
              <w:t>/a</w:t>
            </w:r>
            <w:r>
              <w:rPr>
                <w:rFonts w:hint="eastAsia"/>
                <w:color w:val="auto"/>
              </w:rPr>
              <w:t>。</w:t>
            </w:r>
            <w:r>
              <w:rPr>
                <w:rFonts w:hint="default" w:ascii="Times New Roman" w:hAnsi="Times New Roman" w:eastAsia="宋体" w:cs="Times New Roman"/>
                <w:color w:val="auto"/>
                <w:sz w:val="24"/>
                <w:highlight w:val="none"/>
              </w:rPr>
              <w:t>生活污水污染物因子浓度为COD</w:t>
            </w:r>
            <w:r>
              <w:rPr>
                <w:rFonts w:hint="default" w:ascii="Times New Roman" w:hAnsi="Times New Roman" w:eastAsia="宋体" w:cs="Times New Roman"/>
                <w:color w:val="auto"/>
                <w:sz w:val="24"/>
                <w:highlight w:val="none"/>
                <w:vertAlign w:val="subscript"/>
              </w:rPr>
              <w:t>Cr</w:t>
            </w:r>
            <w:r>
              <w:rPr>
                <w:rFonts w:hint="default" w:ascii="Times New Roman" w:hAnsi="Times New Roman" w:eastAsia="宋体" w:cs="Times New Roman"/>
                <w:color w:val="auto"/>
                <w:sz w:val="24"/>
                <w:highlight w:val="none"/>
                <w:lang w:val="en-GB"/>
              </w:rPr>
              <w:t>2</w:t>
            </w:r>
            <w:r>
              <w:rPr>
                <w:rFonts w:hint="eastAsia"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GB"/>
              </w:rPr>
              <w:t>0</w:t>
            </w:r>
            <w:r>
              <w:rPr>
                <w:rFonts w:hint="default" w:ascii="Times New Roman" w:hAnsi="Times New Roman" w:eastAsia="宋体" w:cs="Times New Roman"/>
                <w:color w:val="auto"/>
                <w:sz w:val="24"/>
                <w:highlight w:val="none"/>
              </w:rPr>
              <w:t>mg/L、BOD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1</w:t>
            </w:r>
            <w:r>
              <w:rPr>
                <w:rFonts w:hint="eastAsia"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0mg/L、SS</w:t>
            </w:r>
            <w:r>
              <w:rPr>
                <w:rFonts w:hint="eastAsia"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0mg/L、氨氮</w:t>
            </w:r>
            <w:r>
              <w:rPr>
                <w:rFonts w:hint="eastAsia"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、总磷</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mg/L</w:t>
            </w:r>
            <w:r>
              <w:rPr>
                <w:rFonts w:hint="eastAsia" w:eastAsia="宋体" w:cs="Times New Roman"/>
                <w:color w:val="auto"/>
                <w:sz w:val="24"/>
                <w:highlight w:val="none"/>
                <w:lang w:eastAsia="zh-CN"/>
              </w:rPr>
              <w:t>、总氮</w:t>
            </w:r>
            <w:r>
              <w:rPr>
                <w:rFonts w:hint="eastAsia" w:eastAsia="宋体" w:cs="Times New Roman"/>
                <w:color w:val="auto"/>
                <w:sz w:val="24"/>
                <w:highlight w:val="none"/>
                <w:lang w:val="en-US" w:eastAsia="zh-CN"/>
              </w:rPr>
              <w:t>50</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GB"/>
              </w:rPr>
              <w:t>项目生活污水通过化粪池预处理后</w:t>
            </w:r>
            <w:r>
              <w:rPr>
                <w:rFonts w:hint="default" w:ascii="Times New Roman" w:hAnsi="Times New Roman" w:eastAsia="宋体" w:cs="Times New Roman"/>
                <w:color w:val="auto"/>
                <w:sz w:val="24"/>
                <w:szCs w:val="24"/>
                <w:highlight w:val="none"/>
                <w:lang w:eastAsia="zh-CN"/>
              </w:rPr>
              <w:t>通过</w:t>
            </w:r>
            <w:r>
              <w:rPr>
                <w:rFonts w:hint="default" w:ascii="Times New Roman" w:hAnsi="Times New Roman" w:eastAsia="宋体" w:cs="Times New Roman"/>
                <w:color w:val="auto"/>
                <w:sz w:val="24"/>
                <w:szCs w:val="24"/>
                <w:highlight w:val="none"/>
              </w:rPr>
              <w:t>园区管网排入污水处理厂</w:t>
            </w:r>
            <w:r>
              <w:rPr>
                <w:rFonts w:hint="default" w:ascii="Times New Roman" w:hAnsi="Times New Roman" w:eastAsia="宋体" w:cs="Times New Roman"/>
                <w:color w:val="auto"/>
                <w:kern w:val="0"/>
                <w:sz w:val="24"/>
                <w:szCs w:val="24"/>
              </w:rPr>
              <w:t>。</w:t>
            </w:r>
          </w:p>
          <w:p w14:paraId="12852EB3">
            <w:pPr>
              <w:pStyle w:val="91"/>
              <w:ind w:firstLine="480"/>
              <w:rPr>
                <w:color w:val="auto"/>
              </w:rPr>
            </w:pPr>
            <w:r>
              <w:rPr>
                <w:rFonts w:hint="eastAsia"/>
                <w:color w:val="auto"/>
              </w:rPr>
              <w:t>（2）循环冷却水排水</w:t>
            </w:r>
          </w:p>
          <w:p w14:paraId="1AEF0A9B">
            <w:pPr>
              <w:pStyle w:val="91"/>
              <w:ind w:firstLine="480"/>
              <w:rPr>
                <w:color w:val="auto"/>
              </w:rPr>
            </w:pPr>
            <w:r>
              <w:rPr>
                <w:rFonts w:hint="eastAsia"/>
                <w:color w:val="auto"/>
              </w:rPr>
              <w:t>挤出后的塑料条需浸入到冷却水槽中，采用直接冷却法使温度逐渐下降。水与塑料条不发生化学反应，仅会挥发散失，需定期补充。冷却水使用一段时间后需更换新鲜水，更换出的循环冷却水排水为清净下水，直接用于清洗工序。本项目设计</w:t>
            </w:r>
            <w:r>
              <w:rPr>
                <w:rFonts w:hint="eastAsia" w:eastAsia="宋体"/>
                <w:color w:val="auto"/>
                <w:lang w:val="en-US" w:eastAsia="zh-CN"/>
              </w:rPr>
              <w:t>1</w:t>
            </w:r>
            <w:r>
              <w:rPr>
                <w:rFonts w:hint="eastAsia"/>
                <w:color w:val="auto"/>
              </w:rPr>
              <w:t>2个冷却水槽，</w:t>
            </w:r>
            <w:r>
              <w:rPr>
                <w:rFonts w:hAnsi="宋体"/>
                <w:color w:val="auto"/>
                <w:sz w:val="24"/>
              </w:rPr>
              <w:t>每条生产线的冷却水槽容量</w:t>
            </w:r>
            <w:r>
              <w:rPr>
                <w:rFonts w:hint="eastAsia"/>
                <w:color w:val="auto"/>
                <w:sz w:val="24"/>
              </w:rPr>
              <w:t>0.5</w:t>
            </w:r>
            <w:r>
              <w:rPr>
                <w:color w:val="auto"/>
                <w:sz w:val="24"/>
              </w:rPr>
              <w:t>m</w:t>
            </w:r>
            <w:r>
              <w:rPr>
                <w:color w:val="auto"/>
                <w:sz w:val="24"/>
                <w:vertAlign w:val="superscript"/>
              </w:rPr>
              <w:t>3</w:t>
            </w:r>
            <w:r>
              <w:rPr>
                <w:rFonts w:hint="eastAsia"/>
                <w:color w:val="auto"/>
              </w:rPr>
              <w:t>，每天补充因蒸发、物料带走等因素损耗的水，损耗量按</w:t>
            </w:r>
            <w:r>
              <w:rPr>
                <w:rFonts w:hint="eastAsia" w:eastAsia="宋体"/>
                <w:color w:val="auto"/>
                <w:lang w:val="en-US" w:eastAsia="zh-CN"/>
              </w:rPr>
              <w:t>10</w:t>
            </w:r>
            <w:r>
              <w:rPr>
                <w:rFonts w:hint="eastAsia"/>
                <w:color w:val="auto"/>
              </w:rPr>
              <w:t>%计，水槽每</w:t>
            </w:r>
            <w:r>
              <w:rPr>
                <w:rFonts w:hint="eastAsia" w:eastAsia="宋体"/>
                <w:color w:val="auto"/>
                <w:lang w:val="en-US" w:eastAsia="zh-CN"/>
              </w:rPr>
              <w:t>月</w:t>
            </w:r>
            <w:r>
              <w:rPr>
                <w:rFonts w:hint="eastAsia"/>
                <w:color w:val="auto"/>
              </w:rPr>
              <w:t>更换</w:t>
            </w:r>
            <w:r>
              <w:rPr>
                <w:rFonts w:hint="eastAsia" w:eastAsia="宋体"/>
                <w:color w:val="auto"/>
                <w:lang w:val="en-US" w:eastAsia="zh-CN"/>
              </w:rPr>
              <w:t>2</w:t>
            </w:r>
            <w:r>
              <w:rPr>
                <w:rFonts w:hint="eastAsia"/>
                <w:color w:val="auto"/>
              </w:rPr>
              <w:t>次新鲜水，则循环冷却水排水产生量为0.</w:t>
            </w:r>
            <w:r>
              <w:rPr>
                <w:rFonts w:hint="eastAsia" w:eastAsia="宋体"/>
                <w:color w:val="auto"/>
                <w:lang w:val="en-US" w:eastAsia="zh-CN"/>
              </w:rPr>
              <w:t>48</w:t>
            </w:r>
            <w:r>
              <w:rPr>
                <w:rFonts w:hint="eastAsia"/>
                <w:color w:val="auto"/>
              </w:rPr>
              <w:t>m</w:t>
            </w:r>
            <w:r>
              <w:rPr>
                <w:rFonts w:hint="eastAsia"/>
                <w:color w:val="auto"/>
                <w:vertAlign w:val="superscript"/>
              </w:rPr>
              <w:t>3</w:t>
            </w:r>
            <w:r>
              <w:rPr>
                <w:rFonts w:hint="eastAsia"/>
                <w:color w:val="auto"/>
              </w:rPr>
              <w:t>/d（</w:t>
            </w:r>
            <w:r>
              <w:rPr>
                <w:rFonts w:hint="eastAsia" w:eastAsia="宋体"/>
                <w:color w:val="auto"/>
                <w:lang w:val="en-US" w:eastAsia="zh-CN"/>
              </w:rPr>
              <w:t>144</w:t>
            </w:r>
            <w:r>
              <w:rPr>
                <w:rFonts w:hint="eastAsia"/>
                <w:color w:val="auto"/>
              </w:rPr>
              <w:t>m</w:t>
            </w:r>
            <w:r>
              <w:rPr>
                <w:rFonts w:hint="eastAsia"/>
                <w:color w:val="auto"/>
                <w:vertAlign w:val="superscript"/>
              </w:rPr>
              <w:t>3</w:t>
            </w:r>
            <w:r>
              <w:rPr>
                <w:rFonts w:hint="eastAsia"/>
                <w:color w:val="auto"/>
              </w:rPr>
              <w:t>/a）。</w:t>
            </w:r>
          </w:p>
          <w:p w14:paraId="7EBCDBD9">
            <w:pPr>
              <w:pStyle w:val="91"/>
              <w:ind w:firstLine="480"/>
              <w:rPr>
                <w:color w:val="auto"/>
              </w:rPr>
            </w:pPr>
            <w:r>
              <w:rPr>
                <w:rFonts w:hint="eastAsia"/>
                <w:color w:val="auto"/>
              </w:rPr>
              <w:t>（3）清洗废水</w:t>
            </w:r>
          </w:p>
          <w:p w14:paraId="67D3EF8B">
            <w:pPr>
              <w:pStyle w:val="91"/>
              <w:ind w:firstLine="480"/>
              <w:rPr>
                <w:rFonts w:hint="eastAsia" w:eastAsia="宋体"/>
                <w:color w:val="auto"/>
                <w:lang w:eastAsia="zh-CN"/>
              </w:rPr>
            </w:pPr>
            <w:r>
              <w:rPr>
                <w:rFonts w:hint="eastAsia"/>
                <w:color w:val="auto"/>
              </w:rPr>
              <w:t>本项目原料表面附着物主要为</w:t>
            </w:r>
            <w:r>
              <w:rPr>
                <w:rFonts w:hint="eastAsia" w:eastAsia="宋体"/>
                <w:color w:val="auto"/>
                <w:lang w:val="en-US" w:eastAsia="zh-CN"/>
              </w:rPr>
              <w:t>尘</w:t>
            </w:r>
            <w:r>
              <w:rPr>
                <w:rFonts w:hint="eastAsia"/>
                <w:color w:val="auto"/>
              </w:rPr>
              <w:t>土，附着物较少且极易清洗，故原料入厂后不需化学清洗，只需简单使用水进行清洗，清洗后进行甩干，清洗目的是为了去除物料表面附着的杂质，清洗过程中需定时补充蒸发及产品带走的水分，保持清洗水槽内的水位。根据《排放源统计调查产排污核算方法和系数手册》中42废弃资源综合利用行业系数手册，“4220非金属废料和碎屑加工处理行业系数表”：废PE/PP</w:t>
            </w:r>
            <w:r>
              <w:rPr>
                <w:rFonts w:hint="eastAsia" w:eastAsia="宋体"/>
                <w:color w:val="auto"/>
                <w:lang w:val="en-US" w:eastAsia="zh-CN"/>
              </w:rPr>
              <w:t>/ABS</w:t>
            </w:r>
            <w:r>
              <w:rPr>
                <w:rFonts w:hint="eastAsia"/>
                <w:color w:val="auto"/>
              </w:rPr>
              <w:t>原料再生塑料粒子产品中湿法破碎+清洗工艺的工业废水产污系数按1.0吨/吨-原料，项目废塑料原料消耗量为</w:t>
            </w:r>
            <w:r>
              <w:rPr>
                <w:rFonts w:hint="eastAsia" w:eastAsia="宋体"/>
                <w:color w:val="auto"/>
                <w:lang w:val="en-US" w:eastAsia="zh-CN"/>
              </w:rPr>
              <w:t>12</w:t>
            </w:r>
            <w:r>
              <w:rPr>
                <w:rFonts w:hint="eastAsia"/>
                <w:color w:val="auto"/>
              </w:rPr>
              <w:t>500t/a，则废水产生量为</w:t>
            </w:r>
            <w:r>
              <w:rPr>
                <w:rFonts w:hint="eastAsia" w:eastAsia="宋体"/>
                <w:color w:val="auto"/>
                <w:lang w:val="en-US" w:eastAsia="zh-CN"/>
              </w:rPr>
              <w:t>12</w:t>
            </w:r>
            <w:r>
              <w:rPr>
                <w:rFonts w:hint="eastAsia"/>
                <w:color w:val="auto"/>
              </w:rPr>
              <w:t>500t/a</w:t>
            </w:r>
            <w:r>
              <w:rPr>
                <w:rFonts w:hint="eastAsia" w:hAnsi="宋体"/>
                <w:bCs/>
                <w:color w:val="auto"/>
                <w:sz w:val="24"/>
              </w:rPr>
              <w:t>（</w:t>
            </w:r>
            <w:r>
              <w:rPr>
                <w:rFonts w:hint="eastAsia" w:hAnsi="宋体" w:eastAsia="宋体"/>
                <w:bCs/>
                <w:color w:val="auto"/>
                <w:sz w:val="24"/>
                <w:lang w:val="en-US" w:eastAsia="zh-CN"/>
              </w:rPr>
              <w:t>41.667</w:t>
            </w:r>
            <w:r>
              <w:rPr>
                <w:rFonts w:hint="eastAsia" w:hAnsi="宋体"/>
                <w:bCs/>
                <w:color w:val="auto"/>
                <w:sz w:val="24"/>
              </w:rPr>
              <w:t>t/d）</w:t>
            </w:r>
            <w:r>
              <w:rPr>
                <w:rFonts w:hint="eastAsia" w:eastAsia="宋体"/>
                <w:color w:val="auto"/>
                <w:lang w:eastAsia="zh-CN"/>
              </w:rPr>
              <w:t>；</w:t>
            </w:r>
            <w:r>
              <w:rPr>
                <w:rFonts w:hint="eastAsia" w:hAnsi="宋体"/>
                <w:bCs/>
                <w:color w:val="auto"/>
                <w:sz w:val="24"/>
              </w:rPr>
              <w:t>损耗率约为</w:t>
            </w:r>
            <w:r>
              <w:rPr>
                <w:rFonts w:hint="eastAsia" w:hAnsi="宋体" w:eastAsia="宋体"/>
                <w:bCs/>
                <w:color w:val="auto"/>
                <w:sz w:val="24"/>
                <w:lang w:val="en-US" w:eastAsia="zh-CN"/>
              </w:rPr>
              <w:t>5</w:t>
            </w:r>
            <w:r>
              <w:rPr>
                <w:rFonts w:hint="eastAsia" w:hAnsi="宋体"/>
                <w:bCs/>
                <w:color w:val="auto"/>
                <w:sz w:val="24"/>
              </w:rPr>
              <w:t>%，损耗水量</w:t>
            </w:r>
            <w:r>
              <w:rPr>
                <w:rFonts w:hint="eastAsia"/>
                <w:color w:val="auto"/>
                <w:sz w:val="24"/>
                <w:lang w:eastAsia="zh-CN"/>
              </w:rPr>
              <w:t>约</w:t>
            </w:r>
            <w:r>
              <w:rPr>
                <w:rFonts w:hint="eastAsia" w:hAnsi="宋体"/>
                <w:bCs/>
                <w:color w:val="auto"/>
                <w:sz w:val="24"/>
              </w:rPr>
              <w:t>为</w:t>
            </w:r>
            <w:r>
              <w:rPr>
                <w:rFonts w:hint="eastAsia" w:hAnsi="宋体" w:eastAsia="宋体"/>
                <w:bCs/>
                <w:color w:val="auto"/>
                <w:sz w:val="24"/>
                <w:lang w:val="en-US" w:eastAsia="zh-CN"/>
              </w:rPr>
              <w:t>658</w:t>
            </w:r>
            <w:r>
              <w:rPr>
                <w:rFonts w:hint="eastAsia" w:hAnsi="宋体"/>
                <w:bCs/>
                <w:color w:val="auto"/>
                <w:sz w:val="24"/>
              </w:rPr>
              <w:t>t/a（</w:t>
            </w:r>
            <w:r>
              <w:rPr>
                <w:rFonts w:hint="eastAsia" w:hAnsi="宋体" w:eastAsia="宋体"/>
                <w:bCs/>
                <w:color w:val="auto"/>
                <w:sz w:val="24"/>
                <w:lang w:val="en-US" w:eastAsia="zh-CN"/>
              </w:rPr>
              <w:t>2.193</w:t>
            </w:r>
            <w:r>
              <w:rPr>
                <w:rFonts w:hint="eastAsia" w:hAnsi="宋体"/>
                <w:bCs/>
                <w:color w:val="auto"/>
                <w:sz w:val="24"/>
              </w:rPr>
              <w:t>t/d）</w:t>
            </w:r>
            <w:r>
              <w:rPr>
                <w:color w:val="auto"/>
                <w:sz w:val="24"/>
              </w:rPr>
              <w:t>，则需要补充新鲜水量为</w:t>
            </w:r>
            <w:r>
              <w:rPr>
                <w:rFonts w:hint="eastAsia" w:hAnsi="宋体" w:eastAsia="宋体"/>
                <w:bCs/>
                <w:color w:val="auto"/>
                <w:sz w:val="24"/>
                <w:lang w:val="en-US" w:eastAsia="zh-CN"/>
              </w:rPr>
              <w:t>658</w:t>
            </w:r>
            <w:r>
              <w:rPr>
                <w:rFonts w:hint="eastAsia" w:hAnsi="宋体"/>
                <w:bCs/>
                <w:color w:val="auto"/>
                <w:sz w:val="24"/>
              </w:rPr>
              <w:t>t/a（</w:t>
            </w:r>
            <w:r>
              <w:rPr>
                <w:rFonts w:hint="eastAsia" w:hAnsi="宋体" w:eastAsia="宋体"/>
                <w:bCs/>
                <w:color w:val="auto"/>
                <w:sz w:val="24"/>
                <w:lang w:val="en-US" w:eastAsia="zh-CN"/>
              </w:rPr>
              <w:t>2.193</w:t>
            </w:r>
            <w:r>
              <w:rPr>
                <w:rFonts w:hint="eastAsia" w:hAnsi="宋体"/>
                <w:bCs/>
                <w:color w:val="auto"/>
                <w:sz w:val="24"/>
              </w:rPr>
              <w:t>t/d）</w:t>
            </w:r>
            <w:r>
              <w:rPr>
                <w:color w:val="auto"/>
                <w:sz w:val="24"/>
              </w:rPr>
              <w:t>。</w:t>
            </w:r>
            <w:r>
              <w:rPr>
                <w:rFonts w:hint="eastAsia" w:ascii="宋体" w:hAnsi="宋体" w:cs="宋体"/>
                <w:color w:val="auto"/>
                <w:sz w:val="24"/>
                <w:szCs w:val="24"/>
                <w:lang w:eastAsia="zh-CN"/>
              </w:rPr>
              <w:t>根据建设单位提供</w:t>
            </w:r>
            <w:r>
              <w:rPr>
                <w:rFonts w:hint="eastAsia" w:ascii="宋体" w:hAnsi="宋体" w:cs="宋体"/>
                <w:color w:val="auto"/>
                <w:sz w:val="24"/>
                <w:szCs w:val="24"/>
                <w:lang w:val="en-US" w:eastAsia="zh-CN"/>
              </w:rPr>
              <w:t>资料</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lang w:val="en-US" w:eastAsia="zh-CN"/>
              </w:rPr>
              <w:t>清洗</w:t>
            </w:r>
            <w:r>
              <w:rPr>
                <w:rFonts w:hint="eastAsia" w:ascii="宋体" w:hAnsi="宋体" w:eastAsia="宋体" w:cs="宋体"/>
                <w:color w:val="auto"/>
                <w:sz w:val="24"/>
                <w:szCs w:val="24"/>
                <w:lang w:eastAsia="zh-CN"/>
              </w:rPr>
              <w:t>废水通过</w:t>
            </w:r>
            <w:r>
              <w:rPr>
                <w:rFonts w:hint="eastAsia" w:ascii="宋体" w:hAnsi="宋体" w:eastAsia="宋体" w:cs="宋体"/>
                <w:color w:val="auto"/>
                <w:sz w:val="24"/>
                <w:szCs w:val="24"/>
              </w:rPr>
              <w:t>自建污水处理</w:t>
            </w:r>
            <w:r>
              <w:rPr>
                <w:rFonts w:hint="eastAsia" w:ascii="宋体" w:hAnsi="宋体" w:eastAsia="宋体" w:cs="宋体"/>
                <w:color w:val="auto"/>
                <w:sz w:val="24"/>
                <w:szCs w:val="24"/>
                <w:lang w:eastAsia="zh-CN"/>
              </w:rPr>
              <w:t>回用设施</w:t>
            </w:r>
            <w:r>
              <w:rPr>
                <w:rFonts w:hint="eastAsia" w:ascii="宋体" w:hAnsi="宋体" w:eastAsia="宋体" w:cs="宋体"/>
                <w:color w:val="auto"/>
                <w:sz w:val="24"/>
                <w:szCs w:val="24"/>
              </w:rPr>
              <w:t>“预处理+物化沉淀”（</w:t>
            </w:r>
            <w:r>
              <w:rPr>
                <w:rFonts w:ascii="宋体" w:hAnsi="宋体" w:eastAsia="宋体" w:cs="宋体"/>
                <w:color w:val="auto"/>
                <w:sz w:val="24"/>
                <w:szCs w:val="24"/>
              </w:rPr>
              <w:t>主要工艺为</w:t>
            </w:r>
            <w:r>
              <w:rPr>
                <w:rFonts w:hint="eastAsia" w:ascii="宋体" w:hAnsi="宋体" w:eastAsia="宋体" w:cs="宋体"/>
                <w:color w:val="auto"/>
                <w:sz w:val="24"/>
                <w:szCs w:val="24"/>
              </w:rPr>
              <w:t>格栅+调节池+初沉池+絮凝沉淀池+二沉池+回用水池）处理后</w:t>
            </w:r>
            <w:r>
              <w:rPr>
                <w:rFonts w:hint="eastAsia" w:ascii="宋体" w:hAnsi="宋体" w:eastAsia="宋体" w:cs="宋体"/>
                <w:color w:val="auto"/>
                <w:sz w:val="24"/>
                <w:szCs w:val="24"/>
                <w:lang w:eastAsia="zh-CN"/>
              </w:rPr>
              <w:t>大部分回用</w:t>
            </w:r>
            <w:r>
              <w:rPr>
                <w:rFonts w:hint="eastAsia" w:ascii="宋体" w:hAnsi="宋体" w:eastAsia="宋体" w:cs="宋体"/>
                <w:color w:val="auto"/>
                <w:sz w:val="24"/>
                <w:szCs w:val="24"/>
                <w:lang w:val="en-US" w:eastAsia="zh-CN"/>
              </w:rPr>
              <w:t>清洗</w:t>
            </w:r>
            <w:r>
              <w:rPr>
                <w:rFonts w:hint="eastAsia" w:ascii="宋体" w:hAnsi="宋体" w:eastAsia="宋体" w:cs="宋体"/>
                <w:color w:val="auto"/>
                <w:sz w:val="24"/>
                <w:szCs w:val="24"/>
                <w:lang w:eastAsia="zh-CN"/>
              </w:rPr>
              <w:t>工序，</w:t>
            </w:r>
            <w:r>
              <w:rPr>
                <w:rFonts w:hint="eastAsia" w:ascii="宋体" w:hAnsi="宋体" w:eastAsia="宋体" w:cs="宋体"/>
                <w:color w:val="auto"/>
                <w:sz w:val="24"/>
                <w:szCs w:val="24"/>
              </w:rPr>
              <w:t>预处理后</w:t>
            </w:r>
            <w:r>
              <w:rPr>
                <w:rFonts w:hint="eastAsia" w:ascii="宋体" w:hAnsi="宋体" w:eastAsia="宋体" w:cs="宋体"/>
                <w:color w:val="auto"/>
                <w:sz w:val="24"/>
                <w:szCs w:val="24"/>
                <w:lang w:val="en-US" w:eastAsia="zh-CN"/>
              </w:rPr>
              <w:t>约10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清洗</w:t>
            </w:r>
            <w:r>
              <w:rPr>
                <w:rFonts w:hint="eastAsia" w:ascii="宋体" w:hAnsi="宋体" w:eastAsia="宋体" w:cs="宋体"/>
                <w:color w:val="auto"/>
                <w:sz w:val="24"/>
                <w:szCs w:val="24"/>
              </w:rPr>
              <w:t>废水</w:t>
            </w:r>
            <w:r>
              <w:rPr>
                <w:rFonts w:hint="eastAsia"/>
                <w:color w:val="auto"/>
              </w:rPr>
              <w:t>经管网排入</w:t>
            </w:r>
            <w:r>
              <w:rPr>
                <w:rFonts w:hint="default" w:ascii="Times New Roman" w:hAnsi="Times New Roman" w:cs="Times New Roman"/>
                <w:color w:val="auto"/>
                <w:sz w:val="24"/>
                <w:szCs w:val="24"/>
                <w:lang w:eastAsia="zh-CN"/>
              </w:rPr>
              <w:t>星火工业园污水处理厂</w:t>
            </w:r>
            <w:r>
              <w:rPr>
                <w:rFonts w:hint="eastAsia"/>
                <w:color w:val="auto"/>
              </w:rPr>
              <w:t>进一步处理</w:t>
            </w:r>
            <w:r>
              <w:rPr>
                <w:rFonts w:hint="eastAsia" w:ascii="宋体" w:hAnsi="宋体" w:eastAsia="宋体" w:cs="宋体"/>
                <w:color w:val="auto"/>
                <w:sz w:val="24"/>
                <w:szCs w:val="24"/>
              </w:rPr>
              <w:t>。</w:t>
            </w:r>
          </w:p>
          <w:p w14:paraId="4E8D6B53">
            <w:pPr>
              <w:pStyle w:val="19"/>
              <w:keepNext w:val="0"/>
              <w:keepLines w:val="0"/>
              <w:pageBreakBefore w:val="0"/>
              <w:widowControl w:val="0"/>
              <w:numPr>
                <w:ilvl w:val="0"/>
                <w:numId w:val="0"/>
              </w:numPr>
              <w:tabs>
                <w:tab w:val="left" w:pos="1110"/>
              </w:tabs>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参考相同行业类型项目《新乡市嘉福宝科技有限公司</w:t>
            </w:r>
            <w:r>
              <w:rPr>
                <w:rFonts w:hint="eastAsia"/>
                <w:color w:val="auto"/>
                <w:sz w:val="24"/>
              </w:rPr>
              <w:t>年加工2000吨再生塑料颗粒技术改造项目</w:t>
            </w:r>
            <w:r>
              <w:rPr>
                <w:rFonts w:hint="eastAsia" w:ascii="宋体" w:hAnsi="宋体" w:eastAsia="宋体" w:cs="宋体"/>
                <w:color w:val="auto"/>
                <w:sz w:val="24"/>
                <w:szCs w:val="24"/>
                <w:lang w:val="en-US" w:eastAsia="zh-CN"/>
              </w:rPr>
              <w:t>》，该企业年产再生塑料颗粒12000吨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本项目与该企业产品、原辅料、工艺基本一致，具有可类比性，类比可得生产清洗废水污染因子的浓度中COD</w:t>
            </w:r>
            <w:r>
              <w:rPr>
                <w:rFonts w:hint="eastAsia" w:ascii="宋体" w:hAnsi="宋体" w:eastAsia="宋体" w:cs="宋体"/>
                <w:color w:val="auto"/>
                <w:sz w:val="24"/>
                <w:szCs w:val="24"/>
                <w:vertAlign w:val="subscript"/>
                <w:lang w:val="en-US" w:eastAsia="zh-CN"/>
              </w:rPr>
              <w:t>Cr</w:t>
            </w:r>
            <w:r>
              <w:rPr>
                <w:rFonts w:hint="eastAsia" w:ascii="宋体" w:hAnsi="宋体" w:eastAsia="宋体" w:cs="宋体"/>
                <w:color w:val="auto"/>
                <w:sz w:val="24"/>
                <w:szCs w:val="24"/>
                <w:lang w:val="en-US" w:eastAsia="zh-CN"/>
              </w:rPr>
              <w:t>600mg/L、BOD</w:t>
            </w:r>
            <w:r>
              <w:rPr>
                <w:rFonts w:hint="eastAsia" w:ascii="宋体" w:hAnsi="宋体" w:eastAsia="宋体" w:cs="宋体"/>
                <w:color w:val="auto"/>
                <w:sz w:val="24"/>
                <w:szCs w:val="24"/>
                <w:vertAlign w:val="subscript"/>
                <w:lang w:val="en-US" w:eastAsia="zh-CN"/>
              </w:rPr>
              <w:t>5</w:t>
            </w:r>
            <w:r>
              <w:rPr>
                <w:rFonts w:hint="eastAsia" w:ascii="宋体" w:hAnsi="宋体" w:eastAsia="宋体" w:cs="宋体"/>
                <w:color w:val="auto"/>
                <w:sz w:val="24"/>
                <w:szCs w:val="24"/>
                <w:lang w:val="en-US" w:eastAsia="zh-CN"/>
              </w:rPr>
              <w:t>250mg/L、SS700mg/L、氨氮30mg/L、TP6mg/L、TN60mg/L。</w:t>
            </w:r>
          </w:p>
          <w:p w14:paraId="021C1505">
            <w:pPr>
              <w:pStyle w:val="19"/>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4)水浴除尘用水</w:t>
            </w:r>
          </w:p>
          <w:p w14:paraId="7FCC4AA1">
            <w:pPr>
              <w:pStyle w:val="2"/>
              <w:spacing w:line="360" w:lineRule="auto"/>
              <w:ind w:firstLine="480" w:firstLineChars="200"/>
              <w:rPr>
                <w:rFonts w:hint="default" w:ascii="Times New Roman"/>
                <w:bCs/>
                <w:color w:val="auto"/>
              </w:rPr>
            </w:pPr>
            <w:r>
              <w:rPr>
                <w:rFonts w:ascii="Times New Roman"/>
                <w:bCs/>
                <w:color w:val="auto"/>
              </w:rPr>
              <w:t>根据建设单位提供资料，项目喷淋用水2.0t/d（600t/a），该喷淋工序主要为对废气降温除杂，以确保后续UV光解和活性炭治理效率。该废水污染物少，水量小，</w:t>
            </w:r>
            <w:r>
              <w:rPr>
                <w:rFonts w:hint="eastAsia" w:ascii="Times New Roman"/>
                <w:bCs/>
                <w:color w:val="auto"/>
                <w:lang w:val="en-US" w:eastAsia="zh-CN"/>
              </w:rPr>
              <w:t>循环使用</w:t>
            </w:r>
            <w:r>
              <w:rPr>
                <w:rFonts w:ascii="Times New Roman"/>
                <w:bCs/>
                <w:color w:val="auto"/>
              </w:rPr>
              <w:t>不外排</w:t>
            </w:r>
            <w:r>
              <w:rPr>
                <w:rFonts w:hint="eastAsia" w:ascii="Times New Roman"/>
                <w:bCs/>
                <w:color w:val="auto"/>
                <w:lang w:eastAsia="zh-CN"/>
              </w:rPr>
              <w:t>，</w:t>
            </w:r>
            <w:r>
              <w:rPr>
                <w:rFonts w:hint="eastAsia" w:ascii="Times New Roman"/>
                <w:bCs/>
                <w:color w:val="auto"/>
                <w:lang w:val="en-US" w:eastAsia="zh-CN"/>
              </w:rPr>
              <w:t>定期补充损耗即可</w:t>
            </w:r>
            <w:r>
              <w:rPr>
                <w:rFonts w:ascii="Times New Roman"/>
                <w:bCs/>
                <w:color w:val="auto"/>
              </w:rPr>
              <w:t>。蒸发损耗约为用水量的</w:t>
            </w:r>
            <w:r>
              <w:rPr>
                <w:rFonts w:hint="eastAsia" w:ascii="Times New Roman"/>
                <w:bCs/>
                <w:color w:val="auto"/>
                <w:lang w:val="en-US" w:eastAsia="zh-CN"/>
              </w:rPr>
              <w:t>10</w:t>
            </w:r>
            <w:r>
              <w:rPr>
                <w:rFonts w:ascii="Times New Roman"/>
                <w:bCs/>
                <w:color w:val="auto"/>
              </w:rPr>
              <w:t>%，需补充新鲜水量60t/a（0.2t/d），回用水量为540t/a。</w:t>
            </w:r>
          </w:p>
          <w:p w14:paraId="2AF831F9">
            <w:pPr>
              <w:pStyle w:val="19"/>
              <w:keepNext w:val="0"/>
              <w:keepLines w:val="0"/>
              <w:pageBreakBefore w:val="0"/>
              <w:widowControl w:val="0"/>
              <w:numPr>
                <w:ilvl w:val="0"/>
                <w:numId w:val="0"/>
              </w:numPr>
              <w:tabs>
                <w:tab w:val="left" w:pos="1110"/>
              </w:tabs>
              <w:kinsoku/>
              <w:wordWrap/>
              <w:overflowPunct/>
              <w:topLinePunct w:val="0"/>
              <w:autoSpaceDE/>
              <w:autoSpaceDN/>
              <w:bidi w:val="0"/>
              <w:adjustRightInd/>
              <w:snapToGrid/>
              <w:spacing w:line="360" w:lineRule="auto"/>
              <w:ind w:leftChars="0" w:firstLine="480" w:firstLineChars="200"/>
              <w:jc w:val="left"/>
              <w:textAlignment w:val="auto"/>
              <w:rPr>
                <w:rFonts w:hint="eastAsia" w:eastAsia="宋体"/>
                <w:b w:val="0"/>
                <w:bCs/>
                <w:color w:val="auto"/>
                <w:sz w:val="24"/>
                <w:szCs w:val="24"/>
                <w:lang w:val="en-US" w:eastAsia="zh-CN"/>
              </w:rPr>
            </w:pPr>
            <w:r>
              <w:rPr>
                <w:rFonts w:hint="eastAsia" w:ascii="宋体" w:hAnsi="宋体" w:eastAsia="宋体" w:cs="宋体"/>
                <w:color w:val="auto"/>
                <w:sz w:val="24"/>
                <w:szCs w:val="24"/>
                <w:lang w:eastAsia="zh-CN"/>
              </w:rPr>
              <w:t>本项目废水污染物排放源信息情况见下表：</w:t>
            </w:r>
          </w:p>
          <w:p w14:paraId="67A6D520">
            <w:pPr>
              <w:spacing w:beforeLines="0" w:afterLines="0"/>
              <w:jc w:val="center"/>
              <w:rPr>
                <w:rFonts w:hint="eastAsia"/>
                <w:b/>
                <w:color w:val="auto"/>
                <w:sz w:val="21"/>
                <w:szCs w:val="24"/>
              </w:rPr>
            </w:pPr>
            <w:r>
              <w:rPr>
                <w:rFonts w:hint="eastAsia"/>
                <w:b/>
                <w:color w:val="auto"/>
                <w:sz w:val="21"/>
                <w:szCs w:val="24"/>
              </w:rPr>
              <w:t>表4-</w:t>
            </w:r>
            <w:r>
              <w:rPr>
                <w:rFonts w:hint="eastAsia" w:eastAsia="宋体"/>
                <w:b/>
                <w:color w:val="auto"/>
                <w:sz w:val="21"/>
                <w:szCs w:val="24"/>
                <w:lang w:val="en-US" w:eastAsia="zh-CN"/>
              </w:rPr>
              <w:t>8</w:t>
            </w:r>
            <w:r>
              <w:rPr>
                <w:rFonts w:hint="eastAsia"/>
                <w:b/>
                <w:color w:val="auto"/>
                <w:sz w:val="21"/>
                <w:szCs w:val="24"/>
              </w:rPr>
              <w:t xml:space="preserve">  本项目废水产生及排放情况一览表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50"/>
              <w:gridCol w:w="1447"/>
              <w:gridCol w:w="1006"/>
              <w:gridCol w:w="910"/>
              <w:gridCol w:w="845"/>
              <w:gridCol w:w="764"/>
              <w:gridCol w:w="792"/>
              <w:gridCol w:w="840"/>
              <w:gridCol w:w="761"/>
            </w:tblGrid>
            <w:tr w14:paraId="51C3CE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97" w:type="dxa"/>
                  <w:gridSpan w:val="2"/>
                  <w:tcBorders>
                    <w:tl2br w:val="nil"/>
                    <w:tr2bl w:val="nil"/>
                  </w:tcBorders>
                  <w:noWrap w:val="0"/>
                  <w:vAlign w:val="center"/>
                </w:tcPr>
                <w:p w14:paraId="3B1F77E7">
                  <w:pPr>
                    <w:spacing w:beforeLines="0" w:afterLines="0"/>
                    <w:jc w:val="center"/>
                    <w:rPr>
                      <w:rFonts w:hint="eastAsia"/>
                      <w:b/>
                      <w:color w:val="auto"/>
                      <w:sz w:val="21"/>
                      <w:szCs w:val="21"/>
                    </w:rPr>
                  </w:pPr>
                  <w:r>
                    <w:rPr>
                      <w:color w:val="auto"/>
                      <w:sz w:val="21"/>
                    </w:rPr>
                    <mc:AlternateContent>
                      <mc:Choice Requires="wps">
                        <w:drawing>
                          <wp:anchor distT="0" distB="0" distL="114300" distR="114300" simplePos="0" relativeHeight="251755520" behindDoc="0" locked="0" layoutInCell="1" allowOverlap="1">
                            <wp:simplePos x="0" y="0"/>
                            <wp:positionH relativeFrom="column">
                              <wp:posOffset>-68580</wp:posOffset>
                            </wp:positionH>
                            <wp:positionV relativeFrom="paragraph">
                              <wp:posOffset>3175</wp:posOffset>
                            </wp:positionV>
                            <wp:extent cx="1362075" cy="589915"/>
                            <wp:effectExtent l="1905" t="4445" r="7620" b="15240"/>
                            <wp:wrapNone/>
                            <wp:docPr id="44" name="直接连接符 44"/>
                            <wp:cNvGraphicFramePr/>
                            <a:graphic xmlns:a="http://schemas.openxmlformats.org/drawingml/2006/main">
                              <a:graphicData uri="http://schemas.microsoft.com/office/word/2010/wordprocessingShape">
                                <wps:wsp>
                                  <wps:cNvCnPr/>
                                  <wps:spPr>
                                    <a:xfrm>
                                      <a:off x="0" y="0"/>
                                      <a:ext cx="1362075" cy="5899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0.25pt;height:46.45pt;width:107.25pt;z-index:251755520;mso-width-relative:page;mso-height-relative:page;" filled="f" stroked="t" coordsize="21600,21600" o:gfxdata="UEsDBAoAAAAAAIdO4kAAAAAAAAAAAAAAAAAEAAAAZHJzL1BLAwQUAAAACACHTuJAZnV/edYAAAAH&#10;AQAADwAAAGRycy9kb3ducmV2LnhtbE3Oy07DMBAF0D0S/2ANEpuqtZPwDJl0AWTHhkLV7TQZkoh4&#10;nMbuA74es4Ll6I7uPcXyZAd14Mn3ThCShQHFUrumlxbh/a2a34HygaShwQkjfLGHZXl+VlDeuKO8&#10;8mEVWhVLxOeE0IUw5lr7umNLfuFGlph9uMlSiOfU6maiYyy3g06NudGWeokLHY382HH9udpbBF+t&#10;eVd9z+qZ2WSt43T39PJMiJcXiXkAFfgU/p7hlx/pUEbT1u2l8WpAmCcm0gPCNagYpya7BbVFuM+u&#10;QJeF/u8vfwBQSwMEFAAAAAgAh07iQIgzn4L6AQAA6wMAAA4AAABkcnMvZTJvRG9jLnhtbK1TS44T&#10;MRDdI3EHy3vSSZgMk1Y6s5gwbBBEAg5Qcbu7Lfknl5NOLsEFkNjBiiX7uQ3DMSi7QwaGTRb0wl12&#10;PT/Xey4vrvdGs50MqJyt+GQ05kxa4Wpl24p/eH/77IozjGBr0M7Kih8k8uvl0yeL3pdy6jqnaxkY&#10;kVgse1/xLkZfFgWKThrAkfPSUrJxwUCkaWiLOkBP7EYX0/H4suhdqH1wQiLS6mpI8iNjOIfQNY0S&#10;cuXE1kgbB9YgNUSShJ3yyJe52qaRIr5tGpSR6YqT0phHOoTiTRqL5QLKNoDvlDiWAOeU8EiTAWXp&#10;0BPVCiKwbVD/UBklgkPXxJFwphiEZEdIxWT8yJt3HXiZtZDV6E+m4/+jFW9268BUXfGLC84sGLrx&#10;+0/ff3z88vPuM433374yypBNvceS0Dd2HY4z9OuQNO+bYNKf1LB9tvZwslbuIxO0OHl+OR2/mHEm&#10;KDe7ms8ns0RaPOz2AeMr6QxLQcW1skk6lLB7jXGA/oakZW1ZX/H5bJo4gfqwofun0HjSgrbNe9Fp&#10;Vd8qrdMODO3mRge2g9QL+TuW8BcsHbIC7AZcTiUYlJ2E+qWtWTx4MsnS4+CpBCNrzrSkt5SijIyg&#10;9DlIUq8tmZCsHcxM0cbVB7qTrQ+q7ciJSa4yZagHsmXHfk1N9uc8Mz280e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nV/edYAAAAHAQAADwAAAAAAAAABACAAAAAiAAAAZHJzL2Rvd25yZXYueG1s&#10;UEsBAhQAFAAAAAgAh07iQIgzn4L6AQAA6wMAAA4AAAAAAAAAAQAgAAAAJQEAAGRycy9lMm9Eb2Mu&#10;eG1sUEsFBgAAAAAGAAYAWQEAAJEFAAAAAA==&#10;">
                            <v:fill on="f" focussize="0,0"/>
                            <v:stroke color="#000000" joinstyle="round"/>
                            <v:imagedata o:title=""/>
                            <o:lock v:ext="edit" aspectratio="f"/>
                          </v:line>
                        </w:pict>
                      </mc:Fallback>
                    </mc:AlternateContent>
                  </w:r>
                  <w:r>
                    <w:rPr>
                      <w:rFonts w:hint="eastAsia"/>
                      <w:b/>
                      <w:color w:val="auto"/>
                      <w:sz w:val="21"/>
                      <w:szCs w:val="21"/>
                    </w:rPr>
                    <w:t xml:space="preserve">            污染物</w:t>
                  </w:r>
                </w:p>
                <w:p w14:paraId="60BF2606">
                  <w:pPr>
                    <w:spacing w:beforeLines="0" w:afterLines="0"/>
                    <w:rPr>
                      <w:rFonts w:hint="eastAsia"/>
                      <w:b/>
                      <w:color w:val="auto"/>
                      <w:sz w:val="21"/>
                      <w:szCs w:val="21"/>
                    </w:rPr>
                  </w:pPr>
                </w:p>
                <w:p w14:paraId="45D91FDA">
                  <w:pPr>
                    <w:spacing w:beforeLines="0" w:afterLines="0"/>
                    <w:rPr>
                      <w:rFonts w:hint="eastAsia"/>
                      <w:b/>
                      <w:color w:val="auto"/>
                      <w:sz w:val="21"/>
                      <w:szCs w:val="21"/>
                    </w:rPr>
                  </w:pPr>
                  <w:r>
                    <w:rPr>
                      <w:rFonts w:hint="eastAsia"/>
                      <w:b/>
                      <w:color w:val="auto"/>
                      <w:sz w:val="21"/>
                      <w:szCs w:val="21"/>
                    </w:rPr>
                    <w:t>项目</w:t>
                  </w:r>
                </w:p>
              </w:tc>
              <w:tc>
                <w:tcPr>
                  <w:tcW w:w="1006" w:type="dxa"/>
                  <w:tcBorders>
                    <w:tl2br w:val="nil"/>
                    <w:tr2bl w:val="nil"/>
                  </w:tcBorders>
                  <w:noWrap w:val="0"/>
                  <w:vAlign w:val="center"/>
                </w:tcPr>
                <w:p w14:paraId="228F61D2">
                  <w:pPr>
                    <w:spacing w:beforeLines="0" w:afterLines="0"/>
                    <w:jc w:val="center"/>
                    <w:rPr>
                      <w:rFonts w:hint="eastAsia"/>
                      <w:b/>
                      <w:color w:val="auto"/>
                      <w:sz w:val="21"/>
                      <w:szCs w:val="21"/>
                    </w:rPr>
                  </w:pPr>
                  <w:r>
                    <w:rPr>
                      <w:rFonts w:hint="eastAsia"/>
                      <w:b/>
                      <w:color w:val="auto"/>
                      <w:sz w:val="21"/>
                      <w:szCs w:val="21"/>
                    </w:rPr>
                    <w:t>废水量m</w:t>
                  </w:r>
                  <w:r>
                    <w:rPr>
                      <w:rFonts w:hint="eastAsia"/>
                      <w:b/>
                      <w:color w:val="auto"/>
                      <w:sz w:val="21"/>
                      <w:szCs w:val="21"/>
                      <w:vertAlign w:val="superscript"/>
                    </w:rPr>
                    <w:t>3</w:t>
                  </w:r>
                  <w:r>
                    <w:rPr>
                      <w:rFonts w:hint="eastAsia"/>
                      <w:b/>
                      <w:color w:val="auto"/>
                      <w:sz w:val="21"/>
                      <w:szCs w:val="21"/>
                    </w:rPr>
                    <w:t>/a</w:t>
                  </w:r>
                </w:p>
              </w:tc>
              <w:tc>
                <w:tcPr>
                  <w:tcW w:w="910" w:type="dxa"/>
                  <w:tcBorders>
                    <w:tl2br w:val="nil"/>
                    <w:tr2bl w:val="nil"/>
                  </w:tcBorders>
                  <w:noWrap w:val="0"/>
                  <w:vAlign w:val="center"/>
                </w:tcPr>
                <w:p w14:paraId="51DE3299">
                  <w:pPr>
                    <w:spacing w:beforeLines="0" w:afterLines="0"/>
                    <w:jc w:val="center"/>
                    <w:rPr>
                      <w:rFonts w:hint="eastAsia"/>
                      <w:b/>
                      <w:color w:val="auto"/>
                      <w:sz w:val="21"/>
                      <w:szCs w:val="21"/>
                    </w:rPr>
                  </w:pPr>
                  <w:r>
                    <w:rPr>
                      <w:rFonts w:hint="eastAsia"/>
                      <w:b/>
                      <w:color w:val="auto"/>
                      <w:sz w:val="21"/>
                      <w:szCs w:val="21"/>
                    </w:rPr>
                    <w:t>COD</w:t>
                  </w:r>
                </w:p>
              </w:tc>
              <w:tc>
                <w:tcPr>
                  <w:tcW w:w="845" w:type="dxa"/>
                  <w:tcBorders>
                    <w:tl2br w:val="nil"/>
                    <w:tr2bl w:val="nil"/>
                  </w:tcBorders>
                  <w:noWrap w:val="0"/>
                  <w:vAlign w:val="center"/>
                </w:tcPr>
                <w:p w14:paraId="62423EBD">
                  <w:pPr>
                    <w:spacing w:beforeLines="0" w:afterLines="0"/>
                    <w:jc w:val="center"/>
                    <w:rPr>
                      <w:rFonts w:hint="eastAsia"/>
                      <w:b/>
                      <w:color w:val="auto"/>
                      <w:sz w:val="21"/>
                      <w:szCs w:val="21"/>
                    </w:rPr>
                  </w:pPr>
                  <w:r>
                    <w:rPr>
                      <w:rFonts w:hint="eastAsia"/>
                      <w:b/>
                      <w:color w:val="auto"/>
                      <w:sz w:val="21"/>
                      <w:szCs w:val="21"/>
                    </w:rPr>
                    <w:t>BOD</w:t>
                  </w:r>
                  <w:r>
                    <w:rPr>
                      <w:rFonts w:hint="eastAsia"/>
                      <w:b/>
                      <w:color w:val="auto"/>
                      <w:sz w:val="21"/>
                      <w:szCs w:val="21"/>
                      <w:vertAlign w:val="subscript"/>
                    </w:rPr>
                    <w:t>5</w:t>
                  </w:r>
                </w:p>
              </w:tc>
              <w:tc>
                <w:tcPr>
                  <w:tcW w:w="764" w:type="dxa"/>
                  <w:tcBorders>
                    <w:tl2br w:val="nil"/>
                    <w:tr2bl w:val="nil"/>
                  </w:tcBorders>
                  <w:noWrap w:val="0"/>
                  <w:vAlign w:val="center"/>
                </w:tcPr>
                <w:p w14:paraId="5439E997">
                  <w:pPr>
                    <w:spacing w:beforeLines="0" w:afterLines="0"/>
                    <w:jc w:val="center"/>
                    <w:rPr>
                      <w:rFonts w:hint="eastAsia"/>
                      <w:b/>
                      <w:color w:val="auto"/>
                      <w:sz w:val="21"/>
                      <w:szCs w:val="21"/>
                    </w:rPr>
                  </w:pPr>
                  <w:r>
                    <w:rPr>
                      <w:rFonts w:hint="eastAsia"/>
                      <w:b/>
                      <w:color w:val="auto"/>
                      <w:sz w:val="21"/>
                      <w:szCs w:val="21"/>
                    </w:rPr>
                    <w:t>SS</w:t>
                  </w:r>
                </w:p>
              </w:tc>
              <w:tc>
                <w:tcPr>
                  <w:tcW w:w="792" w:type="dxa"/>
                  <w:tcBorders>
                    <w:tl2br w:val="nil"/>
                    <w:tr2bl w:val="nil"/>
                  </w:tcBorders>
                  <w:noWrap w:val="0"/>
                  <w:vAlign w:val="center"/>
                </w:tcPr>
                <w:p w14:paraId="4D61AF6A">
                  <w:pPr>
                    <w:spacing w:beforeLines="0" w:afterLines="0"/>
                    <w:jc w:val="center"/>
                    <w:rPr>
                      <w:rFonts w:hint="eastAsia"/>
                      <w:b/>
                      <w:color w:val="auto"/>
                      <w:sz w:val="21"/>
                      <w:szCs w:val="21"/>
                    </w:rPr>
                  </w:pPr>
                  <w:r>
                    <w:rPr>
                      <w:rFonts w:hint="eastAsia"/>
                      <w:b/>
                      <w:color w:val="auto"/>
                      <w:sz w:val="21"/>
                      <w:szCs w:val="21"/>
                    </w:rPr>
                    <w:t>NH</w:t>
                  </w:r>
                  <w:r>
                    <w:rPr>
                      <w:rFonts w:hint="eastAsia"/>
                      <w:b/>
                      <w:color w:val="auto"/>
                      <w:sz w:val="21"/>
                      <w:szCs w:val="21"/>
                      <w:vertAlign w:val="subscript"/>
                    </w:rPr>
                    <w:t>3</w:t>
                  </w:r>
                  <w:r>
                    <w:rPr>
                      <w:rFonts w:hint="eastAsia"/>
                      <w:b/>
                      <w:color w:val="auto"/>
                      <w:sz w:val="21"/>
                      <w:szCs w:val="21"/>
                    </w:rPr>
                    <w:t>-N</w:t>
                  </w:r>
                </w:p>
              </w:tc>
              <w:tc>
                <w:tcPr>
                  <w:tcW w:w="840" w:type="dxa"/>
                  <w:tcBorders>
                    <w:tl2br w:val="nil"/>
                    <w:tr2bl w:val="nil"/>
                  </w:tcBorders>
                  <w:noWrap w:val="0"/>
                  <w:vAlign w:val="center"/>
                </w:tcPr>
                <w:p w14:paraId="7B38EF5B">
                  <w:pPr>
                    <w:numPr>
                      <w:ilvl w:val="0"/>
                      <w:numId w:val="3"/>
                    </w:numPr>
                    <w:spacing w:beforeLines="0" w:afterLines="0" w:line="240" w:lineRule="atLeast"/>
                    <w:jc w:val="center"/>
                    <w:rPr>
                      <w:rFonts w:hint="eastAsia" w:cs="宋体"/>
                      <w:b/>
                      <w:color w:val="auto"/>
                      <w:kern w:val="0"/>
                      <w:sz w:val="21"/>
                      <w:szCs w:val="21"/>
                    </w:rPr>
                  </w:pPr>
                  <w:r>
                    <w:rPr>
                      <w:rFonts w:hint="eastAsia" w:cs="宋体"/>
                      <w:b/>
                      <w:color w:val="auto"/>
                      <w:kern w:val="0"/>
                      <w:sz w:val="21"/>
                      <w:szCs w:val="21"/>
                    </w:rPr>
                    <w:t>TP</w:t>
                  </w:r>
                </w:p>
              </w:tc>
              <w:tc>
                <w:tcPr>
                  <w:tcW w:w="761" w:type="dxa"/>
                  <w:tcBorders>
                    <w:tl2br w:val="nil"/>
                    <w:tr2bl w:val="nil"/>
                  </w:tcBorders>
                  <w:noWrap w:val="0"/>
                  <w:vAlign w:val="center"/>
                </w:tcPr>
                <w:p w14:paraId="28C0AA7C">
                  <w:pPr>
                    <w:numPr>
                      <w:ilvl w:val="0"/>
                      <w:numId w:val="3"/>
                    </w:numPr>
                    <w:spacing w:beforeLines="0" w:afterLines="0" w:line="240" w:lineRule="atLeast"/>
                    <w:jc w:val="center"/>
                    <w:rPr>
                      <w:rFonts w:hint="eastAsia" w:cs="宋体"/>
                      <w:b/>
                      <w:color w:val="auto"/>
                      <w:kern w:val="0"/>
                      <w:sz w:val="21"/>
                      <w:szCs w:val="21"/>
                    </w:rPr>
                  </w:pPr>
                  <w:r>
                    <w:rPr>
                      <w:rFonts w:hint="eastAsia" w:cs="宋体"/>
                      <w:b/>
                      <w:color w:val="auto"/>
                      <w:kern w:val="0"/>
                      <w:sz w:val="21"/>
                      <w:szCs w:val="21"/>
                    </w:rPr>
                    <w:t>TN</w:t>
                  </w:r>
                </w:p>
              </w:tc>
            </w:tr>
            <w:tr w14:paraId="2627F4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restart"/>
                  <w:tcBorders>
                    <w:tl2br w:val="nil"/>
                    <w:tr2bl w:val="nil"/>
                  </w:tcBorders>
                  <w:noWrap w:val="0"/>
                  <w:vAlign w:val="center"/>
                </w:tcPr>
                <w:p w14:paraId="5227C6CD">
                  <w:pPr>
                    <w:spacing w:beforeLines="0" w:afterLines="0"/>
                    <w:jc w:val="center"/>
                    <w:rPr>
                      <w:rFonts w:hint="eastAsia"/>
                      <w:color w:val="auto"/>
                      <w:sz w:val="21"/>
                      <w:szCs w:val="21"/>
                    </w:rPr>
                  </w:pPr>
                  <w:r>
                    <w:rPr>
                      <w:rFonts w:hint="eastAsia" w:eastAsia="宋体"/>
                      <w:color w:val="auto"/>
                      <w:sz w:val="21"/>
                      <w:szCs w:val="21"/>
                      <w:lang w:eastAsia="zh-CN"/>
                    </w:rPr>
                    <w:t>清洗</w:t>
                  </w:r>
                  <w:r>
                    <w:rPr>
                      <w:rFonts w:hint="eastAsia"/>
                      <w:color w:val="auto"/>
                      <w:sz w:val="21"/>
                      <w:szCs w:val="21"/>
                    </w:rPr>
                    <w:t>废水</w:t>
                  </w:r>
                </w:p>
              </w:tc>
              <w:tc>
                <w:tcPr>
                  <w:tcW w:w="1447" w:type="dxa"/>
                  <w:tcBorders>
                    <w:tl2br w:val="nil"/>
                    <w:tr2bl w:val="nil"/>
                  </w:tcBorders>
                  <w:noWrap w:val="0"/>
                  <w:vAlign w:val="center"/>
                </w:tcPr>
                <w:p w14:paraId="4A169D8D">
                  <w:pPr>
                    <w:spacing w:beforeLines="0" w:afterLines="0"/>
                    <w:jc w:val="center"/>
                    <w:rPr>
                      <w:rFonts w:hint="eastAsia"/>
                      <w:color w:val="auto"/>
                      <w:sz w:val="21"/>
                      <w:szCs w:val="21"/>
                    </w:rPr>
                  </w:pPr>
                  <w:r>
                    <w:rPr>
                      <w:rFonts w:hint="eastAsia"/>
                      <w:color w:val="auto"/>
                      <w:sz w:val="21"/>
                      <w:szCs w:val="21"/>
                    </w:rPr>
                    <w:t>产生浓度（mg/L）</w:t>
                  </w:r>
                </w:p>
              </w:tc>
              <w:tc>
                <w:tcPr>
                  <w:tcW w:w="1006" w:type="dxa"/>
                  <w:vMerge w:val="restart"/>
                  <w:tcBorders>
                    <w:tl2br w:val="nil"/>
                    <w:tr2bl w:val="nil"/>
                  </w:tcBorders>
                  <w:noWrap w:val="0"/>
                  <w:vAlign w:val="center"/>
                </w:tcPr>
                <w:p w14:paraId="19833B3F">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12500</w:t>
                  </w:r>
                </w:p>
              </w:tc>
              <w:tc>
                <w:tcPr>
                  <w:tcW w:w="910" w:type="dxa"/>
                  <w:tcBorders>
                    <w:tl2br w:val="nil"/>
                    <w:tr2bl w:val="nil"/>
                  </w:tcBorders>
                  <w:noWrap w:val="0"/>
                  <w:vAlign w:val="center"/>
                </w:tcPr>
                <w:p w14:paraId="6FA3BFDF">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600</w:t>
                  </w:r>
                </w:p>
              </w:tc>
              <w:tc>
                <w:tcPr>
                  <w:tcW w:w="845" w:type="dxa"/>
                  <w:tcBorders>
                    <w:tl2br w:val="nil"/>
                    <w:tr2bl w:val="nil"/>
                  </w:tcBorders>
                  <w:noWrap w:val="0"/>
                  <w:vAlign w:val="center"/>
                </w:tcPr>
                <w:p w14:paraId="0E8F36AE">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250</w:t>
                  </w:r>
                </w:p>
              </w:tc>
              <w:tc>
                <w:tcPr>
                  <w:tcW w:w="764" w:type="dxa"/>
                  <w:tcBorders>
                    <w:tl2br w:val="nil"/>
                    <w:tr2bl w:val="nil"/>
                  </w:tcBorders>
                  <w:noWrap w:val="0"/>
                  <w:vAlign w:val="center"/>
                </w:tcPr>
                <w:p w14:paraId="61058F1B">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700</w:t>
                  </w:r>
                </w:p>
              </w:tc>
              <w:tc>
                <w:tcPr>
                  <w:tcW w:w="792" w:type="dxa"/>
                  <w:tcBorders>
                    <w:tl2br w:val="nil"/>
                    <w:tr2bl w:val="nil"/>
                  </w:tcBorders>
                  <w:noWrap w:val="0"/>
                  <w:vAlign w:val="center"/>
                </w:tcPr>
                <w:p w14:paraId="3CA7A6C2">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30</w:t>
                  </w:r>
                </w:p>
              </w:tc>
              <w:tc>
                <w:tcPr>
                  <w:tcW w:w="840" w:type="dxa"/>
                  <w:tcBorders>
                    <w:tl2br w:val="nil"/>
                    <w:tr2bl w:val="nil"/>
                  </w:tcBorders>
                  <w:noWrap w:val="0"/>
                  <w:vAlign w:val="center"/>
                </w:tcPr>
                <w:p w14:paraId="6AF37E4F">
                  <w:pPr>
                    <w:numPr>
                      <w:ilvl w:val="0"/>
                      <w:numId w:val="3"/>
                    </w:numPr>
                    <w:spacing w:beforeLines="0" w:afterLines="0"/>
                    <w:ind w:left="0" w:leftChars="0" w:firstLine="0" w:firstLineChars="0"/>
                    <w:jc w:val="center"/>
                    <w:rPr>
                      <w:rFonts w:hint="eastAsia"/>
                      <w:color w:val="auto"/>
                      <w:kern w:val="0"/>
                      <w:sz w:val="21"/>
                      <w:szCs w:val="21"/>
                      <w:lang w:bidi="ar"/>
                    </w:rPr>
                  </w:pPr>
                  <w:r>
                    <w:rPr>
                      <w:rFonts w:hint="eastAsia" w:eastAsia="宋体"/>
                      <w:color w:val="auto"/>
                      <w:kern w:val="0"/>
                      <w:sz w:val="21"/>
                      <w:szCs w:val="21"/>
                      <w:lang w:val="en-US" w:eastAsia="zh-CN" w:bidi="ar"/>
                    </w:rPr>
                    <w:t>6</w:t>
                  </w:r>
                </w:p>
              </w:tc>
              <w:tc>
                <w:tcPr>
                  <w:tcW w:w="761" w:type="dxa"/>
                  <w:tcBorders>
                    <w:tl2br w:val="nil"/>
                    <w:tr2bl w:val="nil"/>
                  </w:tcBorders>
                  <w:noWrap w:val="0"/>
                  <w:vAlign w:val="center"/>
                </w:tcPr>
                <w:p w14:paraId="005CA14C">
                  <w:pPr>
                    <w:numPr>
                      <w:ilvl w:val="0"/>
                      <w:numId w:val="3"/>
                    </w:numPr>
                    <w:spacing w:beforeLines="0" w:afterLines="0"/>
                    <w:ind w:left="0" w:leftChars="0" w:firstLine="0" w:firstLineChars="0"/>
                    <w:jc w:val="center"/>
                    <w:rPr>
                      <w:rFonts w:hint="default" w:eastAsia="宋体"/>
                      <w:color w:val="auto"/>
                      <w:spacing w:val="2"/>
                      <w:sz w:val="21"/>
                      <w:szCs w:val="21"/>
                      <w:lang w:val="en-US"/>
                    </w:rPr>
                  </w:pPr>
                  <w:r>
                    <w:rPr>
                      <w:rFonts w:hint="eastAsia" w:eastAsia="宋体"/>
                      <w:color w:val="auto"/>
                      <w:spacing w:val="2"/>
                      <w:sz w:val="21"/>
                      <w:szCs w:val="21"/>
                      <w:lang w:val="en-US" w:eastAsia="zh-CN"/>
                    </w:rPr>
                    <w:t>60</w:t>
                  </w:r>
                </w:p>
              </w:tc>
            </w:tr>
            <w:tr w14:paraId="4AACD0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continue"/>
                  <w:tcBorders>
                    <w:tl2br w:val="nil"/>
                    <w:tr2bl w:val="nil"/>
                  </w:tcBorders>
                  <w:noWrap w:val="0"/>
                  <w:vAlign w:val="center"/>
                </w:tcPr>
                <w:p w14:paraId="2B91DCA5">
                  <w:pPr>
                    <w:spacing w:beforeLines="0" w:afterLines="0"/>
                    <w:jc w:val="center"/>
                    <w:rPr>
                      <w:rFonts w:hint="eastAsia"/>
                      <w:color w:val="auto"/>
                      <w:sz w:val="21"/>
                      <w:szCs w:val="21"/>
                    </w:rPr>
                  </w:pPr>
                </w:p>
              </w:tc>
              <w:tc>
                <w:tcPr>
                  <w:tcW w:w="1447" w:type="dxa"/>
                  <w:tcBorders>
                    <w:tl2br w:val="nil"/>
                    <w:tr2bl w:val="nil"/>
                  </w:tcBorders>
                  <w:noWrap w:val="0"/>
                  <w:vAlign w:val="center"/>
                </w:tcPr>
                <w:p w14:paraId="6343993F">
                  <w:pPr>
                    <w:spacing w:beforeLines="0" w:afterLines="0"/>
                    <w:jc w:val="center"/>
                    <w:rPr>
                      <w:rFonts w:hint="eastAsia"/>
                      <w:color w:val="auto"/>
                      <w:sz w:val="21"/>
                      <w:szCs w:val="21"/>
                    </w:rPr>
                  </w:pPr>
                  <w:r>
                    <w:rPr>
                      <w:rFonts w:hint="eastAsia"/>
                      <w:color w:val="auto"/>
                      <w:sz w:val="21"/>
                      <w:szCs w:val="21"/>
                    </w:rPr>
                    <w:t>产生量（t/a）</w:t>
                  </w:r>
                </w:p>
              </w:tc>
              <w:tc>
                <w:tcPr>
                  <w:tcW w:w="1006" w:type="dxa"/>
                  <w:vMerge w:val="continue"/>
                  <w:tcBorders>
                    <w:tl2br w:val="nil"/>
                    <w:tr2bl w:val="nil"/>
                  </w:tcBorders>
                  <w:noWrap w:val="0"/>
                  <w:vAlign w:val="center"/>
                </w:tcPr>
                <w:p w14:paraId="4F9175E9">
                  <w:pPr>
                    <w:spacing w:beforeLines="0" w:afterLines="0"/>
                    <w:jc w:val="center"/>
                    <w:rPr>
                      <w:rFonts w:hint="eastAsia"/>
                      <w:color w:val="auto"/>
                      <w:sz w:val="21"/>
                      <w:szCs w:val="21"/>
                    </w:rPr>
                  </w:pPr>
                </w:p>
              </w:tc>
              <w:tc>
                <w:tcPr>
                  <w:tcW w:w="910" w:type="dxa"/>
                  <w:tcBorders>
                    <w:tl2br w:val="nil"/>
                    <w:tr2bl w:val="nil"/>
                  </w:tcBorders>
                  <w:noWrap w:val="0"/>
                  <w:vAlign w:val="center"/>
                </w:tcPr>
                <w:p w14:paraId="1DB5BCD2">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7.5</w:t>
                  </w:r>
                </w:p>
              </w:tc>
              <w:tc>
                <w:tcPr>
                  <w:tcW w:w="845" w:type="dxa"/>
                  <w:tcBorders>
                    <w:tl2br w:val="nil"/>
                    <w:tr2bl w:val="nil"/>
                  </w:tcBorders>
                  <w:noWrap w:val="0"/>
                  <w:vAlign w:val="center"/>
                </w:tcPr>
                <w:p w14:paraId="6713DDC0">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3.125</w:t>
                  </w:r>
                </w:p>
              </w:tc>
              <w:tc>
                <w:tcPr>
                  <w:tcW w:w="764" w:type="dxa"/>
                  <w:tcBorders>
                    <w:tl2br w:val="nil"/>
                    <w:tr2bl w:val="nil"/>
                  </w:tcBorders>
                  <w:noWrap w:val="0"/>
                  <w:vAlign w:val="center"/>
                </w:tcPr>
                <w:p w14:paraId="38FA8205">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8.75</w:t>
                  </w:r>
                </w:p>
              </w:tc>
              <w:tc>
                <w:tcPr>
                  <w:tcW w:w="792" w:type="dxa"/>
                  <w:tcBorders>
                    <w:tl2br w:val="nil"/>
                    <w:tr2bl w:val="nil"/>
                  </w:tcBorders>
                  <w:noWrap w:val="0"/>
                  <w:vAlign w:val="center"/>
                </w:tcPr>
                <w:p w14:paraId="74ADED8E">
                  <w:pPr>
                    <w:numPr>
                      <w:ilvl w:val="0"/>
                      <w:numId w:val="3"/>
                    </w:numPr>
                    <w:spacing w:beforeLines="0" w:afterLines="0"/>
                    <w:ind w:left="0" w:leftChars="0" w:firstLine="0" w:firstLineChars="0"/>
                    <w:jc w:val="center"/>
                    <w:rPr>
                      <w:rFonts w:hint="eastAsia"/>
                      <w:color w:val="auto"/>
                      <w:sz w:val="21"/>
                      <w:szCs w:val="21"/>
                    </w:rPr>
                  </w:pPr>
                  <w:r>
                    <w:rPr>
                      <w:rFonts w:hint="eastAsia" w:eastAsia="宋体"/>
                      <w:color w:val="auto"/>
                      <w:sz w:val="21"/>
                      <w:szCs w:val="21"/>
                      <w:lang w:val="en-US" w:eastAsia="zh-CN"/>
                    </w:rPr>
                    <w:t>0.375</w:t>
                  </w:r>
                </w:p>
              </w:tc>
              <w:tc>
                <w:tcPr>
                  <w:tcW w:w="840" w:type="dxa"/>
                  <w:tcBorders>
                    <w:right w:val="single" w:color="auto" w:sz="4" w:space="0"/>
                    <w:tl2br w:val="nil"/>
                    <w:tr2bl w:val="nil"/>
                  </w:tcBorders>
                  <w:noWrap w:val="0"/>
                  <w:vAlign w:val="center"/>
                </w:tcPr>
                <w:p w14:paraId="54A388E3">
                  <w:pPr>
                    <w:numPr>
                      <w:ilvl w:val="0"/>
                      <w:numId w:val="3"/>
                    </w:numPr>
                    <w:spacing w:beforeLines="0" w:afterLines="0"/>
                    <w:ind w:left="0" w:leftChars="0" w:firstLine="0" w:firstLineChars="0"/>
                    <w:jc w:val="center"/>
                    <w:rPr>
                      <w:rFonts w:hint="eastAsia" w:cs="宋体"/>
                      <w:color w:val="auto"/>
                      <w:kern w:val="0"/>
                      <w:sz w:val="21"/>
                      <w:szCs w:val="21"/>
                    </w:rPr>
                  </w:pPr>
                  <w:r>
                    <w:rPr>
                      <w:rFonts w:hint="eastAsia" w:eastAsia="宋体" w:cs="宋体"/>
                      <w:color w:val="auto"/>
                      <w:kern w:val="0"/>
                      <w:sz w:val="21"/>
                      <w:szCs w:val="21"/>
                      <w:lang w:val="en-US" w:eastAsia="zh-CN"/>
                    </w:rPr>
                    <w:t>0.075</w:t>
                  </w:r>
                </w:p>
              </w:tc>
              <w:tc>
                <w:tcPr>
                  <w:tcW w:w="761" w:type="dxa"/>
                  <w:tcBorders>
                    <w:left w:val="single" w:color="auto" w:sz="4" w:space="0"/>
                    <w:tl2br w:val="nil"/>
                    <w:tr2bl w:val="nil"/>
                  </w:tcBorders>
                  <w:noWrap w:val="0"/>
                  <w:vAlign w:val="center"/>
                </w:tcPr>
                <w:p w14:paraId="33E70442">
                  <w:pPr>
                    <w:numPr>
                      <w:ilvl w:val="0"/>
                      <w:numId w:val="3"/>
                    </w:numPr>
                    <w:spacing w:beforeLines="0" w:afterLines="0"/>
                    <w:ind w:left="0" w:leftChars="0" w:firstLine="0" w:firstLineChars="0"/>
                    <w:jc w:val="center"/>
                    <w:rPr>
                      <w:rFonts w:hint="eastAsia" w:eastAsia="宋体"/>
                      <w:color w:val="auto"/>
                      <w:spacing w:val="2"/>
                      <w:sz w:val="21"/>
                      <w:szCs w:val="21"/>
                    </w:rPr>
                  </w:pPr>
                  <w:r>
                    <w:rPr>
                      <w:rFonts w:hint="eastAsia" w:eastAsia="宋体"/>
                      <w:color w:val="auto"/>
                      <w:spacing w:val="2"/>
                      <w:sz w:val="21"/>
                      <w:szCs w:val="21"/>
                      <w:lang w:val="en-US" w:eastAsia="zh-CN"/>
                    </w:rPr>
                    <w:t>0.75</w:t>
                  </w:r>
                </w:p>
              </w:tc>
            </w:tr>
            <w:tr w14:paraId="420CE8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97" w:type="dxa"/>
                  <w:gridSpan w:val="2"/>
                  <w:tcBorders>
                    <w:tl2br w:val="nil"/>
                    <w:tr2bl w:val="nil"/>
                  </w:tcBorders>
                  <w:noWrap w:val="0"/>
                  <w:vAlign w:val="center"/>
                </w:tcPr>
                <w:p w14:paraId="37454B5B">
                  <w:pPr>
                    <w:spacing w:beforeLines="0" w:afterLines="0"/>
                    <w:jc w:val="center"/>
                    <w:rPr>
                      <w:rFonts w:hint="eastAsia" w:eastAsia="宋体"/>
                      <w:color w:val="auto"/>
                      <w:sz w:val="21"/>
                      <w:szCs w:val="21"/>
                    </w:rPr>
                  </w:pPr>
                  <w:r>
                    <w:rPr>
                      <w:rFonts w:hint="eastAsia" w:eastAsia="宋体"/>
                      <w:color w:val="auto"/>
                      <w:sz w:val="21"/>
                      <w:szCs w:val="21"/>
                    </w:rPr>
                    <w:t>自建污水处理站处理措施</w:t>
                  </w:r>
                </w:p>
              </w:tc>
              <w:tc>
                <w:tcPr>
                  <w:tcW w:w="5918" w:type="dxa"/>
                  <w:gridSpan w:val="7"/>
                  <w:tcBorders>
                    <w:tl2br w:val="nil"/>
                    <w:tr2bl w:val="nil"/>
                  </w:tcBorders>
                  <w:noWrap w:val="0"/>
                  <w:vAlign w:val="center"/>
                </w:tcPr>
                <w:p w14:paraId="1D8F14D3">
                  <w:pPr>
                    <w:widowControl/>
                    <w:spacing w:beforeLines="0" w:afterLines="0"/>
                    <w:jc w:val="center"/>
                    <w:textAlignment w:val="center"/>
                    <w:rPr>
                      <w:rFonts w:hint="eastAsia"/>
                      <w:color w:val="auto"/>
                      <w:sz w:val="21"/>
                      <w:szCs w:val="21"/>
                    </w:rPr>
                  </w:pPr>
                  <w:r>
                    <w:rPr>
                      <w:rFonts w:hint="eastAsia"/>
                      <w:color w:val="auto"/>
                      <w:sz w:val="21"/>
                      <w:szCs w:val="21"/>
                    </w:rPr>
                    <w:t>项目</w:t>
                  </w:r>
                  <w:r>
                    <w:rPr>
                      <w:rFonts w:hint="eastAsia"/>
                      <w:color w:val="auto"/>
                      <w:sz w:val="21"/>
                      <w:szCs w:val="21"/>
                      <w:lang w:val="en-US" w:eastAsia="zh-CN"/>
                    </w:rPr>
                    <w:t>清洗废水</w:t>
                  </w:r>
                  <w:r>
                    <w:rPr>
                      <w:rFonts w:hint="eastAsia"/>
                      <w:color w:val="auto"/>
                      <w:sz w:val="21"/>
                      <w:szCs w:val="21"/>
                    </w:rPr>
                    <w:t>通过污水处理设施“预处理+物化沉淀”（主要工艺为格栅+调节池+初沉池+絮凝沉淀池+二沉池+回用水池）处理，</w:t>
                  </w:r>
                  <w:r>
                    <w:rPr>
                      <w:rFonts w:hint="eastAsia" w:eastAsia="宋体"/>
                      <w:color w:val="auto"/>
                      <w:sz w:val="21"/>
                      <w:szCs w:val="21"/>
                      <w:lang w:val="en-US" w:eastAsia="zh-CN"/>
                    </w:rPr>
                    <w:t>90</w:t>
                  </w:r>
                  <w:r>
                    <w:rPr>
                      <w:rFonts w:hint="eastAsia"/>
                      <w:color w:val="auto"/>
                      <w:sz w:val="21"/>
                      <w:szCs w:val="21"/>
                    </w:rPr>
                    <w:t>%水可回用</w:t>
                  </w:r>
                  <w:r>
                    <w:rPr>
                      <w:rFonts w:hint="eastAsia" w:eastAsia="宋体"/>
                      <w:color w:val="auto"/>
                      <w:sz w:val="21"/>
                      <w:szCs w:val="21"/>
                      <w:lang w:val="en-US" w:eastAsia="zh-CN"/>
                    </w:rPr>
                    <w:t>清洗</w:t>
                  </w:r>
                  <w:r>
                    <w:rPr>
                      <w:rFonts w:hint="eastAsia"/>
                      <w:color w:val="auto"/>
                      <w:sz w:val="21"/>
                      <w:szCs w:val="21"/>
                    </w:rPr>
                    <w:t>工序，剩下</w:t>
                  </w:r>
                  <w:r>
                    <w:rPr>
                      <w:rFonts w:hint="eastAsia" w:ascii="宋体" w:eastAsia="宋体"/>
                      <w:color w:val="auto"/>
                      <w:sz w:val="21"/>
                      <w:szCs w:val="21"/>
                      <w:lang w:val="en-US" w:eastAsia="zh-CN"/>
                    </w:rPr>
                    <w:t>10</w:t>
                  </w:r>
                  <w:r>
                    <w:rPr>
                      <w:rFonts w:hint="eastAsia"/>
                      <w:color w:val="auto"/>
                      <w:sz w:val="21"/>
                      <w:szCs w:val="21"/>
                    </w:rPr>
                    <w:t>%生产废水与</w:t>
                  </w:r>
                  <w:r>
                    <w:rPr>
                      <w:rFonts w:hint="eastAsia" w:eastAsia="宋体"/>
                      <w:color w:val="auto"/>
                      <w:sz w:val="21"/>
                      <w:szCs w:val="21"/>
                      <w:lang w:eastAsia="zh-CN"/>
                    </w:rPr>
                    <w:t>经化粪池预处理的生活污水混合</w:t>
                  </w:r>
                  <w:r>
                    <w:rPr>
                      <w:rFonts w:hint="eastAsia"/>
                      <w:color w:val="auto"/>
                      <w:sz w:val="21"/>
                      <w:szCs w:val="21"/>
                      <w:lang w:val="en-US" w:eastAsia="zh-CN"/>
                    </w:rPr>
                    <w:t>外排至星火工业园污水处理厂；</w:t>
                  </w:r>
                </w:p>
              </w:tc>
            </w:tr>
            <w:tr w14:paraId="1F6B55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97" w:type="dxa"/>
                  <w:gridSpan w:val="2"/>
                  <w:tcBorders>
                    <w:tl2br w:val="nil"/>
                    <w:tr2bl w:val="nil"/>
                  </w:tcBorders>
                  <w:noWrap w:val="0"/>
                  <w:vAlign w:val="center"/>
                </w:tcPr>
                <w:p w14:paraId="7FA22215">
                  <w:pPr>
                    <w:spacing w:beforeLines="0" w:afterLines="0"/>
                    <w:jc w:val="center"/>
                    <w:rPr>
                      <w:rFonts w:hint="eastAsia" w:eastAsia="宋体"/>
                      <w:color w:val="auto"/>
                      <w:sz w:val="21"/>
                      <w:szCs w:val="21"/>
                    </w:rPr>
                  </w:pPr>
                  <w:r>
                    <w:rPr>
                      <w:rFonts w:hint="eastAsia" w:eastAsia="宋体"/>
                      <w:color w:val="auto"/>
                      <w:sz w:val="21"/>
                      <w:szCs w:val="21"/>
                    </w:rPr>
                    <w:t>处理效率</w:t>
                  </w:r>
                </w:p>
              </w:tc>
              <w:tc>
                <w:tcPr>
                  <w:tcW w:w="1006" w:type="dxa"/>
                  <w:tcBorders>
                    <w:tl2br w:val="nil"/>
                    <w:tr2bl w:val="nil"/>
                  </w:tcBorders>
                  <w:noWrap w:val="0"/>
                  <w:vAlign w:val="center"/>
                </w:tcPr>
                <w:p w14:paraId="344FC0A7">
                  <w:pPr>
                    <w:spacing w:beforeLines="0" w:afterLines="0"/>
                    <w:jc w:val="center"/>
                    <w:rPr>
                      <w:rFonts w:hint="eastAsia"/>
                      <w:color w:val="auto"/>
                      <w:kern w:val="0"/>
                      <w:sz w:val="21"/>
                      <w:szCs w:val="21"/>
                      <w:lang w:bidi="ar"/>
                    </w:rPr>
                  </w:pPr>
                  <w:r>
                    <w:rPr>
                      <w:rFonts w:hint="eastAsia"/>
                      <w:color w:val="auto"/>
                      <w:kern w:val="0"/>
                      <w:sz w:val="21"/>
                      <w:szCs w:val="21"/>
                      <w:lang w:bidi="ar"/>
                    </w:rPr>
                    <w:t>/</w:t>
                  </w:r>
                </w:p>
              </w:tc>
              <w:tc>
                <w:tcPr>
                  <w:tcW w:w="910" w:type="dxa"/>
                  <w:tcBorders>
                    <w:tl2br w:val="nil"/>
                    <w:tr2bl w:val="nil"/>
                  </w:tcBorders>
                  <w:noWrap w:val="0"/>
                  <w:vAlign w:val="center"/>
                </w:tcPr>
                <w:p w14:paraId="2061DD6F">
                  <w:pPr>
                    <w:widowControl/>
                    <w:spacing w:beforeLines="0" w:afterLines="0"/>
                    <w:jc w:val="center"/>
                    <w:textAlignment w:val="center"/>
                    <w:rPr>
                      <w:rFonts w:hint="eastAsia"/>
                      <w:color w:val="auto"/>
                      <w:kern w:val="0"/>
                      <w:sz w:val="21"/>
                      <w:szCs w:val="21"/>
                      <w:lang w:bidi="ar"/>
                    </w:rPr>
                  </w:pPr>
                  <w:r>
                    <w:rPr>
                      <w:rFonts w:hint="eastAsia" w:eastAsia="宋体"/>
                      <w:color w:val="auto"/>
                      <w:kern w:val="0"/>
                      <w:sz w:val="21"/>
                      <w:szCs w:val="21"/>
                      <w:lang w:val="en-US" w:eastAsia="zh-CN" w:bidi="ar"/>
                    </w:rPr>
                    <w:t>50</w:t>
                  </w:r>
                  <w:r>
                    <w:rPr>
                      <w:rFonts w:hint="eastAsia"/>
                      <w:color w:val="auto"/>
                      <w:kern w:val="0"/>
                      <w:sz w:val="21"/>
                      <w:szCs w:val="21"/>
                      <w:lang w:bidi="ar"/>
                    </w:rPr>
                    <w:t>%</w:t>
                  </w:r>
                </w:p>
              </w:tc>
              <w:tc>
                <w:tcPr>
                  <w:tcW w:w="845" w:type="dxa"/>
                  <w:tcBorders>
                    <w:tl2br w:val="nil"/>
                    <w:tr2bl w:val="nil"/>
                  </w:tcBorders>
                  <w:noWrap w:val="0"/>
                  <w:vAlign w:val="center"/>
                </w:tcPr>
                <w:p w14:paraId="270ECFAF">
                  <w:pPr>
                    <w:widowControl/>
                    <w:spacing w:beforeLines="0" w:afterLines="0"/>
                    <w:jc w:val="center"/>
                    <w:textAlignment w:val="center"/>
                    <w:rPr>
                      <w:rFonts w:hint="eastAsia"/>
                      <w:color w:val="auto"/>
                      <w:kern w:val="0"/>
                      <w:sz w:val="21"/>
                      <w:szCs w:val="21"/>
                      <w:lang w:bidi="ar"/>
                    </w:rPr>
                  </w:pPr>
                  <w:r>
                    <w:rPr>
                      <w:rFonts w:hint="eastAsia" w:eastAsia="宋体"/>
                      <w:color w:val="auto"/>
                      <w:kern w:val="0"/>
                      <w:sz w:val="21"/>
                      <w:szCs w:val="21"/>
                      <w:lang w:val="en-US" w:eastAsia="zh-CN" w:bidi="ar"/>
                    </w:rPr>
                    <w:t>25</w:t>
                  </w:r>
                  <w:r>
                    <w:rPr>
                      <w:rFonts w:hint="eastAsia"/>
                      <w:color w:val="auto"/>
                      <w:kern w:val="0"/>
                      <w:sz w:val="21"/>
                      <w:szCs w:val="21"/>
                      <w:lang w:bidi="ar"/>
                    </w:rPr>
                    <w:t>%</w:t>
                  </w:r>
                </w:p>
              </w:tc>
              <w:tc>
                <w:tcPr>
                  <w:tcW w:w="764" w:type="dxa"/>
                  <w:tcBorders>
                    <w:tl2br w:val="nil"/>
                    <w:tr2bl w:val="nil"/>
                  </w:tcBorders>
                  <w:noWrap w:val="0"/>
                  <w:vAlign w:val="center"/>
                </w:tcPr>
                <w:p w14:paraId="64967AD5">
                  <w:pPr>
                    <w:widowControl/>
                    <w:spacing w:beforeLines="0" w:afterLines="0"/>
                    <w:jc w:val="center"/>
                    <w:textAlignment w:val="center"/>
                    <w:rPr>
                      <w:rFonts w:hint="eastAsia"/>
                      <w:color w:val="auto"/>
                      <w:kern w:val="0"/>
                      <w:sz w:val="21"/>
                      <w:szCs w:val="21"/>
                      <w:lang w:bidi="ar"/>
                    </w:rPr>
                  </w:pPr>
                  <w:r>
                    <w:rPr>
                      <w:rFonts w:hint="eastAsia" w:eastAsia="宋体"/>
                      <w:color w:val="auto"/>
                      <w:kern w:val="0"/>
                      <w:sz w:val="21"/>
                      <w:szCs w:val="21"/>
                      <w:lang w:val="en-US" w:eastAsia="zh-CN" w:bidi="ar"/>
                    </w:rPr>
                    <w:t>80</w:t>
                  </w:r>
                  <w:r>
                    <w:rPr>
                      <w:rFonts w:hint="eastAsia"/>
                      <w:color w:val="auto"/>
                      <w:kern w:val="0"/>
                      <w:sz w:val="21"/>
                      <w:szCs w:val="21"/>
                      <w:lang w:bidi="ar"/>
                    </w:rPr>
                    <w:t>%</w:t>
                  </w:r>
                </w:p>
              </w:tc>
              <w:tc>
                <w:tcPr>
                  <w:tcW w:w="792" w:type="dxa"/>
                  <w:tcBorders>
                    <w:tl2br w:val="nil"/>
                    <w:tr2bl w:val="nil"/>
                  </w:tcBorders>
                  <w:noWrap w:val="0"/>
                  <w:vAlign w:val="center"/>
                </w:tcPr>
                <w:p w14:paraId="433119D4">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25</w:t>
                  </w:r>
                  <w:r>
                    <w:rPr>
                      <w:rFonts w:hint="eastAsia"/>
                      <w:color w:val="auto"/>
                      <w:kern w:val="0"/>
                      <w:sz w:val="21"/>
                      <w:szCs w:val="21"/>
                      <w:lang w:bidi="ar"/>
                    </w:rPr>
                    <w:t>%</w:t>
                  </w:r>
                </w:p>
              </w:tc>
              <w:tc>
                <w:tcPr>
                  <w:tcW w:w="840" w:type="dxa"/>
                  <w:tcBorders>
                    <w:tl2br w:val="nil"/>
                    <w:tr2bl w:val="nil"/>
                  </w:tcBorders>
                  <w:noWrap w:val="0"/>
                  <w:vAlign w:val="center"/>
                </w:tcPr>
                <w:p w14:paraId="20B9FD9B">
                  <w:pPr>
                    <w:widowControl/>
                    <w:spacing w:beforeLines="0" w:afterLines="0"/>
                    <w:jc w:val="center"/>
                    <w:textAlignment w:val="center"/>
                    <w:rPr>
                      <w:rFonts w:hint="default"/>
                      <w:color w:val="auto"/>
                      <w:kern w:val="0"/>
                      <w:sz w:val="21"/>
                      <w:szCs w:val="21"/>
                      <w:lang w:val="en-US" w:bidi="ar"/>
                    </w:rPr>
                  </w:pPr>
                  <w:r>
                    <w:rPr>
                      <w:rFonts w:hint="eastAsia" w:eastAsia="宋体"/>
                      <w:color w:val="auto"/>
                      <w:kern w:val="0"/>
                      <w:sz w:val="21"/>
                      <w:szCs w:val="21"/>
                      <w:lang w:val="en-US" w:eastAsia="zh-CN" w:bidi="ar"/>
                    </w:rPr>
                    <w:t>40</w:t>
                  </w:r>
                  <w:r>
                    <w:rPr>
                      <w:rFonts w:hint="eastAsia"/>
                      <w:color w:val="auto"/>
                      <w:kern w:val="0"/>
                      <w:sz w:val="21"/>
                      <w:szCs w:val="21"/>
                      <w:lang w:bidi="ar"/>
                    </w:rPr>
                    <w:t>%</w:t>
                  </w:r>
                </w:p>
              </w:tc>
              <w:tc>
                <w:tcPr>
                  <w:tcW w:w="761" w:type="dxa"/>
                  <w:tcBorders>
                    <w:tl2br w:val="nil"/>
                    <w:tr2bl w:val="nil"/>
                  </w:tcBorders>
                  <w:noWrap w:val="0"/>
                  <w:vAlign w:val="center"/>
                </w:tcPr>
                <w:p w14:paraId="273B74F8">
                  <w:pPr>
                    <w:widowControl/>
                    <w:spacing w:beforeLines="0" w:afterLines="0"/>
                    <w:jc w:val="center"/>
                    <w:textAlignment w:val="center"/>
                    <w:rPr>
                      <w:rFonts w:hint="eastAsia"/>
                      <w:color w:val="auto"/>
                      <w:kern w:val="0"/>
                      <w:sz w:val="21"/>
                      <w:szCs w:val="21"/>
                      <w:lang w:bidi="ar"/>
                    </w:rPr>
                  </w:pPr>
                  <w:r>
                    <w:rPr>
                      <w:rFonts w:hint="eastAsia" w:eastAsia="宋体"/>
                      <w:color w:val="auto"/>
                      <w:kern w:val="0"/>
                      <w:sz w:val="21"/>
                      <w:szCs w:val="21"/>
                      <w:lang w:val="en-US" w:eastAsia="zh-CN" w:bidi="ar"/>
                    </w:rPr>
                    <w:t>5</w:t>
                  </w:r>
                  <w:r>
                    <w:rPr>
                      <w:rFonts w:hint="eastAsia"/>
                      <w:color w:val="auto"/>
                      <w:kern w:val="0"/>
                      <w:sz w:val="21"/>
                      <w:szCs w:val="21"/>
                      <w:lang w:bidi="ar"/>
                    </w:rPr>
                    <w:t>%</w:t>
                  </w:r>
                </w:p>
              </w:tc>
            </w:tr>
            <w:tr w14:paraId="4E77A5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restart"/>
                  <w:tcBorders>
                    <w:tl2br w:val="nil"/>
                    <w:tr2bl w:val="nil"/>
                  </w:tcBorders>
                  <w:noWrap w:val="0"/>
                  <w:vAlign w:val="center"/>
                </w:tcPr>
                <w:p w14:paraId="2F4FDB09">
                  <w:pPr>
                    <w:spacing w:beforeLines="0" w:afterLines="0"/>
                    <w:jc w:val="center"/>
                    <w:rPr>
                      <w:rFonts w:hint="eastAsia"/>
                      <w:color w:val="auto"/>
                      <w:sz w:val="21"/>
                      <w:szCs w:val="21"/>
                    </w:rPr>
                  </w:pPr>
                  <w:r>
                    <w:rPr>
                      <w:rFonts w:hint="eastAsia"/>
                      <w:color w:val="auto"/>
                      <w:sz w:val="21"/>
                      <w:szCs w:val="21"/>
                    </w:rPr>
                    <w:t>废水</w:t>
                  </w:r>
                </w:p>
              </w:tc>
              <w:tc>
                <w:tcPr>
                  <w:tcW w:w="1447" w:type="dxa"/>
                  <w:tcBorders>
                    <w:tl2br w:val="nil"/>
                    <w:tr2bl w:val="nil"/>
                  </w:tcBorders>
                  <w:noWrap w:val="0"/>
                  <w:vAlign w:val="center"/>
                </w:tcPr>
                <w:p w14:paraId="743D78D9">
                  <w:pPr>
                    <w:spacing w:beforeLines="0" w:afterLines="0"/>
                    <w:jc w:val="center"/>
                    <w:rPr>
                      <w:rFonts w:hint="eastAsia"/>
                      <w:color w:val="auto"/>
                      <w:sz w:val="21"/>
                      <w:szCs w:val="21"/>
                    </w:rPr>
                  </w:pPr>
                  <w:r>
                    <w:rPr>
                      <w:rFonts w:hint="eastAsia"/>
                      <w:color w:val="auto"/>
                      <w:sz w:val="21"/>
                      <w:szCs w:val="21"/>
                    </w:rPr>
                    <w:t>排放浓度（mg/L）</w:t>
                  </w:r>
                </w:p>
              </w:tc>
              <w:tc>
                <w:tcPr>
                  <w:tcW w:w="1006" w:type="dxa"/>
                  <w:vMerge w:val="restart"/>
                  <w:tcBorders>
                    <w:tl2br w:val="nil"/>
                    <w:tr2bl w:val="nil"/>
                  </w:tcBorders>
                  <w:noWrap w:val="0"/>
                  <w:vAlign w:val="center"/>
                </w:tcPr>
                <w:p w14:paraId="21FE0E11">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1250</w:t>
                  </w:r>
                </w:p>
              </w:tc>
              <w:tc>
                <w:tcPr>
                  <w:tcW w:w="910" w:type="dxa"/>
                  <w:tcBorders>
                    <w:tl2br w:val="nil"/>
                    <w:tr2bl w:val="nil"/>
                  </w:tcBorders>
                  <w:noWrap w:val="0"/>
                  <w:vAlign w:val="center"/>
                </w:tcPr>
                <w:p w14:paraId="5C0B5192">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300</w:t>
                  </w:r>
                </w:p>
              </w:tc>
              <w:tc>
                <w:tcPr>
                  <w:tcW w:w="845" w:type="dxa"/>
                  <w:tcBorders>
                    <w:tl2br w:val="nil"/>
                    <w:tr2bl w:val="nil"/>
                  </w:tcBorders>
                  <w:noWrap w:val="0"/>
                  <w:vAlign w:val="center"/>
                </w:tcPr>
                <w:p w14:paraId="3603A997">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187.5</w:t>
                  </w:r>
                </w:p>
              </w:tc>
              <w:tc>
                <w:tcPr>
                  <w:tcW w:w="764" w:type="dxa"/>
                  <w:tcBorders>
                    <w:tl2br w:val="nil"/>
                    <w:tr2bl w:val="nil"/>
                  </w:tcBorders>
                  <w:noWrap w:val="0"/>
                  <w:vAlign w:val="center"/>
                </w:tcPr>
                <w:p w14:paraId="37374838">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140</w:t>
                  </w:r>
                </w:p>
              </w:tc>
              <w:tc>
                <w:tcPr>
                  <w:tcW w:w="792" w:type="dxa"/>
                  <w:tcBorders>
                    <w:tl2br w:val="nil"/>
                    <w:tr2bl w:val="nil"/>
                  </w:tcBorders>
                  <w:shd w:val="clear" w:color="auto" w:fill="auto"/>
                  <w:noWrap w:val="0"/>
                  <w:vAlign w:val="center"/>
                </w:tcPr>
                <w:p w14:paraId="13A6A1E5">
                  <w:pPr>
                    <w:numPr>
                      <w:ilvl w:val="0"/>
                      <w:numId w:val="3"/>
                    </w:numPr>
                    <w:spacing w:beforeLines="0" w:afterLines="0"/>
                    <w:ind w:left="0" w:leftChars="0" w:firstLine="0" w:firstLineChars="0"/>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22.5</w:t>
                  </w:r>
                </w:p>
              </w:tc>
              <w:tc>
                <w:tcPr>
                  <w:tcW w:w="840" w:type="dxa"/>
                  <w:tcBorders>
                    <w:tl2br w:val="nil"/>
                    <w:tr2bl w:val="nil"/>
                  </w:tcBorders>
                  <w:shd w:val="clear" w:color="auto" w:fill="auto"/>
                  <w:noWrap w:val="0"/>
                  <w:vAlign w:val="center"/>
                </w:tcPr>
                <w:p w14:paraId="771C347D">
                  <w:pPr>
                    <w:numPr>
                      <w:ilvl w:val="0"/>
                      <w:numId w:val="3"/>
                    </w:numPr>
                    <w:spacing w:beforeLines="0" w:afterLines="0"/>
                    <w:ind w:left="0" w:leftChars="0" w:firstLine="0" w:firstLineChars="0"/>
                    <w:jc w:val="center"/>
                    <w:rPr>
                      <w:rFonts w:hint="default" w:ascii="Times New Roman" w:hAnsi="Times New Roman" w:eastAsia="Times New Roman" w:cs="Times New Roman"/>
                      <w:color w:val="auto"/>
                      <w:kern w:val="0"/>
                      <w:sz w:val="21"/>
                      <w:szCs w:val="21"/>
                      <w:lang w:val="en-US" w:eastAsia="zh-CN" w:bidi="ar"/>
                    </w:rPr>
                  </w:pPr>
                  <w:r>
                    <w:rPr>
                      <w:rFonts w:hint="eastAsia" w:ascii="Times New Roman" w:hAnsi="Times New Roman" w:eastAsia="Times New Roman" w:cs="Times New Roman"/>
                      <w:color w:val="auto"/>
                      <w:kern w:val="0"/>
                      <w:sz w:val="21"/>
                      <w:szCs w:val="21"/>
                      <w:lang w:val="en-US" w:eastAsia="zh-CN" w:bidi="ar"/>
                    </w:rPr>
                    <w:t>3.6</w:t>
                  </w:r>
                </w:p>
              </w:tc>
              <w:tc>
                <w:tcPr>
                  <w:tcW w:w="761" w:type="dxa"/>
                  <w:tcBorders>
                    <w:tl2br w:val="nil"/>
                    <w:tr2bl w:val="nil"/>
                  </w:tcBorders>
                  <w:noWrap w:val="0"/>
                  <w:vAlign w:val="center"/>
                </w:tcPr>
                <w:p w14:paraId="1A5DDA19">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57</w:t>
                  </w:r>
                </w:p>
              </w:tc>
            </w:tr>
            <w:tr w14:paraId="1C545B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3" w:hRule="atLeast"/>
                <w:jc w:val="center"/>
              </w:trPr>
              <w:tc>
                <w:tcPr>
                  <w:tcW w:w="850" w:type="dxa"/>
                  <w:vMerge w:val="continue"/>
                  <w:tcBorders>
                    <w:tl2br w:val="nil"/>
                    <w:tr2bl w:val="nil"/>
                  </w:tcBorders>
                  <w:noWrap w:val="0"/>
                  <w:vAlign w:val="center"/>
                </w:tcPr>
                <w:p w14:paraId="0A0025BC">
                  <w:pPr>
                    <w:spacing w:beforeLines="0" w:afterLines="0"/>
                    <w:jc w:val="center"/>
                    <w:rPr>
                      <w:rFonts w:hint="eastAsia"/>
                      <w:color w:val="auto"/>
                      <w:sz w:val="21"/>
                      <w:szCs w:val="21"/>
                    </w:rPr>
                  </w:pPr>
                </w:p>
              </w:tc>
              <w:tc>
                <w:tcPr>
                  <w:tcW w:w="1447" w:type="dxa"/>
                  <w:tcBorders>
                    <w:tl2br w:val="nil"/>
                    <w:tr2bl w:val="nil"/>
                  </w:tcBorders>
                  <w:noWrap w:val="0"/>
                  <w:vAlign w:val="center"/>
                </w:tcPr>
                <w:p w14:paraId="54AB4BEE">
                  <w:pPr>
                    <w:spacing w:beforeLines="0" w:afterLines="0"/>
                    <w:jc w:val="center"/>
                    <w:rPr>
                      <w:rFonts w:hint="eastAsia"/>
                      <w:color w:val="auto"/>
                      <w:sz w:val="21"/>
                      <w:szCs w:val="21"/>
                    </w:rPr>
                  </w:pPr>
                  <w:r>
                    <w:rPr>
                      <w:rFonts w:hint="eastAsia"/>
                      <w:color w:val="auto"/>
                      <w:sz w:val="21"/>
                      <w:szCs w:val="21"/>
                    </w:rPr>
                    <w:t>排放量（t/a）</w:t>
                  </w:r>
                </w:p>
              </w:tc>
              <w:tc>
                <w:tcPr>
                  <w:tcW w:w="1006" w:type="dxa"/>
                  <w:vMerge w:val="continue"/>
                  <w:tcBorders>
                    <w:tl2br w:val="nil"/>
                    <w:tr2bl w:val="nil"/>
                  </w:tcBorders>
                  <w:noWrap w:val="0"/>
                  <w:vAlign w:val="center"/>
                </w:tcPr>
                <w:p w14:paraId="76F148B0">
                  <w:pPr>
                    <w:widowControl/>
                    <w:spacing w:beforeLines="0" w:afterLines="0"/>
                    <w:jc w:val="center"/>
                    <w:textAlignment w:val="center"/>
                    <w:rPr>
                      <w:rFonts w:hint="eastAsia"/>
                      <w:color w:val="auto"/>
                      <w:kern w:val="0"/>
                      <w:sz w:val="21"/>
                      <w:szCs w:val="21"/>
                      <w:lang w:bidi="ar"/>
                    </w:rPr>
                  </w:pPr>
                </w:p>
              </w:tc>
              <w:tc>
                <w:tcPr>
                  <w:tcW w:w="910" w:type="dxa"/>
                  <w:tcBorders>
                    <w:tl2br w:val="nil"/>
                    <w:tr2bl w:val="nil"/>
                  </w:tcBorders>
                  <w:noWrap w:val="0"/>
                  <w:vAlign w:val="center"/>
                </w:tcPr>
                <w:p w14:paraId="6BE563DA">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0.375</w:t>
                  </w:r>
                </w:p>
              </w:tc>
              <w:tc>
                <w:tcPr>
                  <w:tcW w:w="845" w:type="dxa"/>
                  <w:tcBorders>
                    <w:tl2br w:val="nil"/>
                    <w:tr2bl w:val="nil"/>
                  </w:tcBorders>
                  <w:noWrap w:val="0"/>
                  <w:vAlign w:val="center"/>
                </w:tcPr>
                <w:p w14:paraId="771F001D">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0.234</w:t>
                  </w:r>
                </w:p>
              </w:tc>
              <w:tc>
                <w:tcPr>
                  <w:tcW w:w="764" w:type="dxa"/>
                  <w:tcBorders>
                    <w:tl2br w:val="nil"/>
                    <w:tr2bl w:val="nil"/>
                  </w:tcBorders>
                  <w:noWrap w:val="0"/>
                  <w:vAlign w:val="center"/>
                </w:tcPr>
                <w:p w14:paraId="221D0BA3">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0.175</w:t>
                  </w:r>
                </w:p>
              </w:tc>
              <w:tc>
                <w:tcPr>
                  <w:tcW w:w="792" w:type="dxa"/>
                  <w:tcBorders>
                    <w:tl2br w:val="nil"/>
                    <w:tr2bl w:val="nil"/>
                  </w:tcBorders>
                  <w:noWrap w:val="0"/>
                  <w:vAlign w:val="center"/>
                </w:tcPr>
                <w:p w14:paraId="00244AEB">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0.028</w:t>
                  </w:r>
                </w:p>
              </w:tc>
              <w:tc>
                <w:tcPr>
                  <w:tcW w:w="840" w:type="dxa"/>
                  <w:tcBorders>
                    <w:tl2br w:val="nil"/>
                    <w:tr2bl w:val="nil"/>
                  </w:tcBorders>
                  <w:noWrap w:val="0"/>
                  <w:vAlign w:val="center"/>
                </w:tcPr>
                <w:p w14:paraId="7C32577C">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0.0045</w:t>
                  </w:r>
                </w:p>
              </w:tc>
              <w:tc>
                <w:tcPr>
                  <w:tcW w:w="761" w:type="dxa"/>
                  <w:tcBorders>
                    <w:tl2br w:val="nil"/>
                    <w:tr2bl w:val="nil"/>
                  </w:tcBorders>
                  <w:noWrap w:val="0"/>
                  <w:vAlign w:val="center"/>
                </w:tcPr>
                <w:p w14:paraId="0047EB05">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0.071</w:t>
                  </w:r>
                </w:p>
              </w:tc>
            </w:tr>
            <w:tr w14:paraId="54F9A3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restart"/>
                  <w:tcBorders>
                    <w:tl2br w:val="nil"/>
                    <w:tr2bl w:val="nil"/>
                  </w:tcBorders>
                  <w:noWrap w:val="0"/>
                  <w:vAlign w:val="center"/>
                </w:tcPr>
                <w:p w14:paraId="71A81D7F">
                  <w:pPr>
                    <w:spacing w:beforeLines="0" w:afterLines="0"/>
                    <w:jc w:val="center"/>
                    <w:rPr>
                      <w:rFonts w:hint="eastAsia"/>
                      <w:color w:val="auto"/>
                      <w:sz w:val="21"/>
                      <w:szCs w:val="21"/>
                    </w:rPr>
                  </w:pPr>
                  <w:r>
                    <w:rPr>
                      <w:rFonts w:hint="eastAsia"/>
                      <w:color w:val="auto"/>
                      <w:sz w:val="21"/>
                      <w:szCs w:val="21"/>
                    </w:rPr>
                    <w:t>生活污水</w:t>
                  </w:r>
                </w:p>
              </w:tc>
              <w:tc>
                <w:tcPr>
                  <w:tcW w:w="1447" w:type="dxa"/>
                  <w:tcBorders>
                    <w:tl2br w:val="nil"/>
                    <w:tr2bl w:val="nil"/>
                  </w:tcBorders>
                  <w:noWrap w:val="0"/>
                  <w:vAlign w:val="center"/>
                </w:tcPr>
                <w:p w14:paraId="6A4809C7">
                  <w:pPr>
                    <w:spacing w:beforeLines="0" w:afterLines="0"/>
                    <w:jc w:val="center"/>
                    <w:rPr>
                      <w:rFonts w:hint="eastAsia"/>
                      <w:color w:val="auto"/>
                      <w:sz w:val="21"/>
                      <w:szCs w:val="21"/>
                    </w:rPr>
                  </w:pPr>
                  <w:r>
                    <w:rPr>
                      <w:rFonts w:hint="eastAsia"/>
                      <w:color w:val="auto"/>
                      <w:sz w:val="21"/>
                      <w:szCs w:val="21"/>
                    </w:rPr>
                    <w:t>产生浓度（mg/L）</w:t>
                  </w:r>
                </w:p>
              </w:tc>
              <w:tc>
                <w:tcPr>
                  <w:tcW w:w="1006" w:type="dxa"/>
                  <w:vMerge w:val="restart"/>
                  <w:tcBorders>
                    <w:tl2br w:val="nil"/>
                    <w:tr2bl w:val="nil"/>
                  </w:tcBorders>
                  <w:noWrap w:val="0"/>
                  <w:vAlign w:val="center"/>
                </w:tcPr>
                <w:p w14:paraId="06E37F6A">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240</w:t>
                  </w:r>
                </w:p>
              </w:tc>
              <w:tc>
                <w:tcPr>
                  <w:tcW w:w="910" w:type="dxa"/>
                  <w:tcBorders>
                    <w:tl2br w:val="nil"/>
                    <w:tr2bl w:val="nil"/>
                  </w:tcBorders>
                  <w:noWrap w:val="0"/>
                  <w:vAlign w:val="center"/>
                </w:tcPr>
                <w:p w14:paraId="27E73852">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250</w:t>
                  </w:r>
                </w:p>
              </w:tc>
              <w:tc>
                <w:tcPr>
                  <w:tcW w:w="845" w:type="dxa"/>
                  <w:tcBorders>
                    <w:tl2br w:val="nil"/>
                    <w:tr2bl w:val="nil"/>
                  </w:tcBorders>
                  <w:noWrap w:val="0"/>
                  <w:vAlign w:val="center"/>
                </w:tcPr>
                <w:p w14:paraId="041A7D19">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150</w:t>
                  </w:r>
                </w:p>
              </w:tc>
              <w:tc>
                <w:tcPr>
                  <w:tcW w:w="764" w:type="dxa"/>
                  <w:tcBorders>
                    <w:tl2br w:val="nil"/>
                    <w:tr2bl w:val="nil"/>
                  </w:tcBorders>
                  <w:noWrap w:val="0"/>
                  <w:vAlign w:val="center"/>
                </w:tcPr>
                <w:p w14:paraId="12A537C3">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150</w:t>
                  </w:r>
                </w:p>
              </w:tc>
              <w:tc>
                <w:tcPr>
                  <w:tcW w:w="792" w:type="dxa"/>
                  <w:tcBorders>
                    <w:tl2br w:val="nil"/>
                    <w:tr2bl w:val="nil"/>
                  </w:tcBorders>
                  <w:noWrap w:val="0"/>
                  <w:vAlign w:val="center"/>
                </w:tcPr>
                <w:p w14:paraId="527FEFA4">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25</w:t>
                  </w:r>
                </w:p>
              </w:tc>
              <w:tc>
                <w:tcPr>
                  <w:tcW w:w="840" w:type="dxa"/>
                  <w:tcBorders>
                    <w:tl2br w:val="nil"/>
                    <w:tr2bl w:val="nil"/>
                  </w:tcBorders>
                  <w:noWrap w:val="0"/>
                  <w:vAlign w:val="center"/>
                </w:tcPr>
                <w:p w14:paraId="07E5013E">
                  <w:pPr>
                    <w:pStyle w:val="92"/>
                    <w:keepNext w:val="0"/>
                    <w:keepLines w:val="0"/>
                    <w:pageBreakBefore w:val="0"/>
                    <w:kinsoku/>
                    <w:wordWrap/>
                    <w:overflowPunct/>
                    <w:topLinePunct w:val="0"/>
                    <w:autoSpaceDE/>
                    <w:autoSpaceDN/>
                    <w:bidi w:val="0"/>
                    <w:spacing w:line="288" w:lineRule="auto"/>
                    <w:textAlignment w:val="auto"/>
                    <w:rPr>
                      <w:rFonts w:hint="eastAsia" w:eastAsia="宋体"/>
                      <w:color w:val="auto"/>
                      <w:sz w:val="21"/>
                      <w:szCs w:val="21"/>
                      <w:lang w:val="en-US" w:eastAsia="zh-CN"/>
                    </w:rPr>
                  </w:pPr>
                  <w:r>
                    <w:rPr>
                      <w:rFonts w:hint="eastAsia" w:eastAsia="宋体"/>
                      <w:color w:val="auto"/>
                      <w:sz w:val="21"/>
                      <w:szCs w:val="21"/>
                      <w:lang w:val="en-US" w:eastAsia="zh-CN"/>
                    </w:rPr>
                    <w:t>5</w:t>
                  </w:r>
                </w:p>
              </w:tc>
              <w:tc>
                <w:tcPr>
                  <w:tcW w:w="761" w:type="dxa"/>
                  <w:tcBorders>
                    <w:tl2br w:val="nil"/>
                    <w:tr2bl w:val="nil"/>
                  </w:tcBorders>
                  <w:noWrap w:val="0"/>
                  <w:vAlign w:val="center"/>
                </w:tcPr>
                <w:p w14:paraId="1F1A4D5C">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50</w:t>
                  </w:r>
                </w:p>
              </w:tc>
            </w:tr>
            <w:tr w14:paraId="13C91E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continue"/>
                  <w:tcBorders>
                    <w:tl2br w:val="nil"/>
                    <w:tr2bl w:val="nil"/>
                  </w:tcBorders>
                  <w:noWrap w:val="0"/>
                  <w:vAlign w:val="center"/>
                </w:tcPr>
                <w:p w14:paraId="149B6304">
                  <w:pPr>
                    <w:spacing w:beforeLines="0" w:afterLines="0"/>
                    <w:jc w:val="center"/>
                    <w:rPr>
                      <w:rFonts w:hint="eastAsia"/>
                      <w:color w:val="auto"/>
                      <w:sz w:val="21"/>
                      <w:szCs w:val="21"/>
                    </w:rPr>
                  </w:pPr>
                </w:p>
              </w:tc>
              <w:tc>
                <w:tcPr>
                  <w:tcW w:w="1447" w:type="dxa"/>
                  <w:tcBorders>
                    <w:tl2br w:val="nil"/>
                    <w:tr2bl w:val="nil"/>
                  </w:tcBorders>
                  <w:noWrap w:val="0"/>
                  <w:vAlign w:val="center"/>
                </w:tcPr>
                <w:p w14:paraId="02F2E39E">
                  <w:pPr>
                    <w:spacing w:beforeLines="0" w:afterLines="0"/>
                    <w:jc w:val="center"/>
                    <w:rPr>
                      <w:rFonts w:hint="eastAsia"/>
                      <w:color w:val="auto"/>
                      <w:sz w:val="21"/>
                      <w:szCs w:val="21"/>
                    </w:rPr>
                  </w:pPr>
                  <w:r>
                    <w:rPr>
                      <w:rFonts w:hint="eastAsia"/>
                      <w:color w:val="auto"/>
                      <w:sz w:val="21"/>
                      <w:szCs w:val="21"/>
                    </w:rPr>
                    <w:t>产生量（t/a）</w:t>
                  </w:r>
                </w:p>
              </w:tc>
              <w:tc>
                <w:tcPr>
                  <w:tcW w:w="1006" w:type="dxa"/>
                  <w:vMerge w:val="continue"/>
                  <w:tcBorders>
                    <w:tl2br w:val="nil"/>
                    <w:tr2bl w:val="nil"/>
                  </w:tcBorders>
                  <w:noWrap w:val="0"/>
                  <w:vAlign w:val="center"/>
                </w:tcPr>
                <w:p w14:paraId="6ADEE1FA">
                  <w:pPr>
                    <w:spacing w:beforeLines="0" w:afterLines="0"/>
                    <w:jc w:val="center"/>
                    <w:rPr>
                      <w:rFonts w:hint="eastAsia"/>
                      <w:color w:val="auto"/>
                      <w:sz w:val="21"/>
                      <w:szCs w:val="21"/>
                    </w:rPr>
                  </w:pPr>
                </w:p>
              </w:tc>
              <w:tc>
                <w:tcPr>
                  <w:tcW w:w="910" w:type="dxa"/>
                  <w:tcBorders>
                    <w:tl2br w:val="nil"/>
                    <w:tr2bl w:val="nil"/>
                  </w:tcBorders>
                  <w:noWrap w:val="0"/>
                  <w:vAlign w:val="center"/>
                </w:tcPr>
                <w:p w14:paraId="094E31DE">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0.06</w:t>
                  </w:r>
                </w:p>
              </w:tc>
              <w:tc>
                <w:tcPr>
                  <w:tcW w:w="845" w:type="dxa"/>
                  <w:tcBorders>
                    <w:tl2br w:val="nil"/>
                    <w:tr2bl w:val="nil"/>
                  </w:tcBorders>
                  <w:noWrap w:val="0"/>
                  <w:vAlign w:val="center"/>
                </w:tcPr>
                <w:p w14:paraId="0B8C7D57">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0.036</w:t>
                  </w:r>
                </w:p>
              </w:tc>
              <w:tc>
                <w:tcPr>
                  <w:tcW w:w="764" w:type="dxa"/>
                  <w:tcBorders>
                    <w:tl2br w:val="nil"/>
                    <w:tr2bl w:val="nil"/>
                  </w:tcBorders>
                  <w:noWrap w:val="0"/>
                  <w:vAlign w:val="center"/>
                </w:tcPr>
                <w:p w14:paraId="5E0D98C9">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0.036</w:t>
                  </w:r>
                </w:p>
              </w:tc>
              <w:tc>
                <w:tcPr>
                  <w:tcW w:w="792" w:type="dxa"/>
                  <w:tcBorders>
                    <w:tl2br w:val="nil"/>
                    <w:tr2bl w:val="nil"/>
                  </w:tcBorders>
                  <w:noWrap w:val="0"/>
                  <w:vAlign w:val="center"/>
                </w:tcPr>
                <w:p w14:paraId="58675204">
                  <w:pPr>
                    <w:keepNext w:val="0"/>
                    <w:keepLines w:val="0"/>
                    <w:pageBreakBefore w:val="0"/>
                    <w:kinsoku/>
                    <w:wordWrap/>
                    <w:overflowPunct/>
                    <w:topLinePunct w:val="0"/>
                    <w:autoSpaceDE/>
                    <w:autoSpaceDN/>
                    <w:bidi w:val="0"/>
                    <w:adjustRightInd w:val="0"/>
                    <w:spacing w:line="288" w:lineRule="auto"/>
                    <w:jc w:val="center"/>
                    <w:textAlignment w:val="auto"/>
                    <w:rPr>
                      <w:rFonts w:hint="default" w:eastAsia="宋体"/>
                      <w:color w:val="auto"/>
                      <w:sz w:val="21"/>
                      <w:szCs w:val="21"/>
                      <w:lang w:val="en-US" w:eastAsia="zh-CN"/>
                    </w:rPr>
                  </w:pPr>
                  <w:r>
                    <w:rPr>
                      <w:rFonts w:hint="eastAsia" w:eastAsia="宋体"/>
                      <w:color w:val="auto"/>
                      <w:sz w:val="21"/>
                      <w:szCs w:val="21"/>
                      <w:lang w:val="en-US" w:eastAsia="zh-CN"/>
                    </w:rPr>
                    <w:t>0.006</w:t>
                  </w:r>
                </w:p>
              </w:tc>
              <w:tc>
                <w:tcPr>
                  <w:tcW w:w="840" w:type="dxa"/>
                  <w:tcBorders>
                    <w:tl2br w:val="nil"/>
                    <w:tr2bl w:val="nil"/>
                  </w:tcBorders>
                  <w:noWrap w:val="0"/>
                  <w:vAlign w:val="center"/>
                </w:tcPr>
                <w:p w14:paraId="79A87E5D">
                  <w:pPr>
                    <w:pStyle w:val="92"/>
                    <w:keepNext w:val="0"/>
                    <w:keepLines w:val="0"/>
                    <w:pageBreakBefore w:val="0"/>
                    <w:kinsoku/>
                    <w:wordWrap/>
                    <w:overflowPunct/>
                    <w:topLinePunct w:val="0"/>
                    <w:autoSpaceDE/>
                    <w:autoSpaceDN/>
                    <w:bidi w:val="0"/>
                    <w:spacing w:line="288" w:lineRule="auto"/>
                    <w:textAlignment w:val="auto"/>
                    <w:rPr>
                      <w:rFonts w:hint="default" w:eastAsia="宋体"/>
                      <w:color w:val="auto"/>
                      <w:sz w:val="21"/>
                      <w:szCs w:val="21"/>
                      <w:lang w:val="en-US" w:eastAsia="zh-CN"/>
                    </w:rPr>
                  </w:pPr>
                  <w:r>
                    <w:rPr>
                      <w:rFonts w:hint="eastAsia" w:eastAsia="宋体"/>
                      <w:color w:val="auto"/>
                      <w:sz w:val="21"/>
                      <w:szCs w:val="21"/>
                      <w:lang w:val="en-US" w:eastAsia="zh-CN"/>
                    </w:rPr>
                    <w:t>0.0012</w:t>
                  </w:r>
                </w:p>
              </w:tc>
              <w:tc>
                <w:tcPr>
                  <w:tcW w:w="761" w:type="dxa"/>
                  <w:tcBorders>
                    <w:tl2br w:val="nil"/>
                    <w:tr2bl w:val="nil"/>
                  </w:tcBorders>
                  <w:noWrap w:val="0"/>
                  <w:vAlign w:val="center"/>
                </w:tcPr>
                <w:p w14:paraId="032E3561">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0.012</w:t>
                  </w:r>
                </w:p>
              </w:tc>
            </w:tr>
            <w:tr w14:paraId="69EAB2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continue"/>
                  <w:tcBorders>
                    <w:tl2br w:val="nil"/>
                    <w:tr2bl w:val="nil"/>
                  </w:tcBorders>
                  <w:noWrap w:val="0"/>
                  <w:vAlign w:val="center"/>
                </w:tcPr>
                <w:p w14:paraId="47C31648">
                  <w:pPr>
                    <w:spacing w:beforeLines="0" w:afterLines="0"/>
                    <w:jc w:val="center"/>
                    <w:rPr>
                      <w:rFonts w:hint="eastAsia"/>
                      <w:color w:val="auto"/>
                      <w:sz w:val="21"/>
                      <w:szCs w:val="21"/>
                    </w:rPr>
                  </w:pPr>
                </w:p>
              </w:tc>
              <w:tc>
                <w:tcPr>
                  <w:tcW w:w="1447" w:type="dxa"/>
                  <w:tcBorders>
                    <w:tl2br w:val="nil"/>
                    <w:tr2bl w:val="nil"/>
                  </w:tcBorders>
                  <w:noWrap w:val="0"/>
                  <w:vAlign w:val="center"/>
                </w:tcPr>
                <w:p w14:paraId="596FA576">
                  <w:pPr>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处理效率</w:t>
                  </w:r>
                </w:p>
              </w:tc>
              <w:tc>
                <w:tcPr>
                  <w:tcW w:w="1006" w:type="dxa"/>
                  <w:tcBorders>
                    <w:tl2br w:val="nil"/>
                    <w:tr2bl w:val="nil"/>
                  </w:tcBorders>
                  <w:noWrap w:val="0"/>
                  <w:vAlign w:val="center"/>
                </w:tcPr>
                <w:p w14:paraId="104BFC16">
                  <w:pPr>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化粪池</w:t>
                  </w:r>
                </w:p>
              </w:tc>
              <w:tc>
                <w:tcPr>
                  <w:tcW w:w="910" w:type="dxa"/>
                  <w:tcBorders>
                    <w:tl2br w:val="nil"/>
                    <w:tr2bl w:val="nil"/>
                  </w:tcBorders>
                  <w:noWrap w:val="0"/>
                  <w:vAlign w:val="center"/>
                </w:tcPr>
                <w:p w14:paraId="09F1BFCA">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20</w:t>
                  </w:r>
                  <w:r>
                    <w:rPr>
                      <w:rFonts w:hint="eastAsia"/>
                      <w:color w:val="auto"/>
                      <w:kern w:val="0"/>
                      <w:sz w:val="21"/>
                      <w:szCs w:val="21"/>
                      <w:lang w:bidi="ar"/>
                    </w:rPr>
                    <w:t>%</w:t>
                  </w:r>
                </w:p>
              </w:tc>
              <w:tc>
                <w:tcPr>
                  <w:tcW w:w="845" w:type="dxa"/>
                  <w:tcBorders>
                    <w:tl2br w:val="nil"/>
                    <w:tr2bl w:val="nil"/>
                  </w:tcBorders>
                  <w:noWrap w:val="0"/>
                  <w:vAlign w:val="center"/>
                </w:tcPr>
                <w:p w14:paraId="79CD705C">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25</w:t>
                  </w:r>
                  <w:r>
                    <w:rPr>
                      <w:rFonts w:hint="eastAsia"/>
                      <w:color w:val="auto"/>
                      <w:kern w:val="0"/>
                      <w:sz w:val="21"/>
                      <w:szCs w:val="21"/>
                      <w:lang w:bidi="ar"/>
                    </w:rPr>
                    <w:t>%</w:t>
                  </w:r>
                </w:p>
              </w:tc>
              <w:tc>
                <w:tcPr>
                  <w:tcW w:w="764" w:type="dxa"/>
                  <w:tcBorders>
                    <w:tl2br w:val="nil"/>
                    <w:tr2bl w:val="nil"/>
                  </w:tcBorders>
                  <w:noWrap w:val="0"/>
                  <w:vAlign w:val="center"/>
                </w:tcPr>
                <w:p w14:paraId="3B7FB7DF">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20</w:t>
                  </w:r>
                  <w:r>
                    <w:rPr>
                      <w:rFonts w:hint="eastAsia"/>
                      <w:color w:val="auto"/>
                      <w:kern w:val="0"/>
                      <w:sz w:val="21"/>
                      <w:szCs w:val="21"/>
                      <w:lang w:bidi="ar"/>
                    </w:rPr>
                    <w:t>%</w:t>
                  </w:r>
                </w:p>
              </w:tc>
              <w:tc>
                <w:tcPr>
                  <w:tcW w:w="792" w:type="dxa"/>
                  <w:tcBorders>
                    <w:tl2br w:val="nil"/>
                    <w:tr2bl w:val="nil"/>
                  </w:tcBorders>
                  <w:noWrap w:val="0"/>
                  <w:vAlign w:val="center"/>
                </w:tcPr>
                <w:p w14:paraId="1A29AA1A">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w:t>
                  </w:r>
                </w:p>
              </w:tc>
              <w:tc>
                <w:tcPr>
                  <w:tcW w:w="840" w:type="dxa"/>
                  <w:tcBorders>
                    <w:tl2br w:val="nil"/>
                    <w:tr2bl w:val="nil"/>
                  </w:tcBorders>
                  <w:noWrap w:val="0"/>
                  <w:vAlign w:val="center"/>
                </w:tcPr>
                <w:p w14:paraId="75E64CB5">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w:t>
                  </w:r>
                </w:p>
              </w:tc>
              <w:tc>
                <w:tcPr>
                  <w:tcW w:w="761" w:type="dxa"/>
                  <w:tcBorders>
                    <w:tl2br w:val="nil"/>
                    <w:tr2bl w:val="nil"/>
                  </w:tcBorders>
                  <w:shd w:val="clear" w:color="auto" w:fill="auto"/>
                  <w:noWrap w:val="0"/>
                  <w:vAlign w:val="center"/>
                </w:tcPr>
                <w:p w14:paraId="50677196">
                  <w:pPr>
                    <w:pStyle w:val="92"/>
                    <w:spacing w:line="288" w:lineRule="auto"/>
                    <w:rPr>
                      <w:rFonts w:hint="default" w:ascii="Times New Roman" w:hAnsi="Times New Roman" w:eastAsia="Times New Roman" w:cs="Times New Roman"/>
                      <w:color w:val="auto"/>
                      <w:spacing w:val="2"/>
                      <w:kern w:val="2"/>
                      <w:sz w:val="21"/>
                      <w:szCs w:val="21"/>
                      <w:lang w:val="en-US" w:eastAsia="zh-CN" w:bidi="ar-SA"/>
                    </w:rPr>
                  </w:pPr>
                  <w:r>
                    <w:rPr>
                      <w:rFonts w:hint="eastAsia"/>
                      <w:color w:val="auto"/>
                      <w:sz w:val="21"/>
                      <w:szCs w:val="21"/>
                    </w:rPr>
                    <w:t>5</w:t>
                  </w:r>
                  <w:r>
                    <w:rPr>
                      <w:rFonts w:hint="eastAsia"/>
                      <w:color w:val="auto"/>
                      <w:kern w:val="0"/>
                      <w:sz w:val="21"/>
                      <w:szCs w:val="21"/>
                      <w:lang w:bidi="ar"/>
                    </w:rPr>
                    <w:t>%</w:t>
                  </w:r>
                </w:p>
              </w:tc>
            </w:tr>
            <w:tr w14:paraId="2EED3E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continue"/>
                  <w:tcBorders>
                    <w:tl2br w:val="nil"/>
                    <w:tr2bl w:val="nil"/>
                  </w:tcBorders>
                  <w:noWrap w:val="0"/>
                  <w:vAlign w:val="center"/>
                </w:tcPr>
                <w:p w14:paraId="4FCD91B3">
                  <w:pPr>
                    <w:spacing w:beforeLines="0" w:afterLines="0"/>
                    <w:jc w:val="center"/>
                    <w:rPr>
                      <w:rFonts w:hint="eastAsia"/>
                      <w:color w:val="auto"/>
                      <w:sz w:val="21"/>
                      <w:szCs w:val="21"/>
                    </w:rPr>
                  </w:pPr>
                </w:p>
              </w:tc>
              <w:tc>
                <w:tcPr>
                  <w:tcW w:w="1447" w:type="dxa"/>
                  <w:tcBorders>
                    <w:tl2br w:val="nil"/>
                    <w:tr2bl w:val="nil"/>
                  </w:tcBorders>
                  <w:shd w:val="clear" w:color="auto" w:fill="auto"/>
                  <w:noWrap w:val="0"/>
                  <w:vAlign w:val="center"/>
                </w:tcPr>
                <w:p w14:paraId="3386776C">
                  <w:pPr>
                    <w:spacing w:beforeLines="0" w:afterLines="0"/>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 w:val="21"/>
                      <w:szCs w:val="21"/>
                    </w:rPr>
                    <w:t>排放浓度（mg/L）</w:t>
                  </w:r>
                </w:p>
              </w:tc>
              <w:tc>
                <w:tcPr>
                  <w:tcW w:w="1006" w:type="dxa"/>
                  <w:vMerge w:val="restart"/>
                  <w:tcBorders>
                    <w:tl2br w:val="nil"/>
                    <w:tr2bl w:val="nil"/>
                  </w:tcBorders>
                  <w:noWrap w:val="0"/>
                  <w:vAlign w:val="center"/>
                </w:tcPr>
                <w:p w14:paraId="3424D87D">
                  <w:pPr>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240</w:t>
                  </w:r>
                </w:p>
              </w:tc>
              <w:tc>
                <w:tcPr>
                  <w:tcW w:w="910" w:type="dxa"/>
                  <w:tcBorders>
                    <w:tl2br w:val="nil"/>
                    <w:tr2bl w:val="nil"/>
                  </w:tcBorders>
                  <w:noWrap w:val="0"/>
                  <w:vAlign w:val="center"/>
                </w:tcPr>
                <w:p w14:paraId="069B3D42">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200</w:t>
                  </w:r>
                </w:p>
              </w:tc>
              <w:tc>
                <w:tcPr>
                  <w:tcW w:w="845" w:type="dxa"/>
                  <w:tcBorders>
                    <w:tl2br w:val="nil"/>
                    <w:tr2bl w:val="nil"/>
                  </w:tcBorders>
                  <w:noWrap w:val="0"/>
                  <w:vAlign w:val="center"/>
                </w:tcPr>
                <w:p w14:paraId="46AF3073">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112.5</w:t>
                  </w:r>
                </w:p>
              </w:tc>
              <w:tc>
                <w:tcPr>
                  <w:tcW w:w="764" w:type="dxa"/>
                  <w:tcBorders>
                    <w:tl2br w:val="nil"/>
                    <w:tr2bl w:val="nil"/>
                  </w:tcBorders>
                  <w:noWrap w:val="0"/>
                  <w:vAlign w:val="center"/>
                </w:tcPr>
                <w:p w14:paraId="253FB94E">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120</w:t>
                  </w:r>
                </w:p>
              </w:tc>
              <w:tc>
                <w:tcPr>
                  <w:tcW w:w="792" w:type="dxa"/>
                  <w:tcBorders>
                    <w:tl2br w:val="nil"/>
                    <w:tr2bl w:val="nil"/>
                  </w:tcBorders>
                  <w:noWrap w:val="0"/>
                  <w:vAlign w:val="center"/>
                </w:tcPr>
                <w:p w14:paraId="4B2327A0">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25</w:t>
                  </w:r>
                </w:p>
              </w:tc>
              <w:tc>
                <w:tcPr>
                  <w:tcW w:w="840" w:type="dxa"/>
                  <w:tcBorders>
                    <w:tl2br w:val="nil"/>
                    <w:tr2bl w:val="nil"/>
                  </w:tcBorders>
                  <w:noWrap w:val="0"/>
                  <w:vAlign w:val="center"/>
                </w:tcPr>
                <w:p w14:paraId="6C5DC4F0">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5</w:t>
                  </w:r>
                </w:p>
              </w:tc>
              <w:tc>
                <w:tcPr>
                  <w:tcW w:w="761" w:type="dxa"/>
                  <w:tcBorders>
                    <w:tl2br w:val="nil"/>
                    <w:tr2bl w:val="nil"/>
                  </w:tcBorders>
                  <w:shd w:val="clear" w:color="auto" w:fill="auto"/>
                  <w:noWrap w:val="0"/>
                  <w:vAlign w:val="center"/>
                </w:tcPr>
                <w:p w14:paraId="48877EC9">
                  <w:pPr>
                    <w:pStyle w:val="92"/>
                    <w:spacing w:line="288" w:lineRule="auto"/>
                    <w:rPr>
                      <w:rFonts w:hint="default" w:ascii="Times New Roman" w:hAnsi="Times New Roman" w:eastAsia="Times New Roman" w:cs="Times New Roman"/>
                      <w:color w:val="auto"/>
                      <w:spacing w:val="2"/>
                      <w:kern w:val="2"/>
                      <w:sz w:val="21"/>
                      <w:szCs w:val="21"/>
                      <w:lang w:val="en-US" w:eastAsia="zh-CN" w:bidi="ar-SA"/>
                    </w:rPr>
                  </w:pPr>
                  <w:r>
                    <w:rPr>
                      <w:rFonts w:hint="eastAsia"/>
                      <w:color w:val="auto"/>
                      <w:sz w:val="21"/>
                      <w:szCs w:val="21"/>
                    </w:rPr>
                    <w:t>47.5</w:t>
                  </w:r>
                </w:p>
              </w:tc>
            </w:tr>
            <w:tr w14:paraId="029C60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continue"/>
                  <w:tcBorders>
                    <w:tl2br w:val="nil"/>
                    <w:tr2bl w:val="nil"/>
                  </w:tcBorders>
                  <w:noWrap w:val="0"/>
                  <w:vAlign w:val="center"/>
                </w:tcPr>
                <w:p w14:paraId="764CAC8F">
                  <w:pPr>
                    <w:spacing w:beforeLines="0" w:afterLines="0"/>
                    <w:jc w:val="center"/>
                    <w:rPr>
                      <w:rFonts w:hint="eastAsia"/>
                      <w:color w:val="auto"/>
                      <w:sz w:val="21"/>
                      <w:szCs w:val="21"/>
                    </w:rPr>
                  </w:pPr>
                </w:p>
              </w:tc>
              <w:tc>
                <w:tcPr>
                  <w:tcW w:w="1447" w:type="dxa"/>
                  <w:tcBorders>
                    <w:tl2br w:val="nil"/>
                    <w:tr2bl w:val="nil"/>
                  </w:tcBorders>
                  <w:shd w:val="clear" w:color="auto" w:fill="auto"/>
                  <w:noWrap w:val="0"/>
                  <w:vAlign w:val="center"/>
                </w:tcPr>
                <w:p w14:paraId="5822C334">
                  <w:pPr>
                    <w:spacing w:beforeLines="0" w:afterLines="0"/>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 w:val="21"/>
                      <w:szCs w:val="21"/>
                    </w:rPr>
                    <w:t>排放量（t/a）</w:t>
                  </w:r>
                </w:p>
              </w:tc>
              <w:tc>
                <w:tcPr>
                  <w:tcW w:w="1006" w:type="dxa"/>
                  <w:vMerge w:val="continue"/>
                  <w:tcBorders>
                    <w:tl2br w:val="nil"/>
                    <w:tr2bl w:val="nil"/>
                  </w:tcBorders>
                  <w:noWrap w:val="0"/>
                  <w:vAlign w:val="center"/>
                </w:tcPr>
                <w:p w14:paraId="1ACEEFB9">
                  <w:pPr>
                    <w:spacing w:beforeLines="0" w:afterLines="0"/>
                    <w:jc w:val="center"/>
                    <w:rPr>
                      <w:rFonts w:hint="default" w:eastAsia="宋体"/>
                      <w:color w:val="auto"/>
                      <w:sz w:val="21"/>
                      <w:szCs w:val="21"/>
                      <w:lang w:val="en-US" w:eastAsia="zh-CN"/>
                    </w:rPr>
                  </w:pPr>
                </w:p>
              </w:tc>
              <w:tc>
                <w:tcPr>
                  <w:tcW w:w="910" w:type="dxa"/>
                  <w:tcBorders>
                    <w:tl2br w:val="nil"/>
                    <w:tr2bl w:val="nil"/>
                  </w:tcBorders>
                  <w:noWrap w:val="0"/>
                  <w:vAlign w:val="center"/>
                </w:tcPr>
                <w:p w14:paraId="4FCB5726">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0.048</w:t>
                  </w:r>
                </w:p>
              </w:tc>
              <w:tc>
                <w:tcPr>
                  <w:tcW w:w="845" w:type="dxa"/>
                  <w:tcBorders>
                    <w:tl2br w:val="nil"/>
                    <w:tr2bl w:val="nil"/>
                  </w:tcBorders>
                  <w:noWrap w:val="0"/>
                  <w:vAlign w:val="center"/>
                </w:tcPr>
                <w:p w14:paraId="39A3C848">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0.027</w:t>
                  </w:r>
                </w:p>
              </w:tc>
              <w:tc>
                <w:tcPr>
                  <w:tcW w:w="764" w:type="dxa"/>
                  <w:tcBorders>
                    <w:tl2br w:val="nil"/>
                    <w:tr2bl w:val="nil"/>
                  </w:tcBorders>
                  <w:noWrap w:val="0"/>
                  <w:vAlign w:val="center"/>
                </w:tcPr>
                <w:p w14:paraId="5BC1CA06">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0.028.8</w:t>
                  </w:r>
                </w:p>
              </w:tc>
              <w:tc>
                <w:tcPr>
                  <w:tcW w:w="792" w:type="dxa"/>
                  <w:tcBorders>
                    <w:tl2br w:val="nil"/>
                    <w:tr2bl w:val="nil"/>
                  </w:tcBorders>
                  <w:shd w:val="clear" w:color="auto" w:fill="auto"/>
                  <w:noWrap w:val="0"/>
                  <w:vAlign w:val="center"/>
                </w:tcPr>
                <w:p w14:paraId="557B1D86">
                  <w:pPr>
                    <w:keepNext w:val="0"/>
                    <w:keepLines w:val="0"/>
                    <w:pageBreakBefore w:val="0"/>
                    <w:kinsoku/>
                    <w:wordWrap/>
                    <w:overflowPunct/>
                    <w:topLinePunct w:val="0"/>
                    <w:autoSpaceDE/>
                    <w:autoSpaceDN/>
                    <w:bidi w:val="0"/>
                    <w:adjustRightInd w:val="0"/>
                    <w:spacing w:line="288"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0.006</w:t>
                  </w:r>
                </w:p>
              </w:tc>
              <w:tc>
                <w:tcPr>
                  <w:tcW w:w="840" w:type="dxa"/>
                  <w:tcBorders>
                    <w:tl2br w:val="nil"/>
                    <w:tr2bl w:val="nil"/>
                  </w:tcBorders>
                  <w:shd w:val="clear" w:color="auto" w:fill="auto"/>
                  <w:noWrap w:val="0"/>
                  <w:vAlign w:val="center"/>
                </w:tcPr>
                <w:p w14:paraId="478515A5">
                  <w:pPr>
                    <w:pStyle w:val="92"/>
                    <w:keepNext w:val="0"/>
                    <w:keepLines w:val="0"/>
                    <w:pageBreakBefore w:val="0"/>
                    <w:kinsoku/>
                    <w:wordWrap/>
                    <w:overflowPunct/>
                    <w:topLinePunct w:val="0"/>
                    <w:autoSpaceDE/>
                    <w:autoSpaceDN/>
                    <w:bidi w:val="0"/>
                    <w:spacing w:line="288" w:lineRule="auto"/>
                    <w:textAlignment w:val="auto"/>
                    <w:rPr>
                      <w:rFonts w:hint="default" w:ascii="Times New Roman" w:hAnsi="Times New Roman" w:eastAsia="宋体" w:cs="Times New Roman"/>
                      <w:color w:val="auto"/>
                      <w:spacing w:val="2"/>
                      <w:kern w:val="2"/>
                      <w:sz w:val="21"/>
                      <w:szCs w:val="21"/>
                      <w:lang w:val="en-US" w:eastAsia="zh-CN" w:bidi="ar-SA"/>
                    </w:rPr>
                  </w:pPr>
                  <w:r>
                    <w:rPr>
                      <w:rFonts w:hint="eastAsia" w:eastAsia="宋体"/>
                      <w:color w:val="auto"/>
                      <w:sz w:val="21"/>
                      <w:szCs w:val="21"/>
                      <w:lang w:val="en-US" w:eastAsia="zh-CN"/>
                    </w:rPr>
                    <w:t>0.0012</w:t>
                  </w:r>
                </w:p>
              </w:tc>
              <w:tc>
                <w:tcPr>
                  <w:tcW w:w="761" w:type="dxa"/>
                  <w:tcBorders>
                    <w:tl2br w:val="nil"/>
                    <w:tr2bl w:val="nil"/>
                  </w:tcBorders>
                  <w:shd w:val="clear" w:color="auto" w:fill="auto"/>
                  <w:noWrap w:val="0"/>
                  <w:vAlign w:val="center"/>
                </w:tcPr>
                <w:p w14:paraId="303BA4E8">
                  <w:pPr>
                    <w:widowControl/>
                    <w:spacing w:beforeLines="0" w:afterLines="0"/>
                    <w:jc w:val="center"/>
                    <w:textAlignment w:val="center"/>
                    <w:rPr>
                      <w:rFonts w:hint="default" w:ascii="Times New Roman" w:hAnsi="Times New Roman" w:eastAsia="宋体" w:cs="Times New Roman"/>
                      <w:color w:val="auto"/>
                      <w:kern w:val="0"/>
                      <w:sz w:val="21"/>
                      <w:szCs w:val="21"/>
                      <w:lang w:val="en-US" w:eastAsia="zh-CN" w:bidi="ar"/>
                    </w:rPr>
                  </w:pPr>
                  <w:r>
                    <w:rPr>
                      <w:rFonts w:hint="eastAsia" w:eastAsia="宋体"/>
                      <w:color w:val="auto"/>
                      <w:kern w:val="0"/>
                      <w:sz w:val="21"/>
                      <w:szCs w:val="21"/>
                      <w:lang w:val="en-US" w:eastAsia="zh-CN" w:bidi="ar"/>
                    </w:rPr>
                    <w:t>0.011</w:t>
                  </w:r>
                </w:p>
              </w:tc>
            </w:tr>
            <w:tr w14:paraId="220931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restart"/>
                  <w:tcBorders>
                    <w:tl2br w:val="nil"/>
                    <w:tr2bl w:val="nil"/>
                  </w:tcBorders>
                  <w:noWrap w:val="0"/>
                  <w:vAlign w:val="center"/>
                </w:tcPr>
                <w:p w14:paraId="3853C426">
                  <w:pPr>
                    <w:spacing w:beforeLines="0" w:afterLines="0"/>
                    <w:jc w:val="center"/>
                    <w:rPr>
                      <w:rFonts w:hint="eastAsia"/>
                      <w:color w:val="auto"/>
                      <w:sz w:val="21"/>
                      <w:szCs w:val="21"/>
                    </w:rPr>
                  </w:pPr>
                  <w:r>
                    <w:rPr>
                      <w:rFonts w:hint="eastAsia"/>
                      <w:color w:val="auto"/>
                      <w:sz w:val="21"/>
                      <w:szCs w:val="21"/>
                    </w:rPr>
                    <w:t>混合</w:t>
                  </w:r>
                  <w:r>
                    <w:rPr>
                      <w:rFonts w:hint="eastAsia" w:eastAsia="宋体"/>
                      <w:color w:val="auto"/>
                      <w:sz w:val="21"/>
                      <w:szCs w:val="21"/>
                    </w:rPr>
                    <w:t>排放</w:t>
                  </w:r>
                  <w:r>
                    <w:rPr>
                      <w:rFonts w:hint="eastAsia"/>
                      <w:color w:val="auto"/>
                      <w:sz w:val="21"/>
                      <w:szCs w:val="21"/>
                    </w:rPr>
                    <w:t>废水</w:t>
                  </w:r>
                </w:p>
              </w:tc>
              <w:tc>
                <w:tcPr>
                  <w:tcW w:w="1447" w:type="dxa"/>
                  <w:tcBorders>
                    <w:tl2br w:val="nil"/>
                    <w:tr2bl w:val="nil"/>
                  </w:tcBorders>
                  <w:noWrap w:val="0"/>
                  <w:vAlign w:val="center"/>
                </w:tcPr>
                <w:p w14:paraId="0030226E">
                  <w:pPr>
                    <w:spacing w:beforeLines="0" w:afterLines="0"/>
                    <w:jc w:val="center"/>
                    <w:rPr>
                      <w:rFonts w:hint="eastAsia"/>
                      <w:color w:val="auto"/>
                      <w:sz w:val="21"/>
                      <w:szCs w:val="21"/>
                    </w:rPr>
                  </w:pPr>
                  <w:r>
                    <w:rPr>
                      <w:rFonts w:hint="eastAsia"/>
                      <w:color w:val="auto"/>
                      <w:sz w:val="21"/>
                      <w:szCs w:val="21"/>
                    </w:rPr>
                    <w:t>排放浓度（mg/L）</w:t>
                  </w:r>
                </w:p>
              </w:tc>
              <w:tc>
                <w:tcPr>
                  <w:tcW w:w="1006" w:type="dxa"/>
                  <w:vMerge w:val="restart"/>
                  <w:tcBorders>
                    <w:tl2br w:val="nil"/>
                    <w:tr2bl w:val="nil"/>
                  </w:tcBorders>
                  <w:noWrap w:val="0"/>
                  <w:vAlign w:val="center"/>
                </w:tcPr>
                <w:p w14:paraId="14CD0357">
                  <w:pPr>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1490</w:t>
                  </w:r>
                </w:p>
              </w:tc>
              <w:tc>
                <w:tcPr>
                  <w:tcW w:w="910" w:type="dxa"/>
                  <w:tcBorders>
                    <w:tl2br w:val="nil"/>
                    <w:tr2bl w:val="nil"/>
                  </w:tcBorders>
                  <w:noWrap w:val="0"/>
                  <w:vAlign w:val="center"/>
                </w:tcPr>
                <w:p w14:paraId="009F25A0">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294</w:t>
                  </w:r>
                </w:p>
              </w:tc>
              <w:tc>
                <w:tcPr>
                  <w:tcW w:w="845" w:type="dxa"/>
                  <w:tcBorders>
                    <w:tl2br w:val="nil"/>
                    <w:tr2bl w:val="nil"/>
                  </w:tcBorders>
                  <w:noWrap w:val="0"/>
                  <w:vAlign w:val="center"/>
                </w:tcPr>
                <w:p w14:paraId="1D2AE4D1">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183</w:t>
                  </w:r>
                </w:p>
              </w:tc>
              <w:tc>
                <w:tcPr>
                  <w:tcW w:w="764" w:type="dxa"/>
                  <w:tcBorders>
                    <w:tl2br w:val="nil"/>
                    <w:tr2bl w:val="nil"/>
                  </w:tcBorders>
                  <w:noWrap w:val="0"/>
                  <w:vAlign w:val="center"/>
                </w:tcPr>
                <w:p w14:paraId="2BE18532">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138</w:t>
                  </w:r>
                </w:p>
              </w:tc>
              <w:tc>
                <w:tcPr>
                  <w:tcW w:w="792" w:type="dxa"/>
                  <w:tcBorders>
                    <w:tl2br w:val="nil"/>
                    <w:tr2bl w:val="nil"/>
                  </w:tcBorders>
                  <w:noWrap w:val="0"/>
                  <w:vAlign w:val="center"/>
                </w:tcPr>
                <w:p w14:paraId="297321B1">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23</w:t>
                  </w:r>
                </w:p>
              </w:tc>
              <w:tc>
                <w:tcPr>
                  <w:tcW w:w="840" w:type="dxa"/>
                  <w:tcBorders>
                    <w:tl2br w:val="nil"/>
                    <w:tr2bl w:val="nil"/>
                  </w:tcBorders>
                  <w:noWrap w:val="0"/>
                  <w:vAlign w:val="center"/>
                </w:tcPr>
                <w:p w14:paraId="72BCF84D">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3.8</w:t>
                  </w:r>
                </w:p>
              </w:tc>
              <w:tc>
                <w:tcPr>
                  <w:tcW w:w="761" w:type="dxa"/>
                  <w:tcBorders>
                    <w:tl2br w:val="nil"/>
                    <w:tr2bl w:val="nil"/>
                  </w:tcBorders>
                  <w:noWrap w:val="0"/>
                  <w:vAlign w:val="center"/>
                </w:tcPr>
                <w:p w14:paraId="4107BC7D">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56</w:t>
                  </w:r>
                </w:p>
              </w:tc>
            </w:tr>
            <w:tr w14:paraId="17C0E7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850" w:type="dxa"/>
                  <w:vMerge w:val="continue"/>
                  <w:tcBorders>
                    <w:tl2br w:val="nil"/>
                    <w:tr2bl w:val="nil"/>
                  </w:tcBorders>
                  <w:noWrap w:val="0"/>
                  <w:vAlign w:val="center"/>
                </w:tcPr>
                <w:p w14:paraId="4CA0C544">
                  <w:pPr>
                    <w:spacing w:beforeLines="0" w:afterLines="0"/>
                    <w:jc w:val="center"/>
                    <w:rPr>
                      <w:rFonts w:hint="eastAsia"/>
                      <w:color w:val="auto"/>
                      <w:sz w:val="21"/>
                      <w:szCs w:val="21"/>
                    </w:rPr>
                  </w:pPr>
                </w:p>
              </w:tc>
              <w:tc>
                <w:tcPr>
                  <w:tcW w:w="1447" w:type="dxa"/>
                  <w:tcBorders>
                    <w:tl2br w:val="nil"/>
                    <w:tr2bl w:val="nil"/>
                  </w:tcBorders>
                  <w:noWrap w:val="0"/>
                  <w:vAlign w:val="center"/>
                </w:tcPr>
                <w:p w14:paraId="128CE4A3">
                  <w:pPr>
                    <w:spacing w:beforeLines="0" w:afterLines="0"/>
                    <w:jc w:val="center"/>
                    <w:rPr>
                      <w:rFonts w:hint="eastAsia"/>
                      <w:color w:val="auto"/>
                      <w:sz w:val="21"/>
                      <w:szCs w:val="21"/>
                    </w:rPr>
                  </w:pPr>
                  <w:r>
                    <w:rPr>
                      <w:rFonts w:hint="eastAsia"/>
                      <w:color w:val="auto"/>
                      <w:sz w:val="21"/>
                      <w:szCs w:val="21"/>
                    </w:rPr>
                    <w:t>排放量（t/a）</w:t>
                  </w:r>
                </w:p>
              </w:tc>
              <w:tc>
                <w:tcPr>
                  <w:tcW w:w="1006" w:type="dxa"/>
                  <w:vMerge w:val="continue"/>
                  <w:tcBorders>
                    <w:tl2br w:val="nil"/>
                    <w:tr2bl w:val="nil"/>
                  </w:tcBorders>
                  <w:noWrap w:val="0"/>
                  <w:vAlign w:val="center"/>
                </w:tcPr>
                <w:p w14:paraId="26F5B25F">
                  <w:pPr>
                    <w:spacing w:beforeLines="0" w:afterLines="0"/>
                    <w:jc w:val="center"/>
                    <w:rPr>
                      <w:rFonts w:hint="eastAsia"/>
                      <w:color w:val="auto"/>
                      <w:sz w:val="21"/>
                      <w:szCs w:val="21"/>
                    </w:rPr>
                  </w:pPr>
                </w:p>
              </w:tc>
              <w:tc>
                <w:tcPr>
                  <w:tcW w:w="910" w:type="dxa"/>
                  <w:tcBorders>
                    <w:tl2br w:val="nil"/>
                    <w:tr2bl w:val="nil"/>
                  </w:tcBorders>
                  <w:noWrap w:val="0"/>
                  <w:vAlign w:val="center"/>
                </w:tcPr>
                <w:p w14:paraId="4004D07B">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0.438</w:t>
                  </w:r>
                </w:p>
              </w:tc>
              <w:tc>
                <w:tcPr>
                  <w:tcW w:w="845" w:type="dxa"/>
                  <w:tcBorders>
                    <w:tl2br w:val="nil"/>
                    <w:tr2bl w:val="nil"/>
                  </w:tcBorders>
                  <w:noWrap w:val="0"/>
                  <w:vAlign w:val="center"/>
                </w:tcPr>
                <w:p w14:paraId="5BFAC4F4">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0.273</w:t>
                  </w:r>
                </w:p>
              </w:tc>
              <w:tc>
                <w:tcPr>
                  <w:tcW w:w="764" w:type="dxa"/>
                  <w:tcBorders>
                    <w:tl2br w:val="nil"/>
                    <w:tr2bl w:val="nil"/>
                  </w:tcBorders>
                  <w:noWrap w:val="0"/>
                  <w:vAlign w:val="center"/>
                </w:tcPr>
                <w:p w14:paraId="357337FA">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0.206</w:t>
                  </w:r>
                </w:p>
              </w:tc>
              <w:tc>
                <w:tcPr>
                  <w:tcW w:w="792" w:type="dxa"/>
                  <w:tcBorders>
                    <w:tl2br w:val="nil"/>
                    <w:tr2bl w:val="nil"/>
                  </w:tcBorders>
                  <w:noWrap w:val="0"/>
                  <w:vAlign w:val="center"/>
                </w:tcPr>
                <w:p w14:paraId="5425F11A">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0.034</w:t>
                  </w:r>
                </w:p>
              </w:tc>
              <w:tc>
                <w:tcPr>
                  <w:tcW w:w="840" w:type="dxa"/>
                  <w:tcBorders>
                    <w:tl2br w:val="nil"/>
                    <w:tr2bl w:val="nil"/>
                  </w:tcBorders>
                  <w:noWrap w:val="0"/>
                  <w:vAlign w:val="center"/>
                </w:tcPr>
                <w:p w14:paraId="6EE68340">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0.006</w:t>
                  </w:r>
                </w:p>
              </w:tc>
              <w:tc>
                <w:tcPr>
                  <w:tcW w:w="761" w:type="dxa"/>
                  <w:tcBorders>
                    <w:tl2br w:val="nil"/>
                    <w:tr2bl w:val="nil"/>
                  </w:tcBorders>
                  <w:noWrap w:val="0"/>
                  <w:vAlign w:val="center"/>
                </w:tcPr>
                <w:p w14:paraId="57D7B317">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0.083</w:t>
                  </w:r>
                </w:p>
              </w:tc>
            </w:tr>
            <w:tr w14:paraId="66EFA5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97" w:type="dxa"/>
                  <w:gridSpan w:val="2"/>
                  <w:tcBorders>
                    <w:tl2br w:val="nil"/>
                    <w:tr2bl w:val="nil"/>
                  </w:tcBorders>
                  <w:noWrap w:val="0"/>
                  <w:vAlign w:val="center"/>
                </w:tcPr>
                <w:p w14:paraId="6AF3F280">
                  <w:pPr>
                    <w:spacing w:beforeLines="0" w:afterLines="0"/>
                    <w:jc w:val="center"/>
                    <w:rPr>
                      <w:rFonts w:hint="eastAsia"/>
                      <w:color w:val="auto"/>
                      <w:sz w:val="21"/>
                      <w:szCs w:val="21"/>
                    </w:rPr>
                  </w:pPr>
                  <w:r>
                    <w:rPr>
                      <w:rFonts w:hint="eastAsia"/>
                      <w:color w:val="auto"/>
                      <w:sz w:val="21"/>
                      <w:szCs w:val="21"/>
                      <w:lang w:val="en-US" w:eastAsia="zh-CN"/>
                    </w:rPr>
                    <w:t>星火工业园污水处理厂</w:t>
                  </w:r>
                  <w:r>
                    <w:rPr>
                      <w:rFonts w:hint="eastAsia"/>
                      <w:color w:val="auto"/>
                      <w:sz w:val="21"/>
                      <w:szCs w:val="21"/>
                    </w:rPr>
                    <w:t>接管标准（mg/L）</w:t>
                  </w:r>
                </w:p>
              </w:tc>
              <w:tc>
                <w:tcPr>
                  <w:tcW w:w="1006" w:type="dxa"/>
                  <w:tcBorders>
                    <w:tl2br w:val="nil"/>
                    <w:tr2bl w:val="nil"/>
                  </w:tcBorders>
                  <w:noWrap w:val="0"/>
                  <w:vAlign w:val="center"/>
                </w:tcPr>
                <w:p w14:paraId="0814CF23">
                  <w:pPr>
                    <w:spacing w:beforeLines="0" w:afterLines="0"/>
                    <w:jc w:val="center"/>
                    <w:rPr>
                      <w:rFonts w:hint="eastAsia" w:eastAsia="宋体"/>
                      <w:color w:val="auto"/>
                      <w:sz w:val="21"/>
                      <w:szCs w:val="21"/>
                    </w:rPr>
                  </w:pPr>
                  <w:r>
                    <w:rPr>
                      <w:rFonts w:hint="eastAsia" w:eastAsia="宋体"/>
                      <w:color w:val="auto"/>
                      <w:sz w:val="21"/>
                      <w:szCs w:val="21"/>
                    </w:rPr>
                    <w:t>/</w:t>
                  </w:r>
                </w:p>
              </w:tc>
              <w:tc>
                <w:tcPr>
                  <w:tcW w:w="910" w:type="dxa"/>
                  <w:tcBorders>
                    <w:tl2br w:val="nil"/>
                    <w:tr2bl w:val="nil"/>
                  </w:tcBorders>
                  <w:noWrap w:val="0"/>
                  <w:vAlign w:val="center"/>
                </w:tcPr>
                <w:p w14:paraId="0ECF0551">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500</w:t>
                  </w:r>
                </w:p>
              </w:tc>
              <w:tc>
                <w:tcPr>
                  <w:tcW w:w="845" w:type="dxa"/>
                  <w:tcBorders>
                    <w:tl2br w:val="nil"/>
                    <w:tr2bl w:val="nil"/>
                  </w:tcBorders>
                  <w:noWrap w:val="0"/>
                  <w:vAlign w:val="center"/>
                </w:tcPr>
                <w:p w14:paraId="7CEF0A97">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300</w:t>
                  </w:r>
                </w:p>
              </w:tc>
              <w:tc>
                <w:tcPr>
                  <w:tcW w:w="764" w:type="dxa"/>
                  <w:tcBorders>
                    <w:tl2br w:val="nil"/>
                    <w:tr2bl w:val="nil"/>
                  </w:tcBorders>
                  <w:noWrap w:val="0"/>
                  <w:vAlign w:val="center"/>
                </w:tcPr>
                <w:p w14:paraId="2F1A442B">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400</w:t>
                  </w:r>
                </w:p>
              </w:tc>
              <w:tc>
                <w:tcPr>
                  <w:tcW w:w="792" w:type="dxa"/>
                  <w:tcBorders>
                    <w:tl2br w:val="nil"/>
                    <w:tr2bl w:val="nil"/>
                  </w:tcBorders>
                  <w:noWrap w:val="0"/>
                  <w:vAlign w:val="center"/>
                </w:tcPr>
                <w:p w14:paraId="5E90502B">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50</w:t>
                  </w:r>
                </w:p>
              </w:tc>
              <w:tc>
                <w:tcPr>
                  <w:tcW w:w="840" w:type="dxa"/>
                  <w:tcBorders>
                    <w:tl2br w:val="nil"/>
                    <w:tr2bl w:val="nil"/>
                  </w:tcBorders>
                  <w:noWrap w:val="0"/>
                  <w:vAlign w:val="center"/>
                </w:tcPr>
                <w:p w14:paraId="46093650">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4</w:t>
                  </w:r>
                </w:p>
              </w:tc>
              <w:tc>
                <w:tcPr>
                  <w:tcW w:w="761" w:type="dxa"/>
                  <w:tcBorders>
                    <w:tl2br w:val="nil"/>
                    <w:tr2bl w:val="nil"/>
                  </w:tcBorders>
                  <w:noWrap w:val="0"/>
                  <w:vAlign w:val="center"/>
                </w:tcPr>
                <w:p w14:paraId="103A0D80">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70</w:t>
                  </w:r>
                </w:p>
              </w:tc>
            </w:tr>
            <w:tr w14:paraId="3BD77E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97" w:type="dxa"/>
                  <w:gridSpan w:val="2"/>
                  <w:tcBorders>
                    <w:tl2br w:val="nil"/>
                    <w:tr2bl w:val="nil"/>
                  </w:tcBorders>
                  <w:noWrap w:val="0"/>
                  <w:vAlign w:val="center"/>
                </w:tcPr>
                <w:p w14:paraId="4AD03E2A">
                  <w:pPr>
                    <w:spacing w:beforeLines="0" w:afterLines="0"/>
                    <w:jc w:val="center"/>
                    <w:rPr>
                      <w:rFonts w:hint="eastAsia"/>
                      <w:color w:val="auto"/>
                      <w:sz w:val="21"/>
                      <w:szCs w:val="21"/>
                    </w:rPr>
                  </w:pPr>
                  <w:r>
                    <w:rPr>
                      <w:color w:val="auto"/>
                      <w:sz w:val="21"/>
                      <w:szCs w:val="21"/>
                    </w:rPr>
                    <w:t>（GB18918-2002）中一级</w:t>
                  </w:r>
                  <w:r>
                    <w:rPr>
                      <w:rFonts w:hint="eastAsia"/>
                      <w:color w:val="auto"/>
                      <w:sz w:val="21"/>
                      <w:szCs w:val="21"/>
                    </w:rPr>
                    <w:t>A</w:t>
                  </w:r>
                  <w:r>
                    <w:rPr>
                      <w:color w:val="auto"/>
                      <w:sz w:val="21"/>
                      <w:szCs w:val="21"/>
                    </w:rPr>
                    <w:t>标准</w:t>
                  </w:r>
                  <w:r>
                    <w:rPr>
                      <w:color w:val="auto"/>
                      <w:kern w:val="0"/>
                      <w:sz w:val="21"/>
                      <w:szCs w:val="21"/>
                    </w:rPr>
                    <w:t>(mg/L)</w:t>
                  </w:r>
                </w:p>
              </w:tc>
              <w:tc>
                <w:tcPr>
                  <w:tcW w:w="1006" w:type="dxa"/>
                  <w:tcBorders>
                    <w:tl2br w:val="nil"/>
                    <w:tr2bl w:val="nil"/>
                  </w:tcBorders>
                  <w:noWrap w:val="0"/>
                  <w:vAlign w:val="center"/>
                </w:tcPr>
                <w:p w14:paraId="29094539">
                  <w:pPr>
                    <w:spacing w:beforeLines="0" w:afterLines="0"/>
                    <w:jc w:val="center"/>
                    <w:rPr>
                      <w:rFonts w:hint="eastAsia" w:eastAsia="宋体"/>
                      <w:color w:val="auto"/>
                      <w:sz w:val="21"/>
                      <w:szCs w:val="21"/>
                    </w:rPr>
                  </w:pPr>
                  <w:r>
                    <w:rPr>
                      <w:rFonts w:hint="eastAsia" w:eastAsia="宋体"/>
                      <w:color w:val="auto"/>
                      <w:sz w:val="21"/>
                      <w:szCs w:val="21"/>
                    </w:rPr>
                    <w:t>/</w:t>
                  </w:r>
                </w:p>
              </w:tc>
              <w:tc>
                <w:tcPr>
                  <w:tcW w:w="910" w:type="dxa"/>
                  <w:tcBorders>
                    <w:tl2br w:val="nil"/>
                    <w:tr2bl w:val="nil"/>
                  </w:tcBorders>
                  <w:noWrap w:val="0"/>
                  <w:vAlign w:val="center"/>
                </w:tcPr>
                <w:p w14:paraId="262473EE">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50</w:t>
                  </w:r>
                </w:p>
              </w:tc>
              <w:tc>
                <w:tcPr>
                  <w:tcW w:w="845" w:type="dxa"/>
                  <w:tcBorders>
                    <w:tl2br w:val="nil"/>
                    <w:tr2bl w:val="nil"/>
                  </w:tcBorders>
                  <w:noWrap w:val="0"/>
                  <w:vAlign w:val="center"/>
                </w:tcPr>
                <w:p w14:paraId="5858BDE9">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10</w:t>
                  </w:r>
                </w:p>
              </w:tc>
              <w:tc>
                <w:tcPr>
                  <w:tcW w:w="764" w:type="dxa"/>
                  <w:tcBorders>
                    <w:tl2br w:val="nil"/>
                    <w:tr2bl w:val="nil"/>
                  </w:tcBorders>
                  <w:noWrap w:val="0"/>
                  <w:vAlign w:val="center"/>
                </w:tcPr>
                <w:p w14:paraId="60DF6F10">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10</w:t>
                  </w:r>
                </w:p>
              </w:tc>
              <w:tc>
                <w:tcPr>
                  <w:tcW w:w="792" w:type="dxa"/>
                  <w:tcBorders>
                    <w:tl2br w:val="nil"/>
                    <w:tr2bl w:val="nil"/>
                  </w:tcBorders>
                  <w:noWrap w:val="0"/>
                  <w:vAlign w:val="center"/>
                </w:tcPr>
                <w:p w14:paraId="2CABD06A">
                  <w:pPr>
                    <w:widowControl/>
                    <w:spacing w:beforeLines="0" w:afterLines="0"/>
                    <w:jc w:val="center"/>
                    <w:textAlignment w:val="center"/>
                    <w:rPr>
                      <w:rFonts w:hint="eastAsia" w:eastAsia="宋体"/>
                      <w:color w:val="auto"/>
                      <w:sz w:val="21"/>
                      <w:szCs w:val="21"/>
                      <w:lang w:val="en-US" w:eastAsia="zh-CN"/>
                    </w:rPr>
                  </w:pPr>
                  <w:r>
                    <w:rPr>
                      <w:rFonts w:hint="eastAsia" w:eastAsia="宋体"/>
                      <w:color w:val="auto"/>
                      <w:sz w:val="21"/>
                      <w:szCs w:val="21"/>
                      <w:lang w:val="en-US" w:eastAsia="zh-CN"/>
                    </w:rPr>
                    <w:t>5</w:t>
                  </w:r>
                </w:p>
              </w:tc>
              <w:tc>
                <w:tcPr>
                  <w:tcW w:w="840" w:type="dxa"/>
                  <w:tcBorders>
                    <w:tl2br w:val="nil"/>
                    <w:tr2bl w:val="nil"/>
                  </w:tcBorders>
                  <w:noWrap w:val="0"/>
                  <w:vAlign w:val="center"/>
                </w:tcPr>
                <w:p w14:paraId="0BCF4763">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0.5</w:t>
                  </w:r>
                </w:p>
              </w:tc>
              <w:tc>
                <w:tcPr>
                  <w:tcW w:w="761" w:type="dxa"/>
                  <w:tcBorders>
                    <w:tl2br w:val="nil"/>
                    <w:tr2bl w:val="nil"/>
                  </w:tcBorders>
                  <w:noWrap w:val="0"/>
                  <w:vAlign w:val="center"/>
                </w:tcPr>
                <w:p w14:paraId="21F8FAE2">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15</w:t>
                  </w:r>
                </w:p>
              </w:tc>
            </w:tr>
            <w:tr w14:paraId="2965D2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2297" w:type="dxa"/>
                  <w:gridSpan w:val="2"/>
                  <w:tcBorders>
                    <w:tl2br w:val="nil"/>
                    <w:tr2bl w:val="nil"/>
                  </w:tcBorders>
                  <w:noWrap w:val="0"/>
                  <w:vAlign w:val="center"/>
                </w:tcPr>
                <w:p w14:paraId="4EC7C46E">
                  <w:pPr>
                    <w:spacing w:beforeLines="0" w:afterLines="0"/>
                    <w:jc w:val="center"/>
                    <w:rPr>
                      <w:rFonts w:hint="eastAsia"/>
                      <w:color w:val="auto"/>
                      <w:sz w:val="21"/>
                      <w:szCs w:val="21"/>
                    </w:rPr>
                  </w:pPr>
                  <w:r>
                    <w:rPr>
                      <w:rFonts w:hint="eastAsia"/>
                      <w:color w:val="auto"/>
                      <w:sz w:val="21"/>
                      <w:szCs w:val="21"/>
                    </w:rPr>
                    <w:t>污水处理厂处理后排放量（t/a）</w:t>
                  </w:r>
                </w:p>
              </w:tc>
              <w:tc>
                <w:tcPr>
                  <w:tcW w:w="1006" w:type="dxa"/>
                  <w:tcBorders>
                    <w:tl2br w:val="nil"/>
                    <w:tr2bl w:val="nil"/>
                  </w:tcBorders>
                  <w:noWrap w:val="0"/>
                  <w:vAlign w:val="center"/>
                </w:tcPr>
                <w:p w14:paraId="4FDCA848">
                  <w:pPr>
                    <w:spacing w:beforeLines="0" w:afterLines="0"/>
                    <w:jc w:val="center"/>
                    <w:rPr>
                      <w:rFonts w:hint="default" w:eastAsia="宋体"/>
                      <w:color w:val="auto"/>
                      <w:sz w:val="21"/>
                      <w:szCs w:val="21"/>
                      <w:lang w:val="en-US" w:eastAsia="zh-CN"/>
                    </w:rPr>
                  </w:pPr>
                  <w:r>
                    <w:rPr>
                      <w:rFonts w:hint="eastAsia" w:eastAsia="宋体"/>
                      <w:color w:val="auto"/>
                      <w:sz w:val="21"/>
                      <w:szCs w:val="21"/>
                      <w:lang w:val="en-US" w:eastAsia="zh-CN"/>
                    </w:rPr>
                    <w:t>1490</w:t>
                  </w:r>
                </w:p>
              </w:tc>
              <w:tc>
                <w:tcPr>
                  <w:tcW w:w="910" w:type="dxa"/>
                  <w:tcBorders>
                    <w:tl2br w:val="nil"/>
                    <w:tr2bl w:val="nil"/>
                  </w:tcBorders>
                  <w:noWrap w:val="0"/>
                  <w:vAlign w:val="center"/>
                </w:tcPr>
                <w:p w14:paraId="221B40F6">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0.075</w:t>
                  </w:r>
                </w:p>
              </w:tc>
              <w:tc>
                <w:tcPr>
                  <w:tcW w:w="845" w:type="dxa"/>
                  <w:tcBorders>
                    <w:tl2br w:val="nil"/>
                    <w:tr2bl w:val="nil"/>
                  </w:tcBorders>
                  <w:noWrap w:val="0"/>
                  <w:vAlign w:val="center"/>
                </w:tcPr>
                <w:p w14:paraId="29895242">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0.015</w:t>
                  </w:r>
                </w:p>
              </w:tc>
              <w:tc>
                <w:tcPr>
                  <w:tcW w:w="764" w:type="dxa"/>
                  <w:tcBorders>
                    <w:tl2br w:val="nil"/>
                    <w:tr2bl w:val="nil"/>
                  </w:tcBorders>
                  <w:noWrap w:val="0"/>
                  <w:vAlign w:val="center"/>
                </w:tcPr>
                <w:p w14:paraId="194EFCB1">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0.015</w:t>
                  </w:r>
                </w:p>
              </w:tc>
              <w:tc>
                <w:tcPr>
                  <w:tcW w:w="792" w:type="dxa"/>
                  <w:tcBorders>
                    <w:tl2br w:val="nil"/>
                    <w:tr2bl w:val="nil"/>
                  </w:tcBorders>
                  <w:noWrap w:val="0"/>
                  <w:vAlign w:val="center"/>
                </w:tcPr>
                <w:p w14:paraId="7431FC95">
                  <w:pPr>
                    <w:widowControl/>
                    <w:spacing w:beforeLines="0" w:afterLines="0"/>
                    <w:jc w:val="center"/>
                    <w:textAlignment w:val="center"/>
                    <w:rPr>
                      <w:rFonts w:hint="default" w:eastAsia="宋体"/>
                      <w:color w:val="auto"/>
                      <w:sz w:val="21"/>
                      <w:szCs w:val="21"/>
                      <w:lang w:val="en-US" w:eastAsia="zh-CN"/>
                    </w:rPr>
                  </w:pPr>
                  <w:r>
                    <w:rPr>
                      <w:rFonts w:hint="eastAsia" w:eastAsia="宋体"/>
                      <w:color w:val="auto"/>
                      <w:sz w:val="21"/>
                      <w:szCs w:val="21"/>
                      <w:lang w:val="en-US" w:eastAsia="zh-CN"/>
                    </w:rPr>
                    <w:t>0.007</w:t>
                  </w:r>
                </w:p>
              </w:tc>
              <w:tc>
                <w:tcPr>
                  <w:tcW w:w="840" w:type="dxa"/>
                  <w:tcBorders>
                    <w:tl2br w:val="nil"/>
                    <w:tr2bl w:val="nil"/>
                  </w:tcBorders>
                  <w:noWrap w:val="0"/>
                  <w:vAlign w:val="center"/>
                </w:tcPr>
                <w:p w14:paraId="783477BB">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0.001</w:t>
                  </w:r>
                </w:p>
              </w:tc>
              <w:tc>
                <w:tcPr>
                  <w:tcW w:w="761" w:type="dxa"/>
                  <w:tcBorders>
                    <w:tl2br w:val="nil"/>
                    <w:tr2bl w:val="nil"/>
                  </w:tcBorders>
                  <w:noWrap w:val="0"/>
                  <w:vAlign w:val="center"/>
                </w:tcPr>
                <w:p w14:paraId="35C80C3E">
                  <w:pPr>
                    <w:widowControl/>
                    <w:spacing w:beforeLines="0" w:afterLines="0"/>
                    <w:jc w:val="center"/>
                    <w:textAlignment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0.022</w:t>
                  </w:r>
                </w:p>
              </w:tc>
            </w:tr>
          </w:tbl>
          <w:p w14:paraId="16CC69BC">
            <w:pPr>
              <w:pStyle w:val="19"/>
              <w:numPr>
                <w:ilvl w:val="0"/>
                <w:numId w:val="0"/>
              </w:numPr>
              <w:tabs>
                <w:tab w:val="left" w:pos="1110"/>
              </w:tabs>
              <w:spacing w:line="360" w:lineRule="auto"/>
              <w:ind w:leftChars="200"/>
              <w:jc w:val="left"/>
              <w:rPr>
                <w:rFonts w:ascii="Times New Roman" w:hAnsi="Times New Roman" w:cs="Times New Roman"/>
                <w:color w:val="auto"/>
                <w:sz w:val="24"/>
                <w:szCs w:val="24"/>
              </w:rPr>
            </w:pPr>
            <w:r>
              <w:rPr>
                <w:rFonts w:hint="eastAsia" w:eastAsia="宋体"/>
                <w:b w:val="0"/>
                <w:bCs/>
                <w:color w:val="auto"/>
                <w:sz w:val="24"/>
                <w:szCs w:val="24"/>
                <w:lang w:val="en-US" w:eastAsia="zh-CN"/>
              </w:rPr>
              <w:t>（4）废水排放口情况</w:t>
            </w:r>
          </w:p>
          <w:p w14:paraId="4AB7BE61">
            <w:pPr>
              <w:pStyle w:val="93"/>
              <w:keepNext w:val="0"/>
              <w:keepLines w:val="0"/>
              <w:pageBreakBefore w:val="0"/>
              <w:widowControl w:val="0"/>
              <w:numPr>
                <w:ilvl w:val="5"/>
                <w:numId w:val="0"/>
              </w:numPr>
              <w:suppressLineNumbers w:val="0"/>
              <w:kinsoku/>
              <w:wordWrap/>
              <w:overflowPunct/>
              <w:topLinePunct w:val="0"/>
              <w:autoSpaceDE/>
              <w:autoSpaceDN/>
              <w:bidi w:val="0"/>
              <w:adjustRightInd/>
              <w:snapToGrid/>
              <w:spacing w:before="0" w:beforeLines="0" w:beforeAutospacing="0" w:after="0" w:afterAutospacing="0"/>
              <w:ind w:left="0" w:leftChars="0" w:right="0"/>
              <w:jc w:val="center"/>
              <w:textAlignment w:val="auto"/>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eastAsia="zh-CN"/>
              </w:rPr>
              <w:t>表</w:t>
            </w:r>
            <w:r>
              <w:rPr>
                <w:rFonts w:hint="eastAsia" w:ascii="宋体" w:hAnsi="宋体" w:eastAsia="宋体" w:cs="宋体"/>
                <w:b/>
                <w:bCs/>
                <w:color w:val="auto"/>
                <w:kern w:val="0"/>
                <w:sz w:val="21"/>
                <w:szCs w:val="21"/>
                <w:lang w:val="en-US" w:eastAsia="zh-CN"/>
              </w:rPr>
              <w:t xml:space="preserve">4-9  </w:t>
            </w:r>
            <w:r>
              <w:rPr>
                <w:rFonts w:hint="eastAsia" w:ascii="宋体" w:hAnsi="宋体" w:eastAsia="宋体" w:cs="宋体"/>
                <w:b/>
                <w:bCs/>
                <w:color w:val="auto"/>
                <w:kern w:val="0"/>
                <w:sz w:val="21"/>
                <w:szCs w:val="21"/>
                <w:lang w:eastAsia="zh-CN"/>
              </w:rPr>
              <w:t>污水</w:t>
            </w:r>
            <w:r>
              <w:rPr>
                <w:rFonts w:hint="eastAsia" w:ascii="宋体" w:hAnsi="宋体" w:eastAsia="宋体" w:cs="宋体"/>
                <w:b/>
                <w:bCs/>
                <w:color w:val="auto"/>
                <w:kern w:val="0"/>
                <w:sz w:val="21"/>
                <w:szCs w:val="21"/>
              </w:rPr>
              <w:t>间接排放口基本情况表</w:t>
            </w:r>
          </w:p>
          <w:tbl>
            <w:tblPr>
              <w:tblStyle w:val="21"/>
              <w:tblW w:w="4998"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7"/>
              <w:gridCol w:w="898"/>
              <w:gridCol w:w="784"/>
              <w:gridCol w:w="1055"/>
              <w:gridCol w:w="947"/>
              <w:gridCol w:w="758"/>
              <w:gridCol w:w="676"/>
              <w:gridCol w:w="749"/>
              <w:gridCol w:w="725"/>
              <w:gridCol w:w="983"/>
            </w:tblGrid>
            <w:tr w14:paraId="46E76A8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387" w:type="pct"/>
                  <w:vMerge w:val="restart"/>
                  <w:vAlign w:val="center"/>
                </w:tcPr>
                <w:p w14:paraId="6BF1282C">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排放口编号</w:t>
                  </w:r>
                </w:p>
              </w:tc>
              <w:tc>
                <w:tcPr>
                  <w:tcW w:w="1024" w:type="pct"/>
                  <w:gridSpan w:val="2"/>
                  <w:vAlign w:val="center"/>
                </w:tcPr>
                <w:p w14:paraId="3EF027FC">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排放口地理坐标</w:t>
                  </w:r>
                </w:p>
              </w:tc>
              <w:tc>
                <w:tcPr>
                  <w:tcW w:w="642" w:type="pct"/>
                  <w:vMerge w:val="restart"/>
                  <w:vAlign w:val="center"/>
                </w:tcPr>
                <w:p w14:paraId="4FCB1DB1">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废水排放量（万t/a）</w:t>
                  </w:r>
                </w:p>
              </w:tc>
              <w:tc>
                <w:tcPr>
                  <w:tcW w:w="576" w:type="pct"/>
                  <w:vMerge w:val="restart"/>
                  <w:vAlign w:val="center"/>
                </w:tcPr>
                <w:p w14:paraId="48F5AF20">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排放去向</w:t>
                  </w:r>
                </w:p>
              </w:tc>
              <w:tc>
                <w:tcPr>
                  <w:tcW w:w="461" w:type="pct"/>
                  <w:vMerge w:val="restart"/>
                  <w:vAlign w:val="center"/>
                </w:tcPr>
                <w:p w14:paraId="4ED6DA3D">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排放规律</w:t>
                  </w:r>
                </w:p>
              </w:tc>
              <w:tc>
                <w:tcPr>
                  <w:tcW w:w="411" w:type="pct"/>
                  <w:vMerge w:val="restart"/>
                  <w:vAlign w:val="center"/>
                </w:tcPr>
                <w:p w14:paraId="719CAA63">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间歇排放时段</w:t>
                  </w:r>
                </w:p>
              </w:tc>
              <w:tc>
                <w:tcPr>
                  <w:tcW w:w="1495" w:type="pct"/>
                  <w:gridSpan w:val="3"/>
                  <w:vAlign w:val="center"/>
                </w:tcPr>
                <w:p w14:paraId="1C9E34FB">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受纳污水处理厂信息</w:t>
                  </w:r>
                </w:p>
              </w:tc>
            </w:tr>
            <w:tr w14:paraId="37F786D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387" w:type="pct"/>
                  <w:vMerge w:val="continue"/>
                  <w:vAlign w:val="center"/>
                </w:tcPr>
                <w:p w14:paraId="52366CAE">
                  <w:pPr>
                    <w:pStyle w:val="32"/>
                    <w:keepNext w:val="0"/>
                    <w:keepLines w:val="0"/>
                    <w:suppressLineNumbers w:val="0"/>
                    <w:spacing w:before="0" w:beforeAutospacing="0" w:after="0" w:afterAutospacing="0"/>
                    <w:ind w:left="0" w:right="0"/>
                    <w:rPr>
                      <w:rFonts w:cs="Times New Roman"/>
                      <w:b/>
                      <w:color w:val="auto"/>
                    </w:rPr>
                  </w:pPr>
                </w:p>
              </w:tc>
              <w:tc>
                <w:tcPr>
                  <w:tcW w:w="546" w:type="pct"/>
                  <w:vAlign w:val="center"/>
                </w:tcPr>
                <w:p w14:paraId="1D904042">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经度</w:t>
                  </w:r>
                </w:p>
              </w:tc>
              <w:tc>
                <w:tcPr>
                  <w:tcW w:w="477" w:type="pct"/>
                  <w:vAlign w:val="center"/>
                </w:tcPr>
                <w:p w14:paraId="273E61F7">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纬度</w:t>
                  </w:r>
                </w:p>
              </w:tc>
              <w:tc>
                <w:tcPr>
                  <w:tcW w:w="642" w:type="pct"/>
                  <w:vMerge w:val="continue"/>
                  <w:vAlign w:val="center"/>
                </w:tcPr>
                <w:p w14:paraId="472D7BDB">
                  <w:pPr>
                    <w:pStyle w:val="32"/>
                    <w:keepNext w:val="0"/>
                    <w:keepLines w:val="0"/>
                    <w:suppressLineNumbers w:val="0"/>
                    <w:spacing w:before="0" w:beforeAutospacing="0" w:after="0" w:afterAutospacing="0"/>
                    <w:ind w:left="0" w:right="0"/>
                    <w:rPr>
                      <w:rFonts w:cs="Times New Roman"/>
                      <w:b/>
                      <w:color w:val="auto"/>
                    </w:rPr>
                  </w:pPr>
                </w:p>
              </w:tc>
              <w:tc>
                <w:tcPr>
                  <w:tcW w:w="576" w:type="pct"/>
                  <w:vMerge w:val="continue"/>
                  <w:vAlign w:val="center"/>
                </w:tcPr>
                <w:p w14:paraId="5B21FD06">
                  <w:pPr>
                    <w:pStyle w:val="32"/>
                    <w:keepNext w:val="0"/>
                    <w:keepLines w:val="0"/>
                    <w:suppressLineNumbers w:val="0"/>
                    <w:spacing w:before="0" w:beforeAutospacing="0" w:after="0" w:afterAutospacing="0"/>
                    <w:ind w:left="0" w:right="0"/>
                    <w:rPr>
                      <w:rFonts w:cs="Times New Roman"/>
                      <w:b/>
                      <w:color w:val="auto"/>
                    </w:rPr>
                  </w:pPr>
                </w:p>
              </w:tc>
              <w:tc>
                <w:tcPr>
                  <w:tcW w:w="461" w:type="pct"/>
                  <w:vMerge w:val="continue"/>
                  <w:vAlign w:val="center"/>
                </w:tcPr>
                <w:p w14:paraId="630C6F04">
                  <w:pPr>
                    <w:pStyle w:val="32"/>
                    <w:keepNext w:val="0"/>
                    <w:keepLines w:val="0"/>
                    <w:suppressLineNumbers w:val="0"/>
                    <w:spacing w:before="0" w:beforeAutospacing="0" w:after="0" w:afterAutospacing="0"/>
                    <w:ind w:left="0" w:right="0"/>
                    <w:rPr>
                      <w:rFonts w:cs="Times New Roman"/>
                      <w:b/>
                      <w:color w:val="auto"/>
                    </w:rPr>
                  </w:pPr>
                </w:p>
              </w:tc>
              <w:tc>
                <w:tcPr>
                  <w:tcW w:w="411" w:type="pct"/>
                  <w:vMerge w:val="continue"/>
                  <w:vAlign w:val="center"/>
                </w:tcPr>
                <w:p w14:paraId="40E31887">
                  <w:pPr>
                    <w:pStyle w:val="32"/>
                    <w:keepNext w:val="0"/>
                    <w:keepLines w:val="0"/>
                    <w:suppressLineNumbers w:val="0"/>
                    <w:spacing w:before="0" w:beforeAutospacing="0" w:after="0" w:afterAutospacing="0"/>
                    <w:ind w:left="0" w:right="0"/>
                    <w:rPr>
                      <w:rFonts w:cs="Times New Roman"/>
                      <w:b/>
                      <w:color w:val="auto"/>
                    </w:rPr>
                  </w:pPr>
                </w:p>
              </w:tc>
              <w:tc>
                <w:tcPr>
                  <w:tcW w:w="456" w:type="pct"/>
                  <w:vAlign w:val="center"/>
                </w:tcPr>
                <w:p w14:paraId="7126EA34">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名称</w:t>
                  </w:r>
                </w:p>
              </w:tc>
              <w:tc>
                <w:tcPr>
                  <w:tcW w:w="441" w:type="pct"/>
                  <w:vAlign w:val="center"/>
                </w:tcPr>
                <w:p w14:paraId="3451C812">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污染物种类</w:t>
                  </w:r>
                </w:p>
              </w:tc>
              <w:tc>
                <w:tcPr>
                  <w:tcW w:w="598" w:type="pct"/>
                </w:tcPr>
                <w:p w14:paraId="1309047E">
                  <w:pPr>
                    <w:pStyle w:val="32"/>
                    <w:keepNext w:val="0"/>
                    <w:keepLines w:val="0"/>
                    <w:suppressLineNumbers w:val="0"/>
                    <w:spacing w:before="0" w:beforeAutospacing="0" w:after="0" w:afterAutospacing="0"/>
                    <w:ind w:left="0" w:right="0"/>
                    <w:rPr>
                      <w:rFonts w:cs="Times New Roman"/>
                      <w:b/>
                      <w:color w:val="auto"/>
                    </w:rPr>
                  </w:pPr>
                  <w:r>
                    <w:rPr>
                      <w:rFonts w:cs="Times New Roman"/>
                      <w:b/>
                      <w:color w:val="auto"/>
                    </w:rPr>
                    <w:t>国家或地方污染物排放标准浓度限值/（mg/L）</w:t>
                  </w:r>
                </w:p>
              </w:tc>
            </w:tr>
            <w:tr w14:paraId="6F89B62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trPr>
              <w:tc>
                <w:tcPr>
                  <w:tcW w:w="387" w:type="pct"/>
                  <w:vMerge w:val="restart"/>
                  <w:vAlign w:val="center"/>
                </w:tcPr>
                <w:p w14:paraId="07A37E65">
                  <w:pPr>
                    <w:pStyle w:val="32"/>
                    <w:keepNext w:val="0"/>
                    <w:keepLines w:val="0"/>
                    <w:suppressLineNumbers w:val="0"/>
                    <w:spacing w:before="0" w:beforeAutospacing="0" w:after="0" w:afterAutospacing="0"/>
                    <w:ind w:left="0" w:right="0"/>
                    <w:rPr>
                      <w:rFonts w:hint="eastAsia" w:eastAsia="宋体"/>
                      <w:color w:val="auto"/>
                      <w:lang w:val="en-US" w:eastAsia="zh-CN"/>
                    </w:rPr>
                  </w:pPr>
                  <w:r>
                    <w:rPr>
                      <w:rFonts w:hint="eastAsia"/>
                      <w:color w:val="auto"/>
                    </w:rPr>
                    <w:t>DW00</w:t>
                  </w:r>
                  <w:r>
                    <w:rPr>
                      <w:rFonts w:hint="eastAsia"/>
                      <w:color w:val="auto"/>
                      <w:lang w:val="en-US" w:eastAsia="zh-CN"/>
                    </w:rPr>
                    <w:t>1</w:t>
                  </w:r>
                </w:p>
              </w:tc>
              <w:tc>
                <w:tcPr>
                  <w:tcW w:w="546" w:type="pct"/>
                  <w:vMerge w:val="restart"/>
                  <w:vAlign w:val="center"/>
                </w:tcPr>
                <w:p w14:paraId="23E6ADD4">
                  <w:pPr>
                    <w:keepNext w:val="0"/>
                    <w:keepLines w:val="0"/>
                    <w:suppressLineNumbers w:val="0"/>
                    <w:spacing w:before="0" w:beforeAutospacing="0" w:after="0" w:afterAutospacing="0" w:line="240" w:lineRule="exact"/>
                    <w:ind w:left="0" w:right="0"/>
                    <w:jc w:val="center"/>
                    <w:rPr>
                      <w:rFonts w:cs="Times New Roman"/>
                      <w:color w:val="auto"/>
                      <w:kern w:val="0"/>
                      <w:szCs w:val="20"/>
                    </w:rPr>
                  </w:pPr>
                  <w:r>
                    <w:rPr>
                      <w:rFonts w:hint="default" w:cs="Times New Roman"/>
                      <w:color w:val="auto"/>
                      <w:kern w:val="0"/>
                      <w:szCs w:val="20"/>
                      <w:lang w:val="en-US" w:eastAsia="zh-CN"/>
                    </w:rPr>
                    <w:t>115.451233</w:t>
                  </w:r>
                </w:p>
              </w:tc>
              <w:tc>
                <w:tcPr>
                  <w:tcW w:w="477" w:type="pct"/>
                  <w:vMerge w:val="restart"/>
                  <w:vAlign w:val="center"/>
                </w:tcPr>
                <w:p w14:paraId="2D7D3BA9">
                  <w:pPr>
                    <w:keepNext w:val="0"/>
                    <w:keepLines w:val="0"/>
                    <w:suppressLineNumbers w:val="0"/>
                    <w:spacing w:before="0" w:beforeAutospacing="0" w:after="0" w:afterAutospacing="0" w:line="240" w:lineRule="exact"/>
                    <w:ind w:left="0" w:right="0"/>
                    <w:jc w:val="center"/>
                    <w:rPr>
                      <w:rFonts w:cs="Times New Roman"/>
                      <w:color w:val="auto"/>
                      <w:kern w:val="0"/>
                      <w:szCs w:val="20"/>
                    </w:rPr>
                  </w:pPr>
                  <w:r>
                    <w:rPr>
                      <w:rFonts w:hint="default" w:cs="Times New Roman"/>
                      <w:color w:val="auto"/>
                      <w:kern w:val="0"/>
                      <w:szCs w:val="20"/>
                      <w:lang w:val="en-US" w:eastAsia="zh-CN"/>
                    </w:rPr>
                    <w:t>29.075697</w:t>
                  </w:r>
                </w:p>
              </w:tc>
              <w:tc>
                <w:tcPr>
                  <w:tcW w:w="642" w:type="pct"/>
                  <w:vMerge w:val="restart"/>
                  <w:vAlign w:val="center"/>
                </w:tcPr>
                <w:p w14:paraId="1E937DF6">
                  <w:pPr>
                    <w:pStyle w:val="32"/>
                    <w:keepNext w:val="0"/>
                    <w:keepLines w:val="0"/>
                    <w:suppressLineNumbers w:val="0"/>
                    <w:spacing w:before="0" w:beforeAutospacing="0" w:after="0" w:afterAutospacing="0"/>
                    <w:ind w:left="0" w:right="0"/>
                    <w:rPr>
                      <w:rFonts w:hint="default" w:eastAsia="宋体"/>
                      <w:color w:val="auto"/>
                      <w:lang w:val="en-US" w:eastAsia="zh-CN"/>
                    </w:rPr>
                  </w:pPr>
                  <w:r>
                    <w:rPr>
                      <w:rFonts w:hint="eastAsia" w:cs="Times New Roman"/>
                      <w:color w:val="auto"/>
                      <w:sz w:val="21"/>
                      <w:szCs w:val="21"/>
                      <w:highlight w:val="none"/>
                      <w:lang w:val="en-US" w:eastAsia="zh-CN"/>
                    </w:rPr>
                    <w:t>0.149</w:t>
                  </w:r>
                </w:p>
              </w:tc>
              <w:tc>
                <w:tcPr>
                  <w:tcW w:w="576" w:type="pct"/>
                  <w:vMerge w:val="restart"/>
                  <w:vAlign w:val="center"/>
                </w:tcPr>
                <w:p w14:paraId="3CDFD49F">
                  <w:pPr>
                    <w:pStyle w:val="32"/>
                    <w:keepNext w:val="0"/>
                    <w:keepLines w:val="0"/>
                    <w:suppressLineNumbers w:val="0"/>
                    <w:spacing w:before="0" w:beforeAutospacing="0" w:after="0" w:afterAutospacing="0"/>
                    <w:ind w:left="0" w:right="0"/>
                    <w:rPr>
                      <w:color w:val="auto"/>
                    </w:rPr>
                  </w:pPr>
                  <w:r>
                    <w:rPr>
                      <w:rFonts w:hint="eastAsia"/>
                      <w:color w:val="auto"/>
                      <w:sz w:val="21"/>
                      <w:szCs w:val="21"/>
                      <w:lang w:val="en-US" w:eastAsia="zh-CN"/>
                    </w:rPr>
                    <w:t>星火工业园污水处理厂</w:t>
                  </w:r>
                </w:p>
              </w:tc>
              <w:tc>
                <w:tcPr>
                  <w:tcW w:w="461" w:type="pct"/>
                  <w:vMerge w:val="restart"/>
                  <w:vAlign w:val="center"/>
                </w:tcPr>
                <w:p w14:paraId="654A22E9">
                  <w:pPr>
                    <w:pStyle w:val="32"/>
                    <w:keepNext w:val="0"/>
                    <w:keepLines w:val="0"/>
                    <w:suppressLineNumbers w:val="0"/>
                    <w:spacing w:before="0" w:beforeAutospacing="0" w:after="0" w:afterAutospacing="0"/>
                    <w:ind w:left="0" w:right="0"/>
                    <w:rPr>
                      <w:color w:val="auto"/>
                    </w:rPr>
                  </w:pPr>
                  <w:r>
                    <w:rPr>
                      <w:rFonts w:hint="eastAsia"/>
                      <w:color w:val="auto"/>
                      <w:lang w:eastAsia="zh-CN"/>
                    </w:rPr>
                    <w:t>间接</w:t>
                  </w:r>
                  <w:r>
                    <w:rPr>
                      <w:rFonts w:hint="eastAsia"/>
                      <w:color w:val="auto"/>
                    </w:rPr>
                    <w:t>排放，流量稳定</w:t>
                  </w:r>
                </w:p>
              </w:tc>
              <w:tc>
                <w:tcPr>
                  <w:tcW w:w="411" w:type="pct"/>
                  <w:vMerge w:val="restart"/>
                  <w:vAlign w:val="center"/>
                </w:tcPr>
                <w:p w14:paraId="32BF13E5">
                  <w:pPr>
                    <w:pStyle w:val="32"/>
                    <w:keepNext w:val="0"/>
                    <w:keepLines w:val="0"/>
                    <w:suppressLineNumbers w:val="0"/>
                    <w:spacing w:before="0" w:beforeAutospacing="0" w:after="0" w:afterAutospacing="0"/>
                    <w:ind w:left="0" w:right="0"/>
                    <w:rPr>
                      <w:color w:val="auto"/>
                    </w:rPr>
                  </w:pPr>
                  <w:r>
                    <w:rPr>
                      <w:rFonts w:hint="eastAsia"/>
                      <w:color w:val="auto"/>
                    </w:rPr>
                    <w:t>/</w:t>
                  </w:r>
                </w:p>
              </w:tc>
              <w:tc>
                <w:tcPr>
                  <w:tcW w:w="456" w:type="pct"/>
                  <w:vMerge w:val="restart"/>
                  <w:vAlign w:val="center"/>
                </w:tcPr>
                <w:p w14:paraId="68FE9484">
                  <w:pPr>
                    <w:pStyle w:val="32"/>
                    <w:keepNext w:val="0"/>
                    <w:keepLines w:val="0"/>
                    <w:suppressLineNumbers w:val="0"/>
                    <w:spacing w:before="0" w:beforeAutospacing="0" w:after="0" w:afterAutospacing="0"/>
                    <w:ind w:left="0" w:right="0"/>
                    <w:rPr>
                      <w:color w:val="auto"/>
                    </w:rPr>
                  </w:pPr>
                  <w:r>
                    <w:rPr>
                      <w:rFonts w:hint="eastAsia"/>
                      <w:color w:val="auto"/>
                      <w:sz w:val="21"/>
                      <w:szCs w:val="21"/>
                      <w:lang w:val="en-US" w:eastAsia="zh-CN"/>
                    </w:rPr>
                    <w:t>星火工业园污水处理厂</w:t>
                  </w:r>
                </w:p>
              </w:tc>
              <w:tc>
                <w:tcPr>
                  <w:tcW w:w="441" w:type="pct"/>
                  <w:vAlign w:val="center"/>
                </w:tcPr>
                <w:p w14:paraId="084E9FF2">
                  <w:pPr>
                    <w:keepNext w:val="0"/>
                    <w:keepLines w:val="0"/>
                    <w:suppressLineNumbers w:val="0"/>
                    <w:spacing w:before="0" w:beforeAutospacing="0" w:after="0" w:afterAutospacing="0" w:line="240" w:lineRule="exact"/>
                    <w:ind w:left="0" w:right="0"/>
                    <w:jc w:val="center"/>
                    <w:rPr>
                      <w:color w:val="auto"/>
                      <w:kern w:val="0"/>
                      <w:szCs w:val="20"/>
                    </w:rPr>
                  </w:pPr>
                  <w:r>
                    <w:rPr>
                      <w:rFonts w:hint="eastAsia"/>
                      <w:color w:val="auto"/>
                      <w:kern w:val="0"/>
                      <w:szCs w:val="20"/>
                    </w:rPr>
                    <w:t>p</w:t>
                  </w:r>
                  <w:r>
                    <w:rPr>
                      <w:color w:val="auto"/>
                      <w:kern w:val="0"/>
                      <w:szCs w:val="20"/>
                    </w:rPr>
                    <w:t>H</w:t>
                  </w:r>
                </w:p>
              </w:tc>
              <w:tc>
                <w:tcPr>
                  <w:tcW w:w="598" w:type="pct"/>
                  <w:vAlign w:val="center"/>
                </w:tcPr>
                <w:p w14:paraId="514E97E1">
                  <w:pPr>
                    <w:keepNext w:val="0"/>
                    <w:keepLines w:val="0"/>
                    <w:suppressLineNumbers w:val="0"/>
                    <w:spacing w:before="0" w:beforeAutospacing="0" w:after="0" w:afterAutospacing="0" w:line="240" w:lineRule="exact"/>
                    <w:ind w:left="0" w:right="0"/>
                    <w:jc w:val="center"/>
                    <w:rPr>
                      <w:color w:val="auto"/>
                      <w:kern w:val="0"/>
                      <w:szCs w:val="20"/>
                    </w:rPr>
                  </w:pPr>
                  <w:r>
                    <w:rPr>
                      <w:rFonts w:hint="eastAsia"/>
                      <w:color w:val="auto"/>
                      <w:kern w:val="0"/>
                      <w:szCs w:val="20"/>
                    </w:rPr>
                    <w:t>6</w:t>
                  </w:r>
                  <w:r>
                    <w:rPr>
                      <w:color w:val="auto"/>
                      <w:kern w:val="0"/>
                      <w:szCs w:val="20"/>
                    </w:rPr>
                    <w:t>~9</w:t>
                  </w:r>
                </w:p>
              </w:tc>
            </w:tr>
            <w:tr w14:paraId="7C93E3B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87" w:type="pct"/>
                  <w:vMerge w:val="continue"/>
                  <w:vAlign w:val="center"/>
                </w:tcPr>
                <w:p w14:paraId="0D350EB2">
                  <w:pPr>
                    <w:pStyle w:val="32"/>
                    <w:keepNext w:val="0"/>
                    <w:keepLines w:val="0"/>
                    <w:suppressLineNumbers w:val="0"/>
                    <w:spacing w:before="0" w:beforeAutospacing="0" w:after="0" w:afterAutospacing="0"/>
                    <w:ind w:left="0" w:right="0"/>
                    <w:rPr>
                      <w:color w:val="auto"/>
                    </w:rPr>
                  </w:pPr>
                </w:p>
              </w:tc>
              <w:tc>
                <w:tcPr>
                  <w:tcW w:w="546" w:type="pct"/>
                  <w:vMerge w:val="continue"/>
                  <w:vAlign w:val="center"/>
                </w:tcPr>
                <w:p w14:paraId="35F46F87">
                  <w:pPr>
                    <w:keepNext w:val="0"/>
                    <w:keepLines w:val="0"/>
                    <w:suppressLineNumbers w:val="0"/>
                    <w:spacing w:before="0" w:beforeAutospacing="0" w:after="0" w:afterAutospacing="0" w:line="240" w:lineRule="exact"/>
                    <w:ind w:left="0" w:right="0"/>
                    <w:jc w:val="center"/>
                    <w:rPr>
                      <w:color w:val="auto"/>
                      <w:kern w:val="0"/>
                      <w:szCs w:val="20"/>
                    </w:rPr>
                  </w:pPr>
                </w:p>
              </w:tc>
              <w:tc>
                <w:tcPr>
                  <w:tcW w:w="477" w:type="pct"/>
                  <w:vMerge w:val="continue"/>
                  <w:vAlign w:val="center"/>
                </w:tcPr>
                <w:p w14:paraId="7DA3B76D">
                  <w:pPr>
                    <w:keepNext w:val="0"/>
                    <w:keepLines w:val="0"/>
                    <w:suppressLineNumbers w:val="0"/>
                    <w:spacing w:before="0" w:beforeAutospacing="0" w:after="0" w:afterAutospacing="0" w:line="240" w:lineRule="exact"/>
                    <w:ind w:left="0" w:right="0"/>
                    <w:jc w:val="center"/>
                    <w:rPr>
                      <w:color w:val="auto"/>
                      <w:kern w:val="0"/>
                      <w:szCs w:val="20"/>
                    </w:rPr>
                  </w:pPr>
                </w:p>
              </w:tc>
              <w:tc>
                <w:tcPr>
                  <w:tcW w:w="642" w:type="pct"/>
                  <w:vMerge w:val="continue"/>
                  <w:vAlign w:val="center"/>
                </w:tcPr>
                <w:p w14:paraId="71037134">
                  <w:pPr>
                    <w:pStyle w:val="32"/>
                    <w:keepNext w:val="0"/>
                    <w:keepLines w:val="0"/>
                    <w:suppressLineNumbers w:val="0"/>
                    <w:spacing w:before="0" w:beforeAutospacing="0" w:after="0" w:afterAutospacing="0"/>
                    <w:ind w:left="0" w:right="0"/>
                    <w:rPr>
                      <w:color w:val="auto"/>
                    </w:rPr>
                  </w:pPr>
                </w:p>
              </w:tc>
              <w:tc>
                <w:tcPr>
                  <w:tcW w:w="576" w:type="pct"/>
                  <w:vMerge w:val="continue"/>
                  <w:vAlign w:val="center"/>
                </w:tcPr>
                <w:p w14:paraId="31C1DEC1">
                  <w:pPr>
                    <w:pStyle w:val="32"/>
                    <w:keepNext w:val="0"/>
                    <w:keepLines w:val="0"/>
                    <w:suppressLineNumbers w:val="0"/>
                    <w:spacing w:before="0" w:beforeAutospacing="0" w:after="0" w:afterAutospacing="0"/>
                    <w:ind w:left="0" w:right="0"/>
                    <w:rPr>
                      <w:bCs/>
                      <w:color w:val="auto"/>
                      <w:lang w:bidi="zh-CN"/>
                    </w:rPr>
                  </w:pPr>
                </w:p>
              </w:tc>
              <w:tc>
                <w:tcPr>
                  <w:tcW w:w="461" w:type="pct"/>
                  <w:vMerge w:val="continue"/>
                  <w:vAlign w:val="center"/>
                </w:tcPr>
                <w:p w14:paraId="4E75DA1A">
                  <w:pPr>
                    <w:pStyle w:val="32"/>
                    <w:keepNext w:val="0"/>
                    <w:keepLines w:val="0"/>
                    <w:suppressLineNumbers w:val="0"/>
                    <w:spacing w:before="0" w:beforeAutospacing="0" w:after="0" w:afterAutospacing="0"/>
                    <w:ind w:left="0" w:right="0"/>
                    <w:rPr>
                      <w:color w:val="auto"/>
                    </w:rPr>
                  </w:pPr>
                </w:p>
              </w:tc>
              <w:tc>
                <w:tcPr>
                  <w:tcW w:w="411" w:type="pct"/>
                  <w:vMerge w:val="continue"/>
                  <w:vAlign w:val="center"/>
                </w:tcPr>
                <w:p w14:paraId="70F7437B">
                  <w:pPr>
                    <w:pStyle w:val="32"/>
                    <w:keepNext w:val="0"/>
                    <w:keepLines w:val="0"/>
                    <w:suppressLineNumbers w:val="0"/>
                    <w:spacing w:before="0" w:beforeAutospacing="0" w:after="0" w:afterAutospacing="0"/>
                    <w:ind w:left="0" w:right="0"/>
                    <w:rPr>
                      <w:color w:val="auto"/>
                    </w:rPr>
                  </w:pPr>
                </w:p>
              </w:tc>
              <w:tc>
                <w:tcPr>
                  <w:tcW w:w="456" w:type="pct"/>
                  <w:vMerge w:val="continue"/>
                  <w:vAlign w:val="center"/>
                </w:tcPr>
                <w:p w14:paraId="09457995">
                  <w:pPr>
                    <w:pStyle w:val="32"/>
                    <w:keepNext w:val="0"/>
                    <w:keepLines w:val="0"/>
                    <w:suppressLineNumbers w:val="0"/>
                    <w:spacing w:before="0" w:beforeAutospacing="0" w:after="0" w:afterAutospacing="0"/>
                    <w:ind w:left="0" w:right="0"/>
                    <w:rPr>
                      <w:bCs/>
                      <w:color w:val="auto"/>
                      <w:lang w:bidi="zh-CN"/>
                    </w:rPr>
                  </w:pPr>
                </w:p>
              </w:tc>
              <w:tc>
                <w:tcPr>
                  <w:tcW w:w="441" w:type="pct"/>
                  <w:vAlign w:val="center"/>
                </w:tcPr>
                <w:p w14:paraId="3EF66C8E">
                  <w:pPr>
                    <w:keepNext w:val="0"/>
                    <w:keepLines w:val="0"/>
                    <w:suppressLineNumbers w:val="0"/>
                    <w:spacing w:before="0" w:beforeAutospacing="0" w:after="0" w:afterAutospacing="0" w:line="240" w:lineRule="exact"/>
                    <w:ind w:left="0" w:right="0"/>
                    <w:jc w:val="center"/>
                    <w:rPr>
                      <w:color w:val="auto"/>
                      <w:kern w:val="0"/>
                      <w:szCs w:val="20"/>
                    </w:rPr>
                  </w:pPr>
                  <w:r>
                    <w:rPr>
                      <w:color w:val="auto"/>
                      <w:kern w:val="0"/>
                      <w:szCs w:val="20"/>
                    </w:rPr>
                    <w:t>CODCr</w:t>
                  </w:r>
                </w:p>
              </w:tc>
              <w:tc>
                <w:tcPr>
                  <w:tcW w:w="598" w:type="pct"/>
                  <w:vAlign w:val="center"/>
                </w:tcPr>
                <w:p w14:paraId="111DAD51">
                  <w:pPr>
                    <w:keepNext w:val="0"/>
                    <w:keepLines w:val="0"/>
                    <w:suppressLineNumbers w:val="0"/>
                    <w:spacing w:before="0" w:beforeAutospacing="0" w:after="0" w:afterAutospacing="0" w:line="240" w:lineRule="exact"/>
                    <w:ind w:left="0" w:right="0"/>
                    <w:jc w:val="center"/>
                    <w:rPr>
                      <w:rFonts w:hint="default" w:eastAsia="宋体"/>
                      <w:color w:val="auto"/>
                      <w:kern w:val="0"/>
                      <w:szCs w:val="20"/>
                      <w:lang w:val="en-US" w:eastAsia="zh-CN"/>
                    </w:rPr>
                  </w:pPr>
                  <w:r>
                    <w:rPr>
                      <w:rFonts w:hint="eastAsia"/>
                      <w:color w:val="auto"/>
                      <w:kern w:val="0"/>
                      <w:szCs w:val="20"/>
                      <w:lang w:val="en-US" w:eastAsia="zh-CN"/>
                    </w:rPr>
                    <w:t>50</w:t>
                  </w:r>
                </w:p>
              </w:tc>
            </w:tr>
            <w:tr w14:paraId="09B33C0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87" w:type="pct"/>
                  <w:vMerge w:val="continue"/>
                  <w:vAlign w:val="center"/>
                </w:tcPr>
                <w:p w14:paraId="3DE93C95">
                  <w:pPr>
                    <w:pStyle w:val="32"/>
                    <w:keepNext w:val="0"/>
                    <w:keepLines w:val="0"/>
                    <w:suppressLineNumbers w:val="0"/>
                    <w:spacing w:before="0" w:beforeAutospacing="0" w:after="0" w:afterAutospacing="0"/>
                    <w:ind w:left="0" w:right="0"/>
                    <w:rPr>
                      <w:color w:val="auto"/>
                    </w:rPr>
                  </w:pPr>
                </w:p>
              </w:tc>
              <w:tc>
                <w:tcPr>
                  <w:tcW w:w="546" w:type="pct"/>
                  <w:vMerge w:val="continue"/>
                  <w:vAlign w:val="center"/>
                </w:tcPr>
                <w:p w14:paraId="06594C62">
                  <w:pPr>
                    <w:keepNext w:val="0"/>
                    <w:keepLines w:val="0"/>
                    <w:suppressLineNumbers w:val="0"/>
                    <w:spacing w:before="0" w:beforeAutospacing="0" w:after="0" w:afterAutospacing="0" w:line="240" w:lineRule="exact"/>
                    <w:ind w:left="0" w:right="0"/>
                    <w:jc w:val="center"/>
                    <w:rPr>
                      <w:color w:val="auto"/>
                      <w:kern w:val="0"/>
                      <w:szCs w:val="20"/>
                    </w:rPr>
                  </w:pPr>
                </w:p>
              </w:tc>
              <w:tc>
                <w:tcPr>
                  <w:tcW w:w="477" w:type="pct"/>
                  <w:vMerge w:val="continue"/>
                  <w:vAlign w:val="center"/>
                </w:tcPr>
                <w:p w14:paraId="112DA0D6">
                  <w:pPr>
                    <w:keepNext w:val="0"/>
                    <w:keepLines w:val="0"/>
                    <w:suppressLineNumbers w:val="0"/>
                    <w:spacing w:before="0" w:beforeAutospacing="0" w:after="0" w:afterAutospacing="0" w:line="240" w:lineRule="exact"/>
                    <w:ind w:left="0" w:right="0"/>
                    <w:jc w:val="center"/>
                    <w:rPr>
                      <w:color w:val="auto"/>
                      <w:kern w:val="0"/>
                      <w:szCs w:val="20"/>
                    </w:rPr>
                  </w:pPr>
                </w:p>
              </w:tc>
              <w:tc>
                <w:tcPr>
                  <w:tcW w:w="642" w:type="pct"/>
                  <w:vMerge w:val="continue"/>
                  <w:vAlign w:val="center"/>
                </w:tcPr>
                <w:p w14:paraId="7324B420">
                  <w:pPr>
                    <w:pStyle w:val="32"/>
                    <w:keepNext w:val="0"/>
                    <w:keepLines w:val="0"/>
                    <w:suppressLineNumbers w:val="0"/>
                    <w:spacing w:before="0" w:beforeAutospacing="0" w:after="0" w:afterAutospacing="0"/>
                    <w:ind w:left="0" w:right="0"/>
                    <w:rPr>
                      <w:color w:val="auto"/>
                    </w:rPr>
                  </w:pPr>
                </w:p>
              </w:tc>
              <w:tc>
                <w:tcPr>
                  <w:tcW w:w="576" w:type="pct"/>
                  <w:vMerge w:val="continue"/>
                  <w:vAlign w:val="center"/>
                </w:tcPr>
                <w:p w14:paraId="50BD72A7">
                  <w:pPr>
                    <w:pStyle w:val="32"/>
                    <w:keepNext w:val="0"/>
                    <w:keepLines w:val="0"/>
                    <w:suppressLineNumbers w:val="0"/>
                    <w:spacing w:before="0" w:beforeAutospacing="0" w:after="0" w:afterAutospacing="0"/>
                    <w:ind w:left="0" w:right="0"/>
                    <w:rPr>
                      <w:bCs/>
                      <w:color w:val="auto"/>
                      <w:lang w:bidi="zh-CN"/>
                    </w:rPr>
                  </w:pPr>
                </w:p>
              </w:tc>
              <w:tc>
                <w:tcPr>
                  <w:tcW w:w="461" w:type="pct"/>
                  <w:vMerge w:val="continue"/>
                  <w:vAlign w:val="center"/>
                </w:tcPr>
                <w:p w14:paraId="6D8383C4">
                  <w:pPr>
                    <w:pStyle w:val="32"/>
                    <w:keepNext w:val="0"/>
                    <w:keepLines w:val="0"/>
                    <w:suppressLineNumbers w:val="0"/>
                    <w:spacing w:before="0" w:beforeAutospacing="0" w:after="0" w:afterAutospacing="0"/>
                    <w:ind w:left="0" w:right="0"/>
                    <w:rPr>
                      <w:color w:val="auto"/>
                    </w:rPr>
                  </w:pPr>
                </w:p>
              </w:tc>
              <w:tc>
                <w:tcPr>
                  <w:tcW w:w="411" w:type="pct"/>
                  <w:vMerge w:val="continue"/>
                  <w:vAlign w:val="center"/>
                </w:tcPr>
                <w:p w14:paraId="29652794">
                  <w:pPr>
                    <w:pStyle w:val="32"/>
                    <w:keepNext w:val="0"/>
                    <w:keepLines w:val="0"/>
                    <w:suppressLineNumbers w:val="0"/>
                    <w:spacing w:before="0" w:beforeAutospacing="0" w:after="0" w:afterAutospacing="0"/>
                    <w:ind w:left="0" w:right="0"/>
                    <w:rPr>
                      <w:color w:val="auto"/>
                    </w:rPr>
                  </w:pPr>
                </w:p>
              </w:tc>
              <w:tc>
                <w:tcPr>
                  <w:tcW w:w="456" w:type="pct"/>
                  <w:vMerge w:val="continue"/>
                  <w:vAlign w:val="center"/>
                </w:tcPr>
                <w:p w14:paraId="620735D8">
                  <w:pPr>
                    <w:pStyle w:val="32"/>
                    <w:keepNext w:val="0"/>
                    <w:keepLines w:val="0"/>
                    <w:suppressLineNumbers w:val="0"/>
                    <w:spacing w:before="0" w:beforeAutospacing="0" w:after="0" w:afterAutospacing="0"/>
                    <w:ind w:left="0" w:right="0"/>
                    <w:rPr>
                      <w:bCs/>
                      <w:color w:val="auto"/>
                      <w:lang w:bidi="zh-CN"/>
                    </w:rPr>
                  </w:pPr>
                </w:p>
              </w:tc>
              <w:tc>
                <w:tcPr>
                  <w:tcW w:w="441" w:type="pct"/>
                  <w:vAlign w:val="center"/>
                </w:tcPr>
                <w:p w14:paraId="3E76F1E6">
                  <w:pPr>
                    <w:keepNext w:val="0"/>
                    <w:keepLines w:val="0"/>
                    <w:suppressLineNumbers w:val="0"/>
                    <w:spacing w:before="0" w:beforeAutospacing="0" w:after="0" w:afterAutospacing="0" w:line="240" w:lineRule="exact"/>
                    <w:ind w:left="0" w:right="0"/>
                    <w:jc w:val="center"/>
                    <w:rPr>
                      <w:color w:val="auto"/>
                      <w:kern w:val="0"/>
                      <w:szCs w:val="20"/>
                    </w:rPr>
                  </w:pPr>
                  <w:r>
                    <w:rPr>
                      <w:color w:val="auto"/>
                      <w:kern w:val="0"/>
                      <w:szCs w:val="20"/>
                    </w:rPr>
                    <w:t>BOD</w:t>
                  </w:r>
                  <w:r>
                    <w:rPr>
                      <w:color w:val="auto"/>
                      <w:kern w:val="0"/>
                      <w:szCs w:val="20"/>
                      <w:vertAlign w:val="subscript"/>
                    </w:rPr>
                    <w:t>5</w:t>
                  </w:r>
                </w:p>
              </w:tc>
              <w:tc>
                <w:tcPr>
                  <w:tcW w:w="598" w:type="pct"/>
                  <w:vAlign w:val="center"/>
                </w:tcPr>
                <w:p w14:paraId="430F9840">
                  <w:pPr>
                    <w:keepNext w:val="0"/>
                    <w:keepLines w:val="0"/>
                    <w:suppressLineNumbers w:val="0"/>
                    <w:spacing w:before="0" w:beforeAutospacing="0" w:after="0" w:afterAutospacing="0" w:line="240" w:lineRule="exact"/>
                    <w:ind w:left="0" w:right="0"/>
                    <w:jc w:val="center"/>
                    <w:rPr>
                      <w:rFonts w:hint="default" w:eastAsia="宋体"/>
                      <w:color w:val="auto"/>
                      <w:kern w:val="0"/>
                      <w:szCs w:val="20"/>
                      <w:lang w:val="en-US" w:eastAsia="zh-CN"/>
                    </w:rPr>
                  </w:pPr>
                  <w:r>
                    <w:rPr>
                      <w:rFonts w:hint="eastAsia"/>
                      <w:color w:val="auto"/>
                      <w:kern w:val="0"/>
                      <w:szCs w:val="20"/>
                      <w:lang w:val="en-US" w:eastAsia="zh-CN"/>
                    </w:rPr>
                    <w:t>10</w:t>
                  </w:r>
                </w:p>
              </w:tc>
            </w:tr>
            <w:tr w14:paraId="102598E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87" w:type="pct"/>
                  <w:vMerge w:val="continue"/>
                  <w:vAlign w:val="center"/>
                </w:tcPr>
                <w:p w14:paraId="7FD2C26A">
                  <w:pPr>
                    <w:pStyle w:val="32"/>
                    <w:keepNext w:val="0"/>
                    <w:keepLines w:val="0"/>
                    <w:suppressLineNumbers w:val="0"/>
                    <w:spacing w:before="0" w:beforeAutospacing="0" w:after="0" w:afterAutospacing="0"/>
                    <w:ind w:left="0" w:right="0"/>
                    <w:rPr>
                      <w:color w:val="auto"/>
                    </w:rPr>
                  </w:pPr>
                </w:p>
              </w:tc>
              <w:tc>
                <w:tcPr>
                  <w:tcW w:w="546" w:type="pct"/>
                  <w:vMerge w:val="continue"/>
                  <w:vAlign w:val="center"/>
                </w:tcPr>
                <w:p w14:paraId="12B29877">
                  <w:pPr>
                    <w:keepNext w:val="0"/>
                    <w:keepLines w:val="0"/>
                    <w:suppressLineNumbers w:val="0"/>
                    <w:spacing w:before="0" w:beforeAutospacing="0" w:after="0" w:afterAutospacing="0" w:line="240" w:lineRule="exact"/>
                    <w:ind w:left="0" w:right="0"/>
                    <w:jc w:val="center"/>
                    <w:rPr>
                      <w:color w:val="auto"/>
                      <w:kern w:val="0"/>
                      <w:szCs w:val="20"/>
                    </w:rPr>
                  </w:pPr>
                </w:p>
              </w:tc>
              <w:tc>
                <w:tcPr>
                  <w:tcW w:w="477" w:type="pct"/>
                  <w:vMerge w:val="continue"/>
                  <w:vAlign w:val="center"/>
                </w:tcPr>
                <w:p w14:paraId="08C4F479">
                  <w:pPr>
                    <w:keepNext w:val="0"/>
                    <w:keepLines w:val="0"/>
                    <w:suppressLineNumbers w:val="0"/>
                    <w:spacing w:before="0" w:beforeAutospacing="0" w:after="0" w:afterAutospacing="0" w:line="240" w:lineRule="exact"/>
                    <w:ind w:left="0" w:right="0"/>
                    <w:jc w:val="center"/>
                    <w:rPr>
                      <w:color w:val="auto"/>
                      <w:kern w:val="0"/>
                      <w:szCs w:val="20"/>
                    </w:rPr>
                  </w:pPr>
                </w:p>
              </w:tc>
              <w:tc>
                <w:tcPr>
                  <w:tcW w:w="642" w:type="pct"/>
                  <w:vMerge w:val="continue"/>
                  <w:vAlign w:val="center"/>
                </w:tcPr>
                <w:p w14:paraId="2056F726">
                  <w:pPr>
                    <w:pStyle w:val="32"/>
                    <w:keepNext w:val="0"/>
                    <w:keepLines w:val="0"/>
                    <w:suppressLineNumbers w:val="0"/>
                    <w:spacing w:before="0" w:beforeAutospacing="0" w:after="0" w:afterAutospacing="0"/>
                    <w:ind w:left="0" w:right="0"/>
                    <w:rPr>
                      <w:color w:val="auto"/>
                    </w:rPr>
                  </w:pPr>
                </w:p>
              </w:tc>
              <w:tc>
                <w:tcPr>
                  <w:tcW w:w="576" w:type="pct"/>
                  <w:vMerge w:val="continue"/>
                  <w:vAlign w:val="center"/>
                </w:tcPr>
                <w:p w14:paraId="36A2B4DF">
                  <w:pPr>
                    <w:pStyle w:val="32"/>
                    <w:keepNext w:val="0"/>
                    <w:keepLines w:val="0"/>
                    <w:suppressLineNumbers w:val="0"/>
                    <w:spacing w:before="0" w:beforeAutospacing="0" w:after="0" w:afterAutospacing="0"/>
                    <w:ind w:left="0" w:right="0"/>
                    <w:rPr>
                      <w:bCs/>
                      <w:color w:val="auto"/>
                      <w:lang w:bidi="zh-CN"/>
                    </w:rPr>
                  </w:pPr>
                </w:p>
              </w:tc>
              <w:tc>
                <w:tcPr>
                  <w:tcW w:w="461" w:type="pct"/>
                  <w:vMerge w:val="continue"/>
                  <w:vAlign w:val="center"/>
                </w:tcPr>
                <w:p w14:paraId="26893AF4">
                  <w:pPr>
                    <w:pStyle w:val="32"/>
                    <w:keepNext w:val="0"/>
                    <w:keepLines w:val="0"/>
                    <w:suppressLineNumbers w:val="0"/>
                    <w:spacing w:before="0" w:beforeAutospacing="0" w:after="0" w:afterAutospacing="0"/>
                    <w:ind w:left="0" w:right="0"/>
                    <w:rPr>
                      <w:color w:val="auto"/>
                    </w:rPr>
                  </w:pPr>
                </w:p>
              </w:tc>
              <w:tc>
                <w:tcPr>
                  <w:tcW w:w="411" w:type="pct"/>
                  <w:vMerge w:val="continue"/>
                  <w:vAlign w:val="center"/>
                </w:tcPr>
                <w:p w14:paraId="3769DC29">
                  <w:pPr>
                    <w:pStyle w:val="32"/>
                    <w:keepNext w:val="0"/>
                    <w:keepLines w:val="0"/>
                    <w:suppressLineNumbers w:val="0"/>
                    <w:spacing w:before="0" w:beforeAutospacing="0" w:after="0" w:afterAutospacing="0"/>
                    <w:ind w:left="0" w:right="0"/>
                    <w:rPr>
                      <w:color w:val="auto"/>
                    </w:rPr>
                  </w:pPr>
                </w:p>
              </w:tc>
              <w:tc>
                <w:tcPr>
                  <w:tcW w:w="456" w:type="pct"/>
                  <w:vMerge w:val="continue"/>
                  <w:vAlign w:val="center"/>
                </w:tcPr>
                <w:p w14:paraId="555A4A60">
                  <w:pPr>
                    <w:pStyle w:val="32"/>
                    <w:keepNext w:val="0"/>
                    <w:keepLines w:val="0"/>
                    <w:suppressLineNumbers w:val="0"/>
                    <w:spacing w:before="0" w:beforeAutospacing="0" w:after="0" w:afterAutospacing="0"/>
                    <w:ind w:left="0" w:right="0"/>
                    <w:rPr>
                      <w:bCs/>
                      <w:color w:val="auto"/>
                      <w:lang w:bidi="zh-CN"/>
                    </w:rPr>
                  </w:pPr>
                </w:p>
              </w:tc>
              <w:tc>
                <w:tcPr>
                  <w:tcW w:w="441" w:type="pct"/>
                  <w:vAlign w:val="center"/>
                </w:tcPr>
                <w:p w14:paraId="62177160">
                  <w:pPr>
                    <w:keepNext w:val="0"/>
                    <w:keepLines w:val="0"/>
                    <w:suppressLineNumbers w:val="0"/>
                    <w:spacing w:before="0" w:beforeAutospacing="0" w:after="0" w:afterAutospacing="0" w:line="240" w:lineRule="exact"/>
                    <w:ind w:left="0" w:right="0"/>
                    <w:jc w:val="center"/>
                    <w:rPr>
                      <w:color w:val="auto"/>
                      <w:kern w:val="0"/>
                      <w:szCs w:val="20"/>
                    </w:rPr>
                  </w:pPr>
                  <w:r>
                    <w:rPr>
                      <w:color w:val="auto"/>
                      <w:kern w:val="0"/>
                      <w:szCs w:val="20"/>
                    </w:rPr>
                    <w:t>SS</w:t>
                  </w:r>
                </w:p>
              </w:tc>
              <w:tc>
                <w:tcPr>
                  <w:tcW w:w="598" w:type="pct"/>
                  <w:vAlign w:val="center"/>
                </w:tcPr>
                <w:p w14:paraId="632E511D">
                  <w:pPr>
                    <w:keepNext w:val="0"/>
                    <w:keepLines w:val="0"/>
                    <w:suppressLineNumbers w:val="0"/>
                    <w:spacing w:before="0" w:beforeAutospacing="0" w:after="0" w:afterAutospacing="0" w:line="240" w:lineRule="exact"/>
                    <w:ind w:left="0" w:right="0"/>
                    <w:jc w:val="center"/>
                    <w:rPr>
                      <w:rFonts w:hint="default" w:eastAsia="宋体"/>
                      <w:color w:val="auto"/>
                      <w:kern w:val="0"/>
                      <w:szCs w:val="20"/>
                      <w:lang w:val="en-US" w:eastAsia="zh-CN"/>
                    </w:rPr>
                  </w:pPr>
                  <w:r>
                    <w:rPr>
                      <w:rFonts w:hint="eastAsia"/>
                      <w:color w:val="auto"/>
                      <w:kern w:val="0"/>
                      <w:szCs w:val="20"/>
                      <w:lang w:val="en-US" w:eastAsia="zh-CN"/>
                    </w:rPr>
                    <w:t>10</w:t>
                  </w:r>
                </w:p>
              </w:tc>
            </w:tr>
            <w:tr w14:paraId="0D3FB53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87" w:type="pct"/>
                  <w:vMerge w:val="continue"/>
                  <w:vAlign w:val="center"/>
                </w:tcPr>
                <w:p w14:paraId="0330F949">
                  <w:pPr>
                    <w:pStyle w:val="32"/>
                    <w:keepNext w:val="0"/>
                    <w:keepLines w:val="0"/>
                    <w:suppressLineNumbers w:val="0"/>
                    <w:spacing w:before="0" w:beforeAutospacing="0" w:after="0" w:afterAutospacing="0"/>
                    <w:ind w:left="0" w:right="0"/>
                    <w:rPr>
                      <w:color w:val="auto"/>
                    </w:rPr>
                  </w:pPr>
                </w:p>
              </w:tc>
              <w:tc>
                <w:tcPr>
                  <w:tcW w:w="546" w:type="pct"/>
                  <w:vMerge w:val="continue"/>
                  <w:vAlign w:val="center"/>
                </w:tcPr>
                <w:p w14:paraId="7F345590">
                  <w:pPr>
                    <w:keepNext w:val="0"/>
                    <w:keepLines w:val="0"/>
                    <w:suppressLineNumbers w:val="0"/>
                    <w:spacing w:before="0" w:beforeAutospacing="0" w:after="0" w:afterAutospacing="0" w:line="240" w:lineRule="exact"/>
                    <w:ind w:left="0" w:right="0"/>
                    <w:jc w:val="center"/>
                    <w:rPr>
                      <w:color w:val="auto"/>
                      <w:kern w:val="0"/>
                      <w:szCs w:val="20"/>
                    </w:rPr>
                  </w:pPr>
                </w:p>
              </w:tc>
              <w:tc>
                <w:tcPr>
                  <w:tcW w:w="477" w:type="pct"/>
                  <w:vMerge w:val="continue"/>
                  <w:vAlign w:val="center"/>
                </w:tcPr>
                <w:p w14:paraId="6E65958D">
                  <w:pPr>
                    <w:keepNext w:val="0"/>
                    <w:keepLines w:val="0"/>
                    <w:suppressLineNumbers w:val="0"/>
                    <w:spacing w:before="0" w:beforeAutospacing="0" w:after="0" w:afterAutospacing="0" w:line="240" w:lineRule="exact"/>
                    <w:ind w:left="0" w:right="0"/>
                    <w:jc w:val="center"/>
                    <w:rPr>
                      <w:color w:val="auto"/>
                      <w:kern w:val="0"/>
                      <w:szCs w:val="20"/>
                    </w:rPr>
                  </w:pPr>
                </w:p>
              </w:tc>
              <w:tc>
                <w:tcPr>
                  <w:tcW w:w="642" w:type="pct"/>
                  <w:vMerge w:val="continue"/>
                  <w:vAlign w:val="center"/>
                </w:tcPr>
                <w:p w14:paraId="54936ECE">
                  <w:pPr>
                    <w:pStyle w:val="32"/>
                    <w:keepNext w:val="0"/>
                    <w:keepLines w:val="0"/>
                    <w:suppressLineNumbers w:val="0"/>
                    <w:spacing w:before="0" w:beforeAutospacing="0" w:after="0" w:afterAutospacing="0"/>
                    <w:ind w:left="0" w:right="0"/>
                    <w:rPr>
                      <w:color w:val="auto"/>
                    </w:rPr>
                  </w:pPr>
                </w:p>
              </w:tc>
              <w:tc>
                <w:tcPr>
                  <w:tcW w:w="576" w:type="pct"/>
                  <w:vMerge w:val="continue"/>
                  <w:vAlign w:val="center"/>
                </w:tcPr>
                <w:p w14:paraId="140E0557">
                  <w:pPr>
                    <w:pStyle w:val="32"/>
                    <w:keepNext w:val="0"/>
                    <w:keepLines w:val="0"/>
                    <w:suppressLineNumbers w:val="0"/>
                    <w:spacing w:before="0" w:beforeAutospacing="0" w:after="0" w:afterAutospacing="0"/>
                    <w:ind w:left="0" w:right="0"/>
                    <w:rPr>
                      <w:bCs/>
                      <w:color w:val="auto"/>
                      <w:lang w:bidi="zh-CN"/>
                    </w:rPr>
                  </w:pPr>
                </w:p>
              </w:tc>
              <w:tc>
                <w:tcPr>
                  <w:tcW w:w="461" w:type="pct"/>
                  <w:vMerge w:val="continue"/>
                  <w:vAlign w:val="center"/>
                </w:tcPr>
                <w:p w14:paraId="1F857705">
                  <w:pPr>
                    <w:pStyle w:val="32"/>
                    <w:keepNext w:val="0"/>
                    <w:keepLines w:val="0"/>
                    <w:suppressLineNumbers w:val="0"/>
                    <w:spacing w:before="0" w:beforeAutospacing="0" w:after="0" w:afterAutospacing="0"/>
                    <w:ind w:left="0" w:right="0"/>
                    <w:rPr>
                      <w:color w:val="auto"/>
                    </w:rPr>
                  </w:pPr>
                </w:p>
              </w:tc>
              <w:tc>
                <w:tcPr>
                  <w:tcW w:w="411" w:type="pct"/>
                  <w:vMerge w:val="continue"/>
                  <w:vAlign w:val="center"/>
                </w:tcPr>
                <w:p w14:paraId="273BC7B5">
                  <w:pPr>
                    <w:pStyle w:val="32"/>
                    <w:keepNext w:val="0"/>
                    <w:keepLines w:val="0"/>
                    <w:suppressLineNumbers w:val="0"/>
                    <w:spacing w:before="0" w:beforeAutospacing="0" w:after="0" w:afterAutospacing="0"/>
                    <w:ind w:left="0" w:right="0"/>
                    <w:rPr>
                      <w:color w:val="auto"/>
                    </w:rPr>
                  </w:pPr>
                </w:p>
              </w:tc>
              <w:tc>
                <w:tcPr>
                  <w:tcW w:w="456" w:type="pct"/>
                  <w:vMerge w:val="continue"/>
                  <w:vAlign w:val="center"/>
                </w:tcPr>
                <w:p w14:paraId="0AEBB1BD">
                  <w:pPr>
                    <w:pStyle w:val="32"/>
                    <w:keepNext w:val="0"/>
                    <w:keepLines w:val="0"/>
                    <w:suppressLineNumbers w:val="0"/>
                    <w:spacing w:before="0" w:beforeAutospacing="0" w:after="0" w:afterAutospacing="0"/>
                    <w:ind w:left="0" w:right="0"/>
                    <w:rPr>
                      <w:bCs/>
                      <w:color w:val="auto"/>
                      <w:lang w:bidi="zh-CN"/>
                    </w:rPr>
                  </w:pPr>
                </w:p>
              </w:tc>
              <w:tc>
                <w:tcPr>
                  <w:tcW w:w="441" w:type="pct"/>
                  <w:vAlign w:val="center"/>
                </w:tcPr>
                <w:p w14:paraId="34B61A61">
                  <w:pPr>
                    <w:keepNext w:val="0"/>
                    <w:keepLines w:val="0"/>
                    <w:suppressLineNumbers w:val="0"/>
                    <w:spacing w:before="0" w:beforeAutospacing="0" w:after="0" w:afterAutospacing="0" w:line="240" w:lineRule="exact"/>
                    <w:ind w:left="0" w:leftChars="0" w:right="0" w:rightChars="0"/>
                    <w:jc w:val="center"/>
                    <w:rPr>
                      <w:rFonts w:ascii="Times New Roman" w:hAnsi="Times New Roman" w:eastAsia="宋体" w:cs="Times New Roman"/>
                      <w:color w:val="auto"/>
                      <w:kern w:val="0"/>
                      <w:sz w:val="21"/>
                      <w:szCs w:val="20"/>
                      <w:lang w:val="en-US" w:eastAsia="zh-CN" w:bidi="ar-SA"/>
                    </w:rPr>
                  </w:pPr>
                  <w:r>
                    <w:rPr>
                      <w:color w:val="auto"/>
                      <w:kern w:val="0"/>
                      <w:szCs w:val="20"/>
                    </w:rPr>
                    <w:t>NH</w:t>
                  </w:r>
                  <w:r>
                    <w:rPr>
                      <w:color w:val="auto"/>
                      <w:kern w:val="0"/>
                      <w:szCs w:val="20"/>
                      <w:vertAlign w:val="subscript"/>
                    </w:rPr>
                    <w:t>3</w:t>
                  </w:r>
                  <w:r>
                    <w:rPr>
                      <w:color w:val="auto"/>
                      <w:kern w:val="0"/>
                      <w:szCs w:val="20"/>
                    </w:rPr>
                    <w:t>-N</w:t>
                  </w:r>
                </w:p>
              </w:tc>
              <w:tc>
                <w:tcPr>
                  <w:tcW w:w="598" w:type="pct"/>
                  <w:vAlign w:val="center"/>
                </w:tcPr>
                <w:p w14:paraId="486310F2">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21"/>
                      <w:szCs w:val="20"/>
                      <w:lang w:val="en-US" w:eastAsia="zh-CN" w:bidi="ar-SA"/>
                    </w:rPr>
                  </w:pPr>
                  <w:r>
                    <w:rPr>
                      <w:rFonts w:hint="eastAsia"/>
                      <w:color w:val="auto"/>
                      <w:kern w:val="0"/>
                      <w:szCs w:val="20"/>
                      <w:lang w:val="en-US" w:eastAsia="zh-CN"/>
                    </w:rPr>
                    <w:t>5</w:t>
                  </w:r>
                </w:p>
              </w:tc>
            </w:tr>
            <w:tr w14:paraId="2FAD148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87" w:type="pct"/>
                  <w:vMerge w:val="continue"/>
                  <w:vAlign w:val="center"/>
                </w:tcPr>
                <w:p w14:paraId="783ED17E">
                  <w:pPr>
                    <w:pStyle w:val="32"/>
                    <w:keepNext w:val="0"/>
                    <w:keepLines w:val="0"/>
                    <w:suppressLineNumbers w:val="0"/>
                    <w:spacing w:before="0" w:beforeAutospacing="0" w:after="0" w:afterAutospacing="0"/>
                    <w:ind w:left="0" w:right="0"/>
                    <w:rPr>
                      <w:color w:val="auto"/>
                    </w:rPr>
                  </w:pPr>
                </w:p>
              </w:tc>
              <w:tc>
                <w:tcPr>
                  <w:tcW w:w="546" w:type="pct"/>
                  <w:vMerge w:val="continue"/>
                  <w:vAlign w:val="center"/>
                </w:tcPr>
                <w:p w14:paraId="45E3CCE4">
                  <w:pPr>
                    <w:keepNext w:val="0"/>
                    <w:keepLines w:val="0"/>
                    <w:suppressLineNumbers w:val="0"/>
                    <w:spacing w:before="0" w:beforeAutospacing="0" w:after="0" w:afterAutospacing="0" w:line="240" w:lineRule="exact"/>
                    <w:ind w:left="0" w:right="0"/>
                    <w:jc w:val="center"/>
                    <w:rPr>
                      <w:color w:val="auto"/>
                      <w:kern w:val="0"/>
                      <w:szCs w:val="20"/>
                    </w:rPr>
                  </w:pPr>
                </w:p>
              </w:tc>
              <w:tc>
                <w:tcPr>
                  <w:tcW w:w="477" w:type="pct"/>
                  <w:vMerge w:val="continue"/>
                  <w:vAlign w:val="center"/>
                </w:tcPr>
                <w:p w14:paraId="53983E88">
                  <w:pPr>
                    <w:keepNext w:val="0"/>
                    <w:keepLines w:val="0"/>
                    <w:suppressLineNumbers w:val="0"/>
                    <w:spacing w:before="0" w:beforeAutospacing="0" w:after="0" w:afterAutospacing="0" w:line="240" w:lineRule="exact"/>
                    <w:ind w:left="0" w:right="0"/>
                    <w:jc w:val="center"/>
                    <w:rPr>
                      <w:color w:val="auto"/>
                      <w:kern w:val="0"/>
                      <w:szCs w:val="20"/>
                    </w:rPr>
                  </w:pPr>
                </w:p>
              </w:tc>
              <w:tc>
                <w:tcPr>
                  <w:tcW w:w="642" w:type="pct"/>
                  <w:vMerge w:val="continue"/>
                  <w:vAlign w:val="center"/>
                </w:tcPr>
                <w:p w14:paraId="6F981AA3">
                  <w:pPr>
                    <w:pStyle w:val="32"/>
                    <w:keepNext w:val="0"/>
                    <w:keepLines w:val="0"/>
                    <w:suppressLineNumbers w:val="0"/>
                    <w:spacing w:before="0" w:beforeAutospacing="0" w:after="0" w:afterAutospacing="0"/>
                    <w:ind w:left="0" w:right="0"/>
                    <w:rPr>
                      <w:color w:val="auto"/>
                    </w:rPr>
                  </w:pPr>
                </w:p>
              </w:tc>
              <w:tc>
                <w:tcPr>
                  <w:tcW w:w="576" w:type="pct"/>
                  <w:vMerge w:val="continue"/>
                  <w:vAlign w:val="center"/>
                </w:tcPr>
                <w:p w14:paraId="6510A620">
                  <w:pPr>
                    <w:pStyle w:val="32"/>
                    <w:keepNext w:val="0"/>
                    <w:keepLines w:val="0"/>
                    <w:suppressLineNumbers w:val="0"/>
                    <w:spacing w:before="0" w:beforeAutospacing="0" w:after="0" w:afterAutospacing="0"/>
                    <w:ind w:left="0" w:right="0"/>
                    <w:rPr>
                      <w:bCs/>
                      <w:color w:val="auto"/>
                      <w:lang w:bidi="zh-CN"/>
                    </w:rPr>
                  </w:pPr>
                </w:p>
              </w:tc>
              <w:tc>
                <w:tcPr>
                  <w:tcW w:w="461" w:type="pct"/>
                  <w:vMerge w:val="continue"/>
                  <w:vAlign w:val="center"/>
                </w:tcPr>
                <w:p w14:paraId="316850F7">
                  <w:pPr>
                    <w:pStyle w:val="32"/>
                    <w:keepNext w:val="0"/>
                    <w:keepLines w:val="0"/>
                    <w:suppressLineNumbers w:val="0"/>
                    <w:spacing w:before="0" w:beforeAutospacing="0" w:after="0" w:afterAutospacing="0"/>
                    <w:ind w:left="0" w:right="0"/>
                    <w:rPr>
                      <w:color w:val="auto"/>
                    </w:rPr>
                  </w:pPr>
                </w:p>
              </w:tc>
              <w:tc>
                <w:tcPr>
                  <w:tcW w:w="411" w:type="pct"/>
                  <w:vMerge w:val="continue"/>
                  <w:vAlign w:val="center"/>
                </w:tcPr>
                <w:p w14:paraId="7C543447">
                  <w:pPr>
                    <w:pStyle w:val="32"/>
                    <w:keepNext w:val="0"/>
                    <w:keepLines w:val="0"/>
                    <w:suppressLineNumbers w:val="0"/>
                    <w:spacing w:before="0" w:beforeAutospacing="0" w:after="0" w:afterAutospacing="0"/>
                    <w:ind w:left="0" w:right="0"/>
                    <w:rPr>
                      <w:color w:val="auto"/>
                    </w:rPr>
                  </w:pPr>
                </w:p>
              </w:tc>
              <w:tc>
                <w:tcPr>
                  <w:tcW w:w="456" w:type="pct"/>
                  <w:vMerge w:val="continue"/>
                  <w:vAlign w:val="center"/>
                </w:tcPr>
                <w:p w14:paraId="19334A81">
                  <w:pPr>
                    <w:pStyle w:val="32"/>
                    <w:keepNext w:val="0"/>
                    <w:keepLines w:val="0"/>
                    <w:suppressLineNumbers w:val="0"/>
                    <w:spacing w:before="0" w:beforeAutospacing="0" w:after="0" w:afterAutospacing="0"/>
                    <w:ind w:left="0" w:right="0"/>
                    <w:rPr>
                      <w:bCs/>
                      <w:color w:val="auto"/>
                      <w:lang w:bidi="zh-CN"/>
                    </w:rPr>
                  </w:pPr>
                </w:p>
              </w:tc>
              <w:tc>
                <w:tcPr>
                  <w:tcW w:w="441" w:type="pct"/>
                  <w:vAlign w:val="center"/>
                </w:tcPr>
                <w:p w14:paraId="382681D7">
                  <w:pPr>
                    <w:keepNext w:val="0"/>
                    <w:keepLines w:val="0"/>
                    <w:suppressLineNumbers w:val="0"/>
                    <w:spacing w:before="0" w:beforeAutospacing="0" w:after="0" w:afterAutospacing="0" w:line="240" w:lineRule="exact"/>
                    <w:ind w:left="0" w:leftChars="0" w:right="0" w:rightChars="0"/>
                    <w:jc w:val="center"/>
                    <w:rPr>
                      <w:rFonts w:hint="default" w:eastAsia="宋体"/>
                      <w:color w:val="auto"/>
                      <w:kern w:val="0"/>
                      <w:szCs w:val="20"/>
                      <w:lang w:val="en-US" w:eastAsia="zh-CN"/>
                    </w:rPr>
                  </w:pPr>
                  <w:r>
                    <w:rPr>
                      <w:rFonts w:hint="eastAsia"/>
                      <w:color w:val="auto"/>
                      <w:kern w:val="0"/>
                      <w:szCs w:val="20"/>
                      <w:lang w:val="en-US" w:eastAsia="zh-CN"/>
                    </w:rPr>
                    <w:t>TP</w:t>
                  </w:r>
                </w:p>
              </w:tc>
              <w:tc>
                <w:tcPr>
                  <w:tcW w:w="598" w:type="pct"/>
                  <w:vAlign w:val="center"/>
                </w:tcPr>
                <w:p w14:paraId="222CE44B">
                  <w:pPr>
                    <w:keepNext w:val="0"/>
                    <w:keepLines w:val="0"/>
                    <w:suppressLineNumbers w:val="0"/>
                    <w:spacing w:before="0" w:beforeAutospacing="0" w:after="0" w:afterAutospacing="0" w:line="240" w:lineRule="exact"/>
                    <w:ind w:left="0" w:leftChars="0" w:right="0" w:rightChars="0"/>
                    <w:jc w:val="center"/>
                    <w:rPr>
                      <w:rFonts w:hint="default"/>
                      <w:color w:val="auto"/>
                      <w:kern w:val="0"/>
                      <w:szCs w:val="20"/>
                      <w:lang w:val="en-US" w:eastAsia="zh-CN"/>
                    </w:rPr>
                  </w:pPr>
                  <w:r>
                    <w:rPr>
                      <w:rFonts w:hint="eastAsia"/>
                      <w:color w:val="auto"/>
                      <w:kern w:val="0"/>
                      <w:szCs w:val="20"/>
                      <w:lang w:val="en-US" w:eastAsia="zh-CN"/>
                    </w:rPr>
                    <w:t>0.5</w:t>
                  </w:r>
                </w:p>
              </w:tc>
            </w:tr>
            <w:tr w14:paraId="44486BA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387" w:type="pct"/>
                  <w:vMerge w:val="continue"/>
                  <w:vAlign w:val="center"/>
                </w:tcPr>
                <w:p w14:paraId="31D196CF">
                  <w:pPr>
                    <w:pStyle w:val="32"/>
                    <w:keepNext w:val="0"/>
                    <w:keepLines w:val="0"/>
                    <w:suppressLineNumbers w:val="0"/>
                    <w:spacing w:before="0" w:beforeAutospacing="0" w:after="0" w:afterAutospacing="0"/>
                    <w:ind w:left="0" w:right="0"/>
                    <w:rPr>
                      <w:color w:val="auto"/>
                    </w:rPr>
                  </w:pPr>
                </w:p>
              </w:tc>
              <w:tc>
                <w:tcPr>
                  <w:tcW w:w="546" w:type="pct"/>
                  <w:vMerge w:val="continue"/>
                  <w:vAlign w:val="center"/>
                </w:tcPr>
                <w:p w14:paraId="52D0E45E">
                  <w:pPr>
                    <w:keepNext w:val="0"/>
                    <w:keepLines w:val="0"/>
                    <w:suppressLineNumbers w:val="0"/>
                    <w:spacing w:before="0" w:beforeAutospacing="0" w:after="0" w:afterAutospacing="0" w:line="240" w:lineRule="exact"/>
                    <w:ind w:left="0" w:right="0"/>
                    <w:jc w:val="center"/>
                    <w:rPr>
                      <w:color w:val="auto"/>
                      <w:kern w:val="0"/>
                      <w:szCs w:val="20"/>
                    </w:rPr>
                  </w:pPr>
                </w:p>
              </w:tc>
              <w:tc>
                <w:tcPr>
                  <w:tcW w:w="477" w:type="pct"/>
                  <w:vMerge w:val="continue"/>
                  <w:vAlign w:val="center"/>
                </w:tcPr>
                <w:p w14:paraId="1DB668AA">
                  <w:pPr>
                    <w:keepNext w:val="0"/>
                    <w:keepLines w:val="0"/>
                    <w:suppressLineNumbers w:val="0"/>
                    <w:spacing w:before="0" w:beforeAutospacing="0" w:after="0" w:afterAutospacing="0" w:line="240" w:lineRule="exact"/>
                    <w:ind w:left="0" w:right="0"/>
                    <w:jc w:val="center"/>
                    <w:rPr>
                      <w:color w:val="auto"/>
                      <w:kern w:val="0"/>
                      <w:szCs w:val="20"/>
                    </w:rPr>
                  </w:pPr>
                </w:p>
              </w:tc>
              <w:tc>
                <w:tcPr>
                  <w:tcW w:w="642" w:type="pct"/>
                  <w:vMerge w:val="continue"/>
                  <w:vAlign w:val="center"/>
                </w:tcPr>
                <w:p w14:paraId="5D0BE9CD">
                  <w:pPr>
                    <w:pStyle w:val="32"/>
                    <w:keepNext w:val="0"/>
                    <w:keepLines w:val="0"/>
                    <w:suppressLineNumbers w:val="0"/>
                    <w:spacing w:before="0" w:beforeAutospacing="0" w:after="0" w:afterAutospacing="0"/>
                    <w:ind w:left="0" w:right="0"/>
                    <w:rPr>
                      <w:color w:val="auto"/>
                    </w:rPr>
                  </w:pPr>
                </w:p>
              </w:tc>
              <w:tc>
                <w:tcPr>
                  <w:tcW w:w="576" w:type="pct"/>
                  <w:vMerge w:val="continue"/>
                  <w:vAlign w:val="center"/>
                </w:tcPr>
                <w:p w14:paraId="58953179">
                  <w:pPr>
                    <w:pStyle w:val="32"/>
                    <w:keepNext w:val="0"/>
                    <w:keepLines w:val="0"/>
                    <w:suppressLineNumbers w:val="0"/>
                    <w:spacing w:before="0" w:beforeAutospacing="0" w:after="0" w:afterAutospacing="0"/>
                    <w:ind w:left="0" w:right="0"/>
                    <w:rPr>
                      <w:bCs/>
                      <w:color w:val="auto"/>
                      <w:lang w:bidi="zh-CN"/>
                    </w:rPr>
                  </w:pPr>
                </w:p>
              </w:tc>
              <w:tc>
                <w:tcPr>
                  <w:tcW w:w="461" w:type="pct"/>
                  <w:vMerge w:val="continue"/>
                  <w:vAlign w:val="center"/>
                </w:tcPr>
                <w:p w14:paraId="33CA6602">
                  <w:pPr>
                    <w:pStyle w:val="32"/>
                    <w:keepNext w:val="0"/>
                    <w:keepLines w:val="0"/>
                    <w:suppressLineNumbers w:val="0"/>
                    <w:spacing w:before="0" w:beforeAutospacing="0" w:after="0" w:afterAutospacing="0"/>
                    <w:ind w:left="0" w:right="0"/>
                    <w:rPr>
                      <w:color w:val="auto"/>
                    </w:rPr>
                  </w:pPr>
                </w:p>
              </w:tc>
              <w:tc>
                <w:tcPr>
                  <w:tcW w:w="411" w:type="pct"/>
                  <w:vMerge w:val="continue"/>
                  <w:vAlign w:val="center"/>
                </w:tcPr>
                <w:p w14:paraId="2687C767">
                  <w:pPr>
                    <w:pStyle w:val="32"/>
                    <w:keepNext w:val="0"/>
                    <w:keepLines w:val="0"/>
                    <w:suppressLineNumbers w:val="0"/>
                    <w:spacing w:before="0" w:beforeAutospacing="0" w:after="0" w:afterAutospacing="0"/>
                    <w:ind w:left="0" w:right="0"/>
                    <w:rPr>
                      <w:color w:val="auto"/>
                    </w:rPr>
                  </w:pPr>
                </w:p>
              </w:tc>
              <w:tc>
                <w:tcPr>
                  <w:tcW w:w="456" w:type="pct"/>
                  <w:vMerge w:val="continue"/>
                  <w:vAlign w:val="center"/>
                </w:tcPr>
                <w:p w14:paraId="14E9CED6">
                  <w:pPr>
                    <w:pStyle w:val="32"/>
                    <w:keepNext w:val="0"/>
                    <w:keepLines w:val="0"/>
                    <w:suppressLineNumbers w:val="0"/>
                    <w:spacing w:before="0" w:beforeAutospacing="0" w:after="0" w:afterAutospacing="0"/>
                    <w:ind w:left="0" w:right="0"/>
                    <w:rPr>
                      <w:bCs/>
                      <w:color w:val="auto"/>
                      <w:lang w:bidi="zh-CN"/>
                    </w:rPr>
                  </w:pPr>
                </w:p>
              </w:tc>
              <w:tc>
                <w:tcPr>
                  <w:tcW w:w="441" w:type="pct"/>
                  <w:shd w:val="clear" w:color="auto" w:fill="auto"/>
                  <w:vAlign w:val="center"/>
                </w:tcPr>
                <w:p w14:paraId="4BCE0995">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TN</w:t>
                  </w:r>
                </w:p>
              </w:tc>
              <w:tc>
                <w:tcPr>
                  <w:tcW w:w="598" w:type="pct"/>
                  <w:shd w:val="clear" w:color="auto" w:fill="auto"/>
                  <w:vAlign w:val="center"/>
                </w:tcPr>
                <w:p w14:paraId="4C6D90DC">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21"/>
                      <w:szCs w:val="20"/>
                      <w:lang w:val="en-US" w:eastAsia="zh-CN" w:bidi="ar-SA"/>
                    </w:rPr>
                  </w:pPr>
                  <w:r>
                    <w:rPr>
                      <w:rFonts w:hint="eastAsia" w:cs="Times New Roman"/>
                      <w:color w:val="auto"/>
                      <w:kern w:val="0"/>
                      <w:sz w:val="21"/>
                      <w:szCs w:val="20"/>
                      <w:lang w:val="en-US" w:eastAsia="zh-CN" w:bidi="ar-SA"/>
                    </w:rPr>
                    <w:t>15</w:t>
                  </w:r>
                </w:p>
              </w:tc>
            </w:tr>
          </w:tbl>
          <w:p w14:paraId="0C4F8F35">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Chars="200"/>
              <w:textAlignment w:val="auto"/>
              <w:rPr>
                <w:rFonts w:hint="eastAsia" w:ascii="宋体" w:hAnsi="宋体" w:eastAsia="宋体"/>
                <w:color w:val="auto"/>
                <w:kern w:val="0"/>
                <w:sz w:val="24"/>
                <w:szCs w:val="24"/>
              </w:rPr>
            </w:pPr>
            <w:r>
              <w:rPr>
                <w:rFonts w:hint="eastAsia" w:ascii="宋体" w:hAnsi="宋体" w:eastAsia="宋体"/>
                <w:color w:val="auto"/>
                <w:kern w:val="0"/>
                <w:sz w:val="24"/>
                <w:szCs w:val="24"/>
                <w:lang w:val="en-US" w:eastAsia="zh-CN"/>
              </w:rPr>
              <w:t>2、</w:t>
            </w:r>
            <w:r>
              <w:rPr>
                <w:rFonts w:hint="eastAsia" w:ascii="宋体" w:hAnsi="宋体" w:eastAsia="宋体"/>
                <w:color w:val="auto"/>
                <w:kern w:val="0"/>
                <w:sz w:val="24"/>
                <w:szCs w:val="24"/>
              </w:rPr>
              <w:t>废水处理措施技术可行性分析</w:t>
            </w:r>
          </w:p>
          <w:p w14:paraId="0DB5D248">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textAlignment w:val="auto"/>
              <w:rPr>
                <w:rFonts w:hint="eastAsia" w:ascii="宋体" w:hAnsi="宋体" w:eastAsia="宋体"/>
                <w:color w:val="auto"/>
                <w:sz w:val="24"/>
                <w:szCs w:val="24"/>
                <w:lang w:eastAsia="zh-CN"/>
              </w:rPr>
            </w:pP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1</w:t>
            </w:r>
            <w:r>
              <w:rPr>
                <w:rFonts w:hint="eastAsia" w:ascii="宋体" w:hAnsi="宋体" w:eastAsia="宋体"/>
                <w:color w:val="auto"/>
                <w:sz w:val="24"/>
                <w:szCs w:val="24"/>
                <w:lang w:eastAsia="zh-CN"/>
              </w:rPr>
              <w:t>）处理能力工艺</w:t>
            </w:r>
          </w:p>
          <w:p w14:paraId="7FE4A430">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b/>
                <w:bCs/>
                <w:color w:val="auto"/>
                <w:sz w:val="24"/>
                <w:szCs w:val="24"/>
                <w:lang w:val="en-US" w:eastAsia="zh-CN"/>
              </w:rPr>
            </w:pPr>
            <w:r>
              <w:rPr>
                <w:rFonts w:hint="eastAsia" w:ascii="宋体" w:hAnsi="宋体" w:eastAsia="宋体" w:cs="宋体"/>
                <w:color w:val="auto"/>
                <w:sz w:val="24"/>
                <w:szCs w:val="24"/>
              </w:rPr>
              <w:t>本项目营运期</w:t>
            </w:r>
            <w:r>
              <w:rPr>
                <w:rFonts w:hint="eastAsia" w:ascii="宋体" w:hAnsi="宋体" w:eastAsia="宋体" w:cs="宋体"/>
                <w:b w:val="0"/>
                <w:bCs/>
                <w:color w:val="auto"/>
                <w:sz w:val="24"/>
                <w:szCs w:val="24"/>
                <w:lang w:val="en-US" w:eastAsia="zh-CN"/>
              </w:rPr>
              <w:t>清洗</w:t>
            </w:r>
            <w:r>
              <w:rPr>
                <w:rFonts w:hint="eastAsia" w:ascii="宋体" w:hAnsi="宋体" w:eastAsia="宋体" w:cs="宋体"/>
                <w:color w:val="auto"/>
                <w:sz w:val="24"/>
                <w:szCs w:val="24"/>
              </w:rPr>
              <w:t>废水通过自建污水处理站（</w:t>
            </w:r>
            <w:r>
              <w:rPr>
                <w:rFonts w:ascii="宋体" w:hAnsi="宋体" w:eastAsia="宋体" w:cs="宋体"/>
                <w:color w:val="auto"/>
                <w:sz w:val="24"/>
                <w:szCs w:val="24"/>
              </w:rPr>
              <w:t>主要工艺为</w:t>
            </w:r>
            <w:r>
              <w:rPr>
                <w:rFonts w:hint="eastAsia" w:ascii="宋体" w:hAnsi="宋体" w:eastAsia="宋体" w:cs="宋体"/>
                <w:color w:val="auto"/>
                <w:sz w:val="24"/>
                <w:szCs w:val="24"/>
              </w:rPr>
              <w:t>格栅+调节池+初沉池+絮凝沉淀池+二沉池+回用水池）处理，</w:t>
            </w:r>
            <w:r>
              <w:rPr>
                <w:rFonts w:hint="eastAsia" w:ascii="宋体" w:hAnsi="宋体" w:eastAsia="宋体" w:cs="宋体"/>
                <w:color w:val="auto"/>
                <w:sz w:val="24"/>
                <w:szCs w:val="24"/>
                <w:lang w:eastAsia="zh-CN"/>
              </w:rPr>
              <w:t>该股</w:t>
            </w:r>
            <w:r>
              <w:rPr>
                <w:rFonts w:hint="eastAsia" w:ascii="宋体" w:hAnsi="宋体" w:eastAsia="宋体" w:cs="宋体"/>
                <w:color w:val="auto"/>
                <w:sz w:val="24"/>
                <w:szCs w:val="24"/>
              </w:rPr>
              <w:t>废水与通过化粪池处理的生活污水混合后满足</w:t>
            </w:r>
            <w:r>
              <w:rPr>
                <w:rFonts w:hint="default" w:ascii="Times New Roman" w:hAnsi="Times New Roman" w:cs="Times New Roman"/>
                <w:color w:val="auto"/>
                <w:sz w:val="24"/>
                <w:szCs w:val="24"/>
                <w:lang w:eastAsia="zh-CN"/>
              </w:rPr>
              <w:t>星火工业园污水处理厂</w:t>
            </w:r>
            <w:r>
              <w:rPr>
                <w:rFonts w:hint="eastAsia" w:ascii="宋体" w:hAnsi="宋体" w:eastAsia="宋体" w:cs="宋体"/>
                <w:color w:val="auto"/>
                <w:sz w:val="24"/>
                <w:szCs w:val="24"/>
              </w:rPr>
              <w:t>接管标准外排至园区污水管网，通过园区管网排入</w:t>
            </w:r>
            <w:r>
              <w:rPr>
                <w:rFonts w:hint="default" w:ascii="Times New Roman" w:hAnsi="Times New Roman" w:cs="Times New Roman"/>
                <w:color w:val="auto"/>
                <w:sz w:val="24"/>
                <w:szCs w:val="24"/>
                <w:lang w:eastAsia="zh-CN"/>
              </w:rPr>
              <w:t>星火工业园污水处理厂</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设计处理能力为</w:t>
            </w:r>
            <w:r>
              <w:rPr>
                <w:rFonts w:hint="eastAsia" w:hAnsi="宋体" w:cs="宋体"/>
                <w:color w:val="auto"/>
                <w:sz w:val="24"/>
                <w:szCs w:val="24"/>
                <w:lang w:val="en-US" w:eastAsia="zh-CN"/>
              </w:rPr>
              <w:t>100t/d</w:t>
            </w:r>
            <w:r>
              <w:rPr>
                <w:rFonts w:hint="eastAsia" w:ascii="宋体" w:hAnsi="宋体" w:eastAsia="宋体" w:cs="宋体"/>
                <w:color w:val="auto"/>
                <w:sz w:val="24"/>
                <w:szCs w:val="24"/>
                <w:lang w:val="en-US" w:eastAsia="zh-CN"/>
              </w:rPr>
              <w:t>。</w:t>
            </w:r>
          </w:p>
          <w:p w14:paraId="12CF4724">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line="360" w:lineRule="auto"/>
              <w:ind w:leftChars="200"/>
              <w:textAlignment w:val="auto"/>
              <w:rPr>
                <w:rFonts w:hint="eastAsia"/>
                <w:b w:val="0"/>
                <w:bCs w:val="0"/>
                <w:color w:val="auto"/>
                <w:sz w:val="24"/>
                <w:lang w:val="en-US" w:eastAsia="zh-CN"/>
              </w:rPr>
            </w:pPr>
            <w:r>
              <w:rPr>
                <w:rFonts w:hint="eastAsia"/>
                <w:b w:val="0"/>
                <w:bCs w:val="0"/>
                <w:color w:val="auto"/>
                <w:sz w:val="24"/>
                <w:lang w:val="en-US" w:eastAsia="zh-CN"/>
              </w:rPr>
              <w:t>A污水处理工艺说明</w:t>
            </w:r>
          </w:p>
          <w:p w14:paraId="488B5B01">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lang w:val="en-US" w:eastAsia="zh-CN"/>
              </w:rPr>
            </w:pPr>
            <w:r>
              <w:rPr>
                <w:rFonts w:hint="eastAsia"/>
                <w:color w:val="auto"/>
                <w:lang w:val="en-US" w:eastAsia="zh-CN"/>
              </w:rPr>
              <w:t>①格栅：是用来去除可能堵塞水泵机组及管道阀门的较粗大悬浮物，并保证后续处理设施能正常运行。格栅是由一组(或多组)相平行的金属栅条与框架</w:t>
            </w:r>
          </w:p>
          <w:p w14:paraId="50EC0931">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color w:val="auto"/>
                <w:lang w:val="en-US" w:eastAsia="zh-CN"/>
              </w:rPr>
            </w:pPr>
            <w:r>
              <w:rPr>
                <w:rFonts w:hint="eastAsia"/>
                <w:color w:val="auto"/>
                <w:lang w:val="en-US" w:eastAsia="zh-CN"/>
              </w:rPr>
              <w:t>组成，倾斜安装在进水的渠道，或进水泵站集水井的进口处，以拦截污水中的悬浮物及杂质。</w:t>
            </w:r>
          </w:p>
          <w:p w14:paraId="4F78240A">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lang w:val="en-US" w:eastAsia="zh-CN"/>
              </w:rPr>
            </w:pPr>
            <w:r>
              <w:rPr>
                <w:rFonts w:hint="eastAsia"/>
                <w:color w:val="auto"/>
                <w:lang w:val="en-US" w:eastAsia="zh-CN"/>
              </w:rPr>
              <w:t>②调节池：为了使管渠和构筑物正常工作，不受废水高峰流量或浓度变化的影响，需在废水处理设施之前设置调节池。调节池主要有调节水量、均衡水质和预处理三大作用</w:t>
            </w:r>
            <w:r>
              <w:rPr>
                <w:rFonts w:ascii="宋体" w:hAnsi="宋体" w:eastAsia="宋体" w:cs="宋体"/>
                <w:color w:val="auto"/>
                <w:sz w:val="24"/>
                <w:szCs w:val="24"/>
              </w:rPr>
              <w:t>。</w:t>
            </w:r>
          </w:p>
          <w:p w14:paraId="624DAA1B">
            <w:pPr>
              <w:pStyle w:val="2"/>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Times New Roman" w:eastAsia="Times New Roman" w:cs="Times New Roman"/>
                <w:color w:val="auto"/>
                <w:sz w:val="24"/>
                <w:szCs w:val="24"/>
              </w:rPr>
            </w:pPr>
            <w:r>
              <w:rPr>
                <w:rFonts w:hint="eastAsia"/>
                <w:color w:val="auto"/>
                <w:lang w:val="en-US" w:eastAsia="zh-CN"/>
              </w:rPr>
              <w:t>③混凝沉淀池：</w:t>
            </w:r>
            <w:r>
              <w:rPr>
                <w:rFonts w:hint="eastAsia" w:ascii="Times New Roman" w:cs="Times New Roman"/>
                <w:color w:val="auto"/>
                <w:sz w:val="24"/>
                <w:szCs w:val="24"/>
              </w:rPr>
              <w:t>混凝沉淀池通过向水中投加一些药剂(通常称为混凝剂及助凝剂)，使水中难以沉淀的颗粒能互相聚合而形成胶体，然后与水体中的杂质结合形成更大的絮凝体。凝体具有强大吸附力，不仅能吸附悬浮物，还能吸附部分细菌和溶解性物质。絮体通过吸附，体积增大而下沉</w:t>
            </w:r>
            <w:r>
              <w:rPr>
                <w:rFonts w:hint="eastAsia" w:ascii="宋体" w:hAnsi="宋体" w:eastAsia="宋体" w:cs="宋体"/>
                <w:color w:val="auto"/>
                <w:sz w:val="24"/>
                <w:szCs w:val="24"/>
                <w:lang w:eastAsia="zh-CN"/>
              </w:rPr>
              <w:t>。</w:t>
            </w:r>
          </w:p>
          <w:p w14:paraId="3CEB5AB2">
            <w:pPr>
              <w:keepNext w:val="0"/>
              <w:keepLines w:val="0"/>
              <w:pageBreakBefore w:val="0"/>
              <w:widowControl w:val="0"/>
              <w:numPr>
                <w:ilvl w:val="0"/>
                <w:numId w:val="14"/>
              </w:numPr>
              <w:shd w:val="clear" w:color="auto" w:fill="FFFFFF"/>
              <w:kinsoku/>
              <w:wordWrap/>
              <w:overflowPunct/>
              <w:topLinePunct w:val="0"/>
              <w:autoSpaceDE/>
              <w:autoSpaceDN/>
              <w:bidi w:val="0"/>
              <w:adjustRightInd/>
              <w:snapToGrid/>
              <w:spacing w:line="360" w:lineRule="auto"/>
              <w:ind w:leftChars="200"/>
              <w:textAlignment w:val="auto"/>
              <w:rPr>
                <w:rFonts w:hint="eastAsia"/>
                <w:b w:val="0"/>
                <w:bCs w:val="0"/>
                <w:color w:val="auto"/>
                <w:sz w:val="24"/>
                <w:lang w:val="en-US" w:eastAsia="zh-CN"/>
              </w:rPr>
            </w:pPr>
            <w:r>
              <w:rPr>
                <w:rFonts w:hint="eastAsia"/>
                <w:b w:val="0"/>
                <w:bCs w:val="0"/>
                <w:color w:val="auto"/>
                <w:sz w:val="24"/>
                <w:lang w:val="en-US" w:eastAsia="zh-CN"/>
              </w:rPr>
              <w:t>技术可行性</w:t>
            </w:r>
          </w:p>
          <w:p w14:paraId="599153FC">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
              </w:rPr>
            </w:pPr>
            <w:r>
              <w:rPr>
                <w:rFonts w:hint="eastAsia"/>
                <w:color w:val="auto"/>
                <w:lang w:val="en-US" w:eastAsia="zh-CN"/>
              </w:rPr>
              <w:t>本项目属于C4220非金属废料和碎屑加工处理，</w:t>
            </w:r>
            <w:r>
              <w:rPr>
                <w:rFonts w:hint="eastAsia"/>
                <w:color w:val="auto"/>
              </w:rPr>
              <w:t>本项目原料表面附着物主要为</w:t>
            </w:r>
            <w:r>
              <w:rPr>
                <w:rFonts w:hint="eastAsia" w:eastAsia="宋体"/>
                <w:color w:val="auto"/>
                <w:lang w:val="en-US" w:eastAsia="zh-CN"/>
              </w:rPr>
              <w:t>尘</w:t>
            </w:r>
            <w:r>
              <w:rPr>
                <w:rFonts w:hint="eastAsia"/>
                <w:color w:val="auto"/>
              </w:rPr>
              <w:t>土，附着物较少且极易清洗，故原料入厂后不需化学清洗，只需简单使用</w:t>
            </w:r>
            <w:r>
              <w:rPr>
                <w:rFonts w:hint="eastAsia"/>
                <w:color w:val="auto"/>
                <w:lang w:val="en-US" w:eastAsia="zh-CN"/>
              </w:rPr>
              <w:t>自来水</w:t>
            </w:r>
            <w:r>
              <w:rPr>
                <w:rFonts w:hint="eastAsia"/>
                <w:color w:val="auto"/>
              </w:rPr>
              <w:t>进行清洗，</w:t>
            </w:r>
            <w:r>
              <w:rPr>
                <w:rFonts w:hint="eastAsia"/>
                <w:color w:val="auto"/>
                <w:lang w:val="en-US" w:eastAsia="zh-CN"/>
              </w:rPr>
              <w:t>清洗废水进入厂内污水处理站预处理，</w:t>
            </w:r>
            <w:r>
              <w:rPr>
                <w:rFonts w:hint="eastAsia" w:ascii="宋体" w:hAnsi="宋体" w:eastAsia="宋体" w:cs="宋体"/>
                <w:color w:val="auto"/>
                <w:sz w:val="24"/>
                <w:szCs w:val="24"/>
                <w:lang w:eastAsia="zh-CN"/>
              </w:rPr>
              <w:t>大部分回用</w:t>
            </w:r>
            <w:r>
              <w:rPr>
                <w:rFonts w:hint="eastAsia" w:ascii="宋体" w:hAnsi="宋体" w:eastAsia="宋体" w:cs="宋体"/>
                <w:color w:val="auto"/>
                <w:sz w:val="24"/>
                <w:szCs w:val="24"/>
                <w:lang w:val="en-US" w:eastAsia="zh-CN"/>
              </w:rPr>
              <w:t>清洗</w:t>
            </w:r>
            <w:r>
              <w:rPr>
                <w:rFonts w:hint="eastAsia" w:ascii="宋体" w:hAnsi="宋体" w:eastAsia="宋体" w:cs="宋体"/>
                <w:color w:val="auto"/>
                <w:sz w:val="24"/>
                <w:szCs w:val="24"/>
                <w:lang w:eastAsia="zh-CN"/>
              </w:rPr>
              <w:t>工序，</w:t>
            </w:r>
            <w:r>
              <w:rPr>
                <w:rFonts w:hint="eastAsia" w:ascii="宋体" w:hAnsi="宋体" w:eastAsia="宋体" w:cs="宋体"/>
                <w:color w:val="auto"/>
                <w:sz w:val="24"/>
                <w:szCs w:val="24"/>
              </w:rPr>
              <w:t>预处理后</w:t>
            </w:r>
            <w:r>
              <w:rPr>
                <w:rFonts w:hint="eastAsia" w:ascii="宋体" w:hAnsi="宋体" w:eastAsia="宋体" w:cs="宋体"/>
                <w:color w:val="auto"/>
                <w:sz w:val="24"/>
                <w:szCs w:val="24"/>
                <w:lang w:val="en-US" w:eastAsia="zh-CN"/>
              </w:rPr>
              <w:t>约10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清洗</w:t>
            </w:r>
            <w:r>
              <w:rPr>
                <w:rFonts w:hint="eastAsia" w:ascii="宋体" w:hAnsi="宋体" w:eastAsia="宋体" w:cs="宋体"/>
                <w:color w:val="auto"/>
                <w:sz w:val="24"/>
                <w:szCs w:val="24"/>
              </w:rPr>
              <w:t>废水</w:t>
            </w:r>
            <w:r>
              <w:rPr>
                <w:rFonts w:hint="eastAsia"/>
                <w:color w:val="auto"/>
              </w:rPr>
              <w:t>经管网排入</w:t>
            </w:r>
            <w:r>
              <w:rPr>
                <w:rFonts w:hint="default" w:ascii="Times New Roman" w:hAnsi="Times New Roman" w:cs="Times New Roman"/>
                <w:color w:val="auto"/>
                <w:sz w:val="24"/>
                <w:szCs w:val="24"/>
                <w:lang w:eastAsia="zh-CN"/>
              </w:rPr>
              <w:t>星火工业园污水处理厂</w:t>
            </w:r>
            <w:r>
              <w:rPr>
                <w:rFonts w:hint="eastAsia"/>
                <w:color w:val="auto"/>
              </w:rPr>
              <w:t>进一步处理</w:t>
            </w:r>
            <w:r>
              <w:rPr>
                <w:rFonts w:hint="eastAsia" w:ascii="宋体" w:hAnsi="宋体" w:eastAsia="宋体" w:cs="宋体"/>
                <w:color w:val="auto"/>
                <w:sz w:val="24"/>
                <w:szCs w:val="24"/>
              </w:rPr>
              <w:t>。项目循环用水主要用于浮选和</w:t>
            </w:r>
            <w:r>
              <w:rPr>
                <w:rFonts w:hint="eastAsia" w:ascii="宋体" w:hAnsi="宋体" w:eastAsia="宋体" w:cs="宋体"/>
                <w:color w:val="auto"/>
                <w:sz w:val="24"/>
                <w:szCs w:val="24"/>
                <w:lang w:val="en-US" w:eastAsia="zh-CN"/>
              </w:rPr>
              <w:t>清洗</w:t>
            </w:r>
            <w:r>
              <w:rPr>
                <w:rFonts w:hint="eastAsia" w:ascii="宋体" w:hAnsi="宋体" w:eastAsia="宋体" w:cs="宋体"/>
                <w:color w:val="auto"/>
                <w:sz w:val="24"/>
                <w:szCs w:val="24"/>
              </w:rPr>
              <w:t>，对水质要求不高，处理后的废水在补充清水后，足够满足项目废水</w:t>
            </w:r>
            <w:r>
              <w:rPr>
                <w:rFonts w:hint="eastAsia" w:ascii="宋体" w:hAnsi="宋体" w:eastAsia="宋体" w:cs="宋体"/>
                <w:color w:val="auto"/>
                <w:sz w:val="24"/>
                <w:szCs w:val="24"/>
                <w:lang w:val="en-US" w:eastAsia="zh-CN"/>
              </w:rPr>
              <w:t>回</w:t>
            </w:r>
            <w:r>
              <w:rPr>
                <w:rFonts w:hint="eastAsia" w:ascii="宋体" w:hAnsi="宋体" w:eastAsia="宋体" w:cs="宋体"/>
                <w:color w:val="auto"/>
                <w:sz w:val="24"/>
                <w:szCs w:val="24"/>
              </w:rPr>
              <w:t>用的需求</w:t>
            </w:r>
            <w:r>
              <w:rPr>
                <w:rFonts w:hint="eastAsia" w:ascii="宋体" w:hAnsi="宋体" w:eastAsia="宋体" w:cs="宋体"/>
                <w:color w:val="auto"/>
                <w:sz w:val="24"/>
                <w:szCs w:val="24"/>
                <w:lang w:eastAsia="zh-CN"/>
              </w:rPr>
              <w:t>。</w:t>
            </w:r>
            <w:r>
              <w:rPr>
                <w:rFonts w:hint="eastAsia" w:ascii="宋体" w:hAnsi="宋体" w:eastAsia="宋体" w:cs="宋体"/>
                <w:color w:val="auto"/>
                <w:kern w:val="0"/>
                <w:sz w:val="24"/>
                <w:szCs w:val="24"/>
                <w:lang w:val="en-US" w:eastAsia="zh-CN" w:bidi="ar"/>
              </w:rPr>
              <w:t>根据《排污许可证申请与核发技术规范-废弃资源加工工业》(HJ1034-2019)附录表A.2废弃资源加工工业排污单位废水污染防治可行性技术参考表，废塑料综合废水可行技术为：预处理：沉淀，气浮，混凝，调节；生化处理：活性污泥法，序批式活性污泥法（SBR），缺氧/好氧法(AO)，厌氧/缺氧/好氧法(A2/O)，膜生物法(MBR)，曝气生物滤池(BAF)，生物接触氧化法，周期循环活性污泥法(CASS)；可选取上述工艺的改进工艺。因此本项目清洗废水</w:t>
            </w:r>
            <w:r>
              <w:rPr>
                <w:rFonts w:hint="eastAsia" w:ascii="宋体" w:hAnsi="宋体" w:eastAsia="宋体" w:cs="宋体"/>
                <w:color w:val="auto"/>
                <w:sz w:val="24"/>
                <w:szCs w:val="24"/>
                <w:lang w:eastAsia="zh-CN"/>
              </w:rPr>
              <w:t>通过</w:t>
            </w:r>
            <w:r>
              <w:rPr>
                <w:rFonts w:hint="eastAsia" w:ascii="宋体" w:hAnsi="宋体" w:eastAsia="宋体" w:cs="宋体"/>
                <w:color w:val="auto"/>
                <w:sz w:val="24"/>
                <w:szCs w:val="24"/>
              </w:rPr>
              <w:t>自建污水处理</w:t>
            </w:r>
            <w:r>
              <w:rPr>
                <w:rFonts w:hint="eastAsia" w:ascii="宋体" w:hAnsi="宋体" w:eastAsia="宋体" w:cs="宋体"/>
                <w:color w:val="auto"/>
                <w:sz w:val="24"/>
                <w:szCs w:val="24"/>
                <w:lang w:eastAsia="zh-CN"/>
              </w:rPr>
              <w:t>回用设施</w:t>
            </w:r>
            <w:r>
              <w:rPr>
                <w:rFonts w:hint="eastAsia" w:ascii="宋体" w:hAnsi="宋体" w:eastAsia="宋体" w:cs="宋体"/>
                <w:color w:val="auto"/>
                <w:sz w:val="24"/>
                <w:szCs w:val="24"/>
              </w:rPr>
              <w:t>“预处理+物化沉淀”（</w:t>
            </w:r>
            <w:r>
              <w:rPr>
                <w:rFonts w:ascii="宋体" w:hAnsi="宋体" w:eastAsia="宋体" w:cs="宋体"/>
                <w:color w:val="auto"/>
                <w:sz w:val="24"/>
                <w:szCs w:val="24"/>
              </w:rPr>
              <w:t>主要工艺为</w:t>
            </w:r>
            <w:r>
              <w:rPr>
                <w:rFonts w:hint="eastAsia" w:ascii="宋体" w:hAnsi="宋体" w:eastAsia="宋体" w:cs="宋体"/>
                <w:color w:val="auto"/>
                <w:sz w:val="24"/>
                <w:szCs w:val="24"/>
              </w:rPr>
              <w:t>格栅+调节池+初沉池+絮凝沉淀池+二沉池+回用水池）处理</w:t>
            </w:r>
            <w:r>
              <w:rPr>
                <w:rFonts w:hint="eastAsia" w:ascii="宋体" w:hAnsi="宋体" w:eastAsia="宋体" w:cs="宋体"/>
                <w:color w:val="auto"/>
                <w:kern w:val="0"/>
                <w:sz w:val="24"/>
                <w:szCs w:val="24"/>
                <w:lang w:val="en-US" w:eastAsia="zh-CN" w:bidi="ar"/>
              </w:rPr>
              <w:t>为可行性技术。</w:t>
            </w:r>
          </w:p>
          <w:p w14:paraId="3610E2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本项目生活污水处理工艺为化粪池。化粪池是一种利用沉淀和厌氧发酵的原理，去除生活污水中悬浮性有机物的处理设施，属于初级的过渡性生活处理构筑物，可有效处理粪便等，属于可行性技术。项目废水水质能够满足</w:t>
            </w:r>
            <w:r>
              <w:rPr>
                <w:rFonts w:hint="default" w:ascii="Times New Roman" w:hAnsi="Times New Roman" w:cs="Times New Roman"/>
                <w:color w:val="auto"/>
                <w:sz w:val="24"/>
                <w:szCs w:val="24"/>
                <w:lang w:eastAsia="zh-CN"/>
              </w:rPr>
              <w:t>星火工业园污水处理厂</w:t>
            </w:r>
            <w:r>
              <w:rPr>
                <w:rFonts w:hint="eastAsia" w:ascii="宋体" w:hAnsi="宋体" w:eastAsia="宋体" w:cs="宋体"/>
                <w:color w:val="auto"/>
                <w:sz w:val="24"/>
                <w:szCs w:val="24"/>
                <w:lang w:val="en-US" w:eastAsia="zh-CN"/>
              </w:rPr>
              <w:t>处理的接管标准，经</w:t>
            </w:r>
            <w:r>
              <w:rPr>
                <w:rFonts w:hint="default" w:ascii="Times New Roman" w:hAnsi="Times New Roman" w:cs="Times New Roman"/>
                <w:color w:val="auto"/>
                <w:sz w:val="24"/>
                <w:szCs w:val="24"/>
                <w:lang w:eastAsia="zh-CN"/>
              </w:rPr>
              <w:t>星火工业园污水处理厂</w:t>
            </w:r>
            <w:r>
              <w:rPr>
                <w:rFonts w:hint="eastAsia" w:ascii="宋体" w:hAnsi="宋体" w:eastAsia="宋体" w:cs="宋体"/>
                <w:color w:val="auto"/>
                <w:sz w:val="24"/>
                <w:szCs w:val="24"/>
                <w:lang w:val="en-US" w:eastAsia="zh-CN"/>
              </w:rPr>
              <w:t>进一步处理后达《城镇污水处理厂污染物排放标准》（GB18918-2002）中的一级A标准排放，对周围环境影响不大。</w:t>
            </w:r>
          </w:p>
          <w:p w14:paraId="39186BC3">
            <w:pPr>
              <w:pStyle w:val="2"/>
              <w:keepNext w:val="0"/>
              <w:keepLines w:val="0"/>
              <w:pageBreakBefore w:val="0"/>
              <w:widowControl w:val="0"/>
              <w:numPr>
                <w:ilvl w:val="0"/>
                <w:numId w:val="14"/>
              </w:numPr>
              <w:kinsoku/>
              <w:wordWrap/>
              <w:overflowPunct/>
              <w:topLinePunct w:val="0"/>
              <w:autoSpaceDE w:val="0"/>
              <w:autoSpaceDN w:val="0"/>
              <w:bidi w:val="0"/>
              <w:adjustRightInd/>
              <w:snapToGrid/>
              <w:spacing w:line="360" w:lineRule="auto"/>
              <w:ind w:left="420" w:leftChars="200" w:firstLine="0" w:firstLineChars="0"/>
              <w:textAlignment w:val="auto"/>
              <w:rPr>
                <w:rFonts w:hint="eastAsia"/>
                <w:color w:val="auto"/>
                <w:lang w:val="en-US" w:eastAsia="zh-CN"/>
              </w:rPr>
            </w:pPr>
            <w:r>
              <w:rPr>
                <w:rFonts w:hint="eastAsia"/>
                <w:color w:val="auto"/>
                <w:lang w:val="en-US" w:eastAsia="zh-CN"/>
              </w:rPr>
              <w:t>园区污水处理厂可行性分析</w:t>
            </w:r>
          </w:p>
          <w:p w14:paraId="0A236F9C">
            <w:pPr>
              <w:pStyle w:val="7"/>
              <w:bidi w:val="0"/>
              <w:rPr>
                <w:rFonts w:hint="eastAsia"/>
                <w:color w:val="auto"/>
              </w:rPr>
            </w:pPr>
            <w:r>
              <w:rPr>
                <w:rFonts w:hint="eastAsia"/>
                <w:color w:val="auto"/>
              </w:rPr>
              <w:t>①从水质上分析</w:t>
            </w:r>
          </w:p>
          <w:p w14:paraId="2C07A866">
            <w:pPr>
              <w:pStyle w:val="7"/>
              <w:bidi w:val="0"/>
              <w:rPr>
                <w:color w:val="auto"/>
              </w:rPr>
            </w:pPr>
            <w:r>
              <w:rPr>
                <w:color w:val="auto"/>
              </w:rPr>
              <w:t>项目外排废水污水性质为</w:t>
            </w:r>
            <w:r>
              <w:rPr>
                <w:rFonts w:hint="eastAsia"/>
                <w:color w:val="auto"/>
                <w:lang w:val="en-US" w:eastAsia="zh-CN"/>
              </w:rPr>
              <w:t>清洗废水</w:t>
            </w:r>
            <w:r>
              <w:rPr>
                <w:color w:val="auto"/>
              </w:rPr>
              <w:t>，不含</w:t>
            </w:r>
            <w:r>
              <w:rPr>
                <w:rFonts w:hint="eastAsia"/>
                <w:color w:val="auto"/>
              </w:rPr>
              <w:t>其他</w:t>
            </w:r>
            <w:r>
              <w:rPr>
                <w:color w:val="auto"/>
              </w:rPr>
              <w:t>有毒有害物质，</w:t>
            </w:r>
            <w:r>
              <w:rPr>
                <w:rFonts w:hint="eastAsia"/>
                <w:color w:val="auto"/>
              </w:rPr>
              <w:t>经</w:t>
            </w:r>
            <w:r>
              <w:rPr>
                <w:rFonts w:hint="eastAsia"/>
                <w:color w:val="auto"/>
                <w:lang w:val="en-US" w:eastAsia="zh-CN"/>
              </w:rPr>
              <w:t>污水处理站</w:t>
            </w:r>
            <w:r>
              <w:rPr>
                <w:rFonts w:hint="eastAsia"/>
                <w:color w:val="auto"/>
              </w:rPr>
              <w:t>处理后项目</w:t>
            </w:r>
            <w:r>
              <w:rPr>
                <w:rFonts w:hint="eastAsia"/>
                <w:color w:val="auto"/>
                <w:lang w:val="en-US" w:eastAsia="zh-CN"/>
              </w:rPr>
              <w:t>出</w:t>
            </w:r>
            <w:r>
              <w:rPr>
                <w:rFonts w:hint="eastAsia"/>
                <w:color w:val="auto"/>
              </w:rPr>
              <w:t>水水质满足星火</w:t>
            </w:r>
            <w:r>
              <w:rPr>
                <w:rFonts w:hint="eastAsia"/>
                <w:color w:val="auto"/>
                <w:lang w:val="en-US" w:eastAsia="zh-CN"/>
              </w:rPr>
              <w:t>工业园</w:t>
            </w:r>
            <w:r>
              <w:rPr>
                <w:rFonts w:hint="eastAsia"/>
                <w:color w:val="auto"/>
              </w:rPr>
              <w:t>污水处理厂进水水质要求，</w:t>
            </w:r>
            <w:r>
              <w:rPr>
                <w:color w:val="auto"/>
              </w:rPr>
              <w:t>不会影响污水处理厂正常运行。</w:t>
            </w:r>
          </w:p>
          <w:p w14:paraId="324ED63B">
            <w:pPr>
              <w:pStyle w:val="7"/>
              <w:bidi w:val="0"/>
              <w:rPr>
                <w:rFonts w:hint="eastAsia"/>
                <w:color w:val="auto"/>
              </w:rPr>
            </w:pPr>
            <w:r>
              <w:rPr>
                <w:rFonts w:hint="eastAsia"/>
                <w:color w:val="auto"/>
              </w:rPr>
              <w:t>②水量分析</w:t>
            </w:r>
          </w:p>
          <w:p w14:paraId="2DD0AD19">
            <w:pPr>
              <w:pStyle w:val="7"/>
              <w:bidi w:val="0"/>
              <w:rPr>
                <w:rFonts w:hint="eastAsia"/>
                <w:color w:val="auto"/>
              </w:rPr>
            </w:pPr>
            <w:r>
              <w:rPr>
                <w:rFonts w:hint="eastAsia"/>
                <w:color w:val="auto"/>
              </w:rPr>
              <w:t>本项目废水排放量</w:t>
            </w:r>
            <w:r>
              <w:rPr>
                <w:rFonts w:hint="eastAsia"/>
                <w:color w:val="auto"/>
                <w:lang w:val="en-US" w:eastAsia="zh-CN"/>
              </w:rPr>
              <w:t>约为5</w:t>
            </w:r>
            <w:r>
              <w:rPr>
                <w:rFonts w:hint="eastAsia"/>
                <w:color w:val="auto"/>
              </w:rPr>
              <w:t>t/d，星火</w:t>
            </w:r>
            <w:r>
              <w:rPr>
                <w:rFonts w:hint="eastAsia"/>
                <w:color w:val="auto"/>
                <w:lang w:val="en-US" w:eastAsia="zh-CN"/>
              </w:rPr>
              <w:t>工业园</w:t>
            </w:r>
            <w:r>
              <w:rPr>
                <w:rFonts w:hint="eastAsia"/>
                <w:color w:val="auto"/>
              </w:rPr>
              <w:t>污水处理厂设计处理规模7000吨/日，目前其平均处理量为2500t/d，剩余4500t/d的污水处理容量，占星火</w:t>
            </w:r>
            <w:r>
              <w:rPr>
                <w:rFonts w:hint="eastAsia"/>
                <w:color w:val="auto"/>
                <w:lang w:val="en-US" w:eastAsia="zh-CN"/>
              </w:rPr>
              <w:t>工业园</w:t>
            </w:r>
            <w:r>
              <w:rPr>
                <w:rFonts w:hint="eastAsia"/>
                <w:color w:val="auto"/>
              </w:rPr>
              <w:t>污水处理厂剩余处理容量的</w:t>
            </w:r>
            <w:r>
              <w:rPr>
                <w:rFonts w:hint="eastAsia"/>
                <w:color w:val="auto"/>
                <w:lang w:val="en-US" w:eastAsia="zh-CN"/>
              </w:rPr>
              <w:t>0.1</w:t>
            </w:r>
            <w:r>
              <w:rPr>
                <w:rFonts w:hint="eastAsia"/>
                <w:color w:val="auto"/>
              </w:rPr>
              <w:t>%，有足够的容量接纳本项目的外排废水。同时本项目外排的</w:t>
            </w:r>
            <w:r>
              <w:rPr>
                <w:rFonts w:hint="eastAsia"/>
                <w:color w:val="auto"/>
                <w:lang w:val="en-US" w:eastAsia="zh-CN"/>
              </w:rPr>
              <w:t>废水</w:t>
            </w:r>
            <w:r>
              <w:rPr>
                <w:rFonts w:hint="eastAsia"/>
                <w:color w:val="auto"/>
              </w:rPr>
              <w:t>水质较简单，主要污染因子为</w:t>
            </w:r>
            <w:r>
              <w:rPr>
                <w:rFonts w:hint="eastAsia"/>
                <w:color w:val="auto"/>
                <w:lang w:val="en-US" w:eastAsia="zh-CN"/>
              </w:rPr>
              <w:t>pH、</w:t>
            </w:r>
            <w:r>
              <w:rPr>
                <w:rFonts w:hint="eastAsia"/>
                <w:color w:val="auto"/>
              </w:rPr>
              <w:t>COD、BOD</w:t>
            </w:r>
            <w:r>
              <w:rPr>
                <w:rFonts w:hint="eastAsia"/>
                <w:color w:val="auto"/>
                <w:vertAlign w:val="subscript"/>
              </w:rPr>
              <w:t>5</w:t>
            </w:r>
            <w:r>
              <w:rPr>
                <w:rFonts w:hint="eastAsia"/>
                <w:color w:val="auto"/>
              </w:rPr>
              <w:t>、</w:t>
            </w:r>
            <w:r>
              <w:rPr>
                <w:rFonts w:hint="eastAsia"/>
                <w:color w:val="auto"/>
                <w:lang w:val="en-US" w:eastAsia="zh-CN"/>
              </w:rPr>
              <w:t>SS、TP、TN、</w:t>
            </w:r>
            <w:r>
              <w:rPr>
                <w:rFonts w:hint="eastAsia"/>
                <w:color w:val="auto"/>
              </w:rPr>
              <w:t>氨氮，无特殊复杂的污染因子。因此，项目的污水进入星火</w:t>
            </w:r>
            <w:r>
              <w:rPr>
                <w:rFonts w:hint="eastAsia"/>
                <w:color w:val="auto"/>
                <w:lang w:val="en-US" w:eastAsia="zh-CN"/>
              </w:rPr>
              <w:t>工业园</w:t>
            </w:r>
            <w:r>
              <w:rPr>
                <w:rFonts w:hint="eastAsia"/>
                <w:color w:val="auto"/>
              </w:rPr>
              <w:t>污水处理厂可行。</w:t>
            </w:r>
          </w:p>
          <w:p w14:paraId="562C679E">
            <w:pPr>
              <w:pStyle w:val="7"/>
              <w:bidi w:val="0"/>
              <w:rPr>
                <w:rFonts w:hint="eastAsia"/>
                <w:color w:val="auto"/>
              </w:rPr>
            </w:pPr>
            <w:r>
              <w:rPr>
                <w:rFonts w:hint="eastAsia"/>
                <w:color w:val="auto"/>
              </w:rPr>
              <w:t>③从服务范围及管网布置上分析</w:t>
            </w:r>
          </w:p>
          <w:p w14:paraId="5DC9E327">
            <w:pPr>
              <w:pStyle w:val="7"/>
              <w:bidi w:val="0"/>
              <w:rPr>
                <w:color w:val="auto"/>
              </w:rPr>
            </w:pPr>
            <w:r>
              <w:rPr>
                <w:rFonts w:hint="eastAsia"/>
                <w:color w:val="auto"/>
              </w:rPr>
              <w:t>项目位于</w:t>
            </w:r>
            <w:r>
              <w:rPr>
                <w:rFonts w:hint="eastAsia"/>
                <w:color w:val="auto"/>
                <w:lang w:val="en-US" w:eastAsia="zh-CN"/>
              </w:rPr>
              <w:t>云山工业园</w:t>
            </w:r>
            <w:r>
              <w:rPr>
                <w:rFonts w:hint="eastAsia"/>
                <w:color w:val="auto"/>
              </w:rPr>
              <w:t>，所在区域的污水管网已铺设完成，在星火</w:t>
            </w:r>
            <w:r>
              <w:rPr>
                <w:rFonts w:hint="eastAsia"/>
                <w:color w:val="auto"/>
                <w:lang w:val="en-US" w:eastAsia="zh-CN"/>
              </w:rPr>
              <w:t>工业园</w:t>
            </w:r>
            <w:r>
              <w:rPr>
                <w:rFonts w:hint="eastAsia"/>
                <w:color w:val="auto"/>
              </w:rPr>
              <w:t>污水处理厂服务范围内，污水管网已建成，因此，项目污水进入星火</w:t>
            </w:r>
            <w:r>
              <w:rPr>
                <w:rFonts w:hint="eastAsia"/>
                <w:color w:val="auto"/>
                <w:lang w:val="en-US" w:eastAsia="zh-CN"/>
              </w:rPr>
              <w:t>工业园</w:t>
            </w:r>
            <w:r>
              <w:rPr>
                <w:rFonts w:hint="eastAsia"/>
                <w:color w:val="auto"/>
              </w:rPr>
              <w:t>污水处理厂可行。</w:t>
            </w:r>
          </w:p>
          <w:p w14:paraId="61B6B358">
            <w:pPr>
              <w:pStyle w:val="7"/>
              <w:bidi w:val="0"/>
              <w:rPr>
                <w:rFonts w:hint="eastAsia"/>
                <w:color w:val="auto"/>
              </w:rPr>
            </w:pPr>
            <w:r>
              <w:rPr>
                <w:rFonts w:hint="eastAsia"/>
                <w:color w:val="auto"/>
              </w:rPr>
              <w:t>④从污水处理工艺上分析</w:t>
            </w:r>
          </w:p>
          <w:p w14:paraId="0BE35359">
            <w:pPr>
              <w:pStyle w:val="7"/>
              <w:bidi w:val="0"/>
              <w:rPr>
                <w:color w:val="auto"/>
              </w:rPr>
            </w:pPr>
            <w:r>
              <w:rPr>
                <w:rFonts w:hint="eastAsia"/>
                <w:color w:val="auto"/>
                <w:lang w:val="en-US" w:eastAsia="zh-CN"/>
              </w:rPr>
              <w:t>本项目生活</w:t>
            </w:r>
            <w:r>
              <w:rPr>
                <w:color w:val="auto"/>
              </w:rPr>
              <w:t>污水</w:t>
            </w:r>
            <w:r>
              <w:rPr>
                <w:rFonts w:hint="eastAsia"/>
                <w:color w:val="auto"/>
              </w:rPr>
              <w:t>经化粪池</w:t>
            </w:r>
            <w:r>
              <w:rPr>
                <w:rFonts w:hint="eastAsia"/>
                <w:color w:val="auto"/>
                <w:lang w:val="en-US" w:eastAsia="zh-CN"/>
              </w:rPr>
              <w:t>预处理</w:t>
            </w:r>
            <w:r>
              <w:rPr>
                <w:rFonts w:hint="eastAsia"/>
                <w:color w:val="auto"/>
              </w:rPr>
              <w:t>、</w:t>
            </w:r>
            <w:r>
              <w:rPr>
                <w:rFonts w:hint="eastAsia" w:ascii="宋体" w:hAnsi="宋体" w:eastAsia="宋体" w:cs="宋体"/>
                <w:color w:val="auto"/>
                <w:kern w:val="0"/>
                <w:sz w:val="24"/>
                <w:szCs w:val="24"/>
                <w:lang w:val="en-US" w:eastAsia="zh-CN" w:bidi="ar"/>
              </w:rPr>
              <w:t>清洗废水</w:t>
            </w:r>
            <w:r>
              <w:rPr>
                <w:rFonts w:hint="eastAsia" w:ascii="宋体" w:hAnsi="宋体" w:eastAsia="宋体" w:cs="宋体"/>
                <w:color w:val="auto"/>
                <w:sz w:val="24"/>
                <w:szCs w:val="24"/>
                <w:lang w:eastAsia="zh-CN"/>
              </w:rPr>
              <w:t>通过</w:t>
            </w:r>
            <w:r>
              <w:rPr>
                <w:rFonts w:hint="eastAsia" w:ascii="宋体" w:hAnsi="宋体" w:eastAsia="宋体" w:cs="宋体"/>
                <w:color w:val="auto"/>
                <w:sz w:val="24"/>
                <w:szCs w:val="24"/>
              </w:rPr>
              <w:t>自建污水处理</w:t>
            </w:r>
            <w:r>
              <w:rPr>
                <w:rFonts w:hint="eastAsia"/>
                <w:color w:val="auto"/>
                <w:lang w:val="en-US" w:eastAsia="zh-CN"/>
              </w:rPr>
              <w:t>站</w:t>
            </w:r>
            <w:r>
              <w:rPr>
                <w:color w:val="auto"/>
              </w:rPr>
              <w:t>预处理后水质可达</w:t>
            </w:r>
            <w:r>
              <w:rPr>
                <w:rFonts w:hint="eastAsia"/>
                <w:color w:val="auto"/>
              </w:rPr>
              <w:t>星火</w:t>
            </w:r>
            <w:r>
              <w:rPr>
                <w:rFonts w:hint="eastAsia"/>
                <w:color w:val="auto"/>
                <w:lang w:val="en-US" w:eastAsia="zh-CN"/>
              </w:rPr>
              <w:t>工业园</w:t>
            </w:r>
            <w:r>
              <w:rPr>
                <w:rFonts w:hint="eastAsia"/>
                <w:color w:val="auto"/>
              </w:rPr>
              <w:t>污水处理厂</w:t>
            </w:r>
            <w:r>
              <w:rPr>
                <w:color w:val="auto"/>
              </w:rPr>
              <w:t>的入水水质要求，</w:t>
            </w:r>
            <w:r>
              <w:rPr>
                <w:rFonts w:hint="eastAsia"/>
                <w:color w:val="auto"/>
                <w:lang w:val="en-US" w:eastAsia="zh-CN"/>
              </w:rPr>
              <w:t>且</w:t>
            </w:r>
            <w:r>
              <w:rPr>
                <w:color w:val="auto"/>
              </w:rPr>
              <w:t>项目日均</w:t>
            </w:r>
            <w:r>
              <w:rPr>
                <w:rFonts w:hint="eastAsia"/>
                <w:color w:val="auto"/>
                <w:lang w:val="en-US" w:eastAsia="zh-CN"/>
              </w:rPr>
              <w:t>外排废水</w:t>
            </w:r>
            <w:r>
              <w:rPr>
                <w:color w:val="auto"/>
              </w:rPr>
              <w:t>量</w:t>
            </w:r>
            <w:r>
              <w:rPr>
                <w:rFonts w:hint="eastAsia"/>
                <w:color w:val="auto"/>
                <w:lang w:val="en-US" w:eastAsia="zh-CN"/>
              </w:rPr>
              <w:t>约</w:t>
            </w:r>
            <w:r>
              <w:rPr>
                <w:color w:val="auto"/>
              </w:rPr>
              <w:t>为</w:t>
            </w:r>
            <w:r>
              <w:rPr>
                <w:rFonts w:hint="eastAsia"/>
                <w:color w:val="auto"/>
                <w:lang w:val="en-US" w:eastAsia="zh-CN"/>
              </w:rPr>
              <w:t>5</w:t>
            </w:r>
            <w:r>
              <w:rPr>
                <w:color w:val="auto"/>
              </w:rPr>
              <w:t>m</w:t>
            </w:r>
            <w:r>
              <w:rPr>
                <w:color w:val="auto"/>
                <w:vertAlign w:val="superscript"/>
              </w:rPr>
              <w:t>3</w:t>
            </w:r>
            <w:r>
              <w:rPr>
                <w:color w:val="auto"/>
              </w:rPr>
              <w:t>/d，远低于</w:t>
            </w:r>
            <w:r>
              <w:rPr>
                <w:rFonts w:hint="eastAsia"/>
                <w:color w:val="auto"/>
              </w:rPr>
              <w:t>星火</w:t>
            </w:r>
            <w:r>
              <w:rPr>
                <w:rFonts w:hint="eastAsia"/>
                <w:color w:val="auto"/>
                <w:lang w:val="en-US" w:eastAsia="zh-CN"/>
              </w:rPr>
              <w:t>工业园</w:t>
            </w:r>
            <w:r>
              <w:rPr>
                <w:rFonts w:hint="eastAsia"/>
                <w:color w:val="auto"/>
              </w:rPr>
              <w:t>污水处理厂</w:t>
            </w:r>
            <w:r>
              <w:rPr>
                <w:color w:val="auto"/>
              </w:rPr>
              <w:t>现有余量，不会对污水处理厂造成水量和水质的冲击负荷。</w:t>
            </w:r>
            <w:r>
              <w:rPr>
                <w:rFonts w:hint="eastAsia"/>
                <w:color w:val="auto"/>
              </w:rPr>
              <w:t>星火</w:t>
            </w:r>
            <w:r>
              <w:rPr>
                <w:rFonts w:hint="eastAsia"/>
                <w:color w:val="auto"/>
                <w:lang w:val="en-US" w:eastAsia="zh-CN"/>
              </w:rPr>
              <w:t>工业园</w:t>
            </w:r>
            <w:r>
              <w:rPr>
                <w:rFonts w:hint="eastAsia"/>
                <w:color w:val="auto"/>
              </w:rPr>
              <w:t>污水处理厂</w:t>
            </w:r>
            <w:r>
              <w:rPr>
                <w:color w:val="auto"/>
              </w:rPr>
              <w:t>处理后尾水达《城镇污水处理厂污染物排放标准》（GB18918-2002）及其修改单中一级标准的A标准，对纳污水体影响较小。</w:t>
            </w:r>
            <w:r>
              <w:rPr>
                <w:rFonts w:hint="eastAsia"/>
                <w:color w:val="auto"/>
              </w:rPr>
              <w:t>星火</w:t>
            </w:r>
            <w:r>
              <w:rPr>
                <w:rFonts w:hint="eastAsia"/>
                <w:color w:val="auto"/>
                <w:lang w:val="en-US" w:eastAsia="zh-CN"/>
              </w:rPr>
              <w:t>工业园</w:t>
            </w:r>
            <w:r>
              <w:rPr>
                <w:rFonts w:hint="eastAsia"/>
                <w:color w:val="auto"/>
              </w:rPr>
              <w:t>污水处理厂</w:t>
            </w:r>
            <w:r>
              <w:rPr>
                <w:color w:val="auto"/>
              </w:rPr>
              <w:t>提标改造后处理工艺如下：</w:t>
            </w:r>
          </w:p>
          <w:p w14:paraId="5C76DE1A">
            <w:pPr>
              <w:snapToGrid w:val="0"/>
              <w:ind w:firstLine="0"/>
              <w:jc w:val="left"/>
              <w:rPr>
                <w:rFonts w:hint="eastAsia" w:ascii="Times New Roman" w:hAnsi="Times New Roman" w:eastAsia="宋体"/>
                <w:color w:val="auto"/>
              </w:rPr>
            </w:pPr>
            <w:r>
              <w:rPr>
                <w:rFonts w:ascii="Times New Roman" w:hAnsi="Times New Roman" w:eastAsia="宋体"/>
                <w:color w:val="auto"/>
              </w:rPr>
              <w:drawing>
                <wp:inline distT="0" distB="0" distL="114300" distR="114300">
                  <wp:extent cx="4758055" cy="3651885"/>
                  <wp:effectExtent l="0" t="0" r="4445" b="571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18"/>
                          <a:stretch>
                            <a:fillRect/>
                          </a:stretch>
                        </pic:blipFill>
                        <pic:spPr>
                          <a:xfrm>
                            <a:off x="0" y="0"/>
                            <a:ext cx="4758055" cy="3651885"/>
                          </a:xfrm>
                          <a:prstGeom prst="rect">
                            <a:avLst/>
                          </a:prstGeom>
                          <a:noFill/>
                          <a:ln>
                            <a:noFill/>
                          </a:ln>
                        </pic:spPr>
                      </pic:pic>
                    </a:graphicData>
                  </a:graphic>
                </wp:inline>
              </w:drawing>
            </w:r>
          </w:p>
          <w:p w14:paraId="00D168DA">
            <w:pPr>
              <w:pStyle w:val="64"/>
              <w:bidi w:val="0"/>
              <w:rPr>
                <w:color w:val="auto"/>
              </w:rPr>
            </w:pPr>
            <w:r>
              <w:rPr>
                <w:rFonts w:hint="eastAsia"/>
                <w:color w:val="auto"/>
                <w:sz w:val="21"/>
                <w:szCs w:val="21"/>
              </w:rPr>
              <w:t>图4-</w:t>
            </w:r>
            <w:r>
              <w:rPr>
                <w:rFonts w:hint="eastAsia"/>
                <w:color w:val="auto"/>
                <w:sz w:val="21"/>
                <w:szCs w:val="21"/>
                <w:lang w:val="en-US" w:eastAsia="zh-CN"/>
              </w:rPr>
              <w:t>3</w:t>
            </w:r>
            <w:r>
              <w:rPr>
                <w:rFonts w:hint="eastAsia"/>
                <w:color w:val="auto"/>
                <w:sz w:val="21"/>
                <w:szCs w:val="21"/>
              </w:rPr>
              <w:t xml:space="preserve"> 星火</w:t>
            </w:r>
            <w:r>
              <w:rPr>
                <w:rFonts w:hint="eastAsia"/>
                <w:color w:val="auto"/>
                <w:sz w:val="21"/>
                <w:szCs w:val="21"/>
                <w:lang w:val="en-US" w:eastAsia="zh-CN"/>
              </w:rPr>
              <w:t>工业园</w:t>
            </w:r>
            <w:r>
              <w:rPr>
                <w:rFonts w:hint="eastAsia"/>
                <w:color w:val="auto"/>
                <w:sz w:val="21"/>
                <w:szCs w:val="21"/>
              </w:rPr>
              <w:t>污水处理</w:t>
            </w:r>
            <w:r>
              <w:rPr>
                <w:rFonts w:hint="eastAsia"/>
                <w:color w:val="auto"/>
                <w:sz w:val="21"/>
                <w:szCs w:val="21"/>
                <w:lang w:val="en-US" w:eastAsia="zh-CN"/>
              </w:rPr>
              <w:t>厂</w:t>
            </w:r>
            <w:r>
              <w:rPr>
                <w:rFonts w:hint="eastAsia"/>
                <w:color w:val="auto"/>
                <w:sz w:val="21"/>
                <w:szCs w:val="21"/>
              </w:rPr>
              <w:t>污水处理工艺流程图</w:t>
            </w:r>
          </w:p>
          <w:p w14:paraId="1A20683E">
            <w:pPr>
              <w:pStyle w:val="7"/>
              <w:bidi w:val="0"/>
              <w:rPr>
                <w:color w:val="auto"/>
              </w:rPr>
            </w:pPr>
            <w:r>
              <w:rPr>
                <w:color w:val="auto"/>
              </w:rPr>
              <w:t>综上分析，本项目处于</w:t>
            </w:r>
            <w:r>
              <w:rPr>
                <w:rFonts w:hint="eastAsia"/>
                <w:color w:val="auto"/>
              </w:rPr>
              <w:t>星火</w:t>
            </w:r>
            <w:r>
              <w:rPr>
                <w:rFonts w:hint="eastAsia"/>
                <w:color w:val="auto"/>
                <w:lang w:val="en-US" w:eastAsia="zh-CN"/>
              </w:rPr>
              <w:t>工业园</w:t>
            </w:r>
            <w:r>
              <w:rPr>
                <w:rFonts w:hint="eastAsia"/>
                <w:color w:val="auto"/>
              </w:rPr>
              <w:t>污水处理厂</w:t>
            </w:r>
            <w:r>
              <w:rPr>
                <w:color w:val="auto"/>
              </w:rPr>
              <w:t>的服务范围内，水质符合</w:t>
            </w:r>
            <w:r>
              <w:rPr>
                <w:rFonts w:hint="eastAsia"/>
                <w:color w:val="auto"/>
              </w:rPr>
              <w:t>污水处理厂</w:t>
            </w:r>
            <w:r>
              <w:rPr>
                <w:color w:val="auto"/>
              </w:rPr>
              <w:t>进水水质要求、废水排放量远小于污水处理厂的余量，项目废水通过</w:t>
            </w:r>
            <w:r>
              <w:rPr>
                <w:rFonts w:hint="eastAsia"/>
                <w:color w:val="auto"/>
                <w:lang w:val="en-US" w:eastAsia="zh-CN"/>
              </w:rPr>
              <w:t>星火工业园园区</w:t>
            </w:r>
            <w:r>
              <w:rPr>
                <w:rFonts w:hint="eastAsia"/>
                <w:color w:val="auto"/>
              </w:rPr>
              <w:t>污水管网</w:t>
            </w:r>
            <w:r>
              <w:rPr>
                <w:color w:val="auto"/>
              </w:rPr>
              <w:t>纳入</w:t>
            </w:r>
            <w:r>
              <w:rPr>
                <w:rFonts w:hint="eastAsia"/>
                <w:color w:val="auto"/>
              </w:rPr>
              <w:t>星火园区污水处理厂</w:t>
            </w:r>
            <w:r>
              <w:rPr>
                <w:color w:val="auto"/>
              </w:rPr>
              <w:t>处理是可行的。在确保环保设施正常运行的情况下，项目废水不会对</w:t>
            </w:r>
            <w:r>
              <w:rPr>
                <w:rFonts w:hint="eastAsia"/>
                <w:color w:val="auto"/>
                <w:lang w:val="en-US" w:eastAsia="zh-CN"/>
              </w:rPr>
              <w:t>星火</w:t>
            </w:r>
            <w:r>
              <w:rPr>
                <w:color w:val="auto"/>
              </w:rPr>
              <w:t>工业园污水处理厂的负荷、处理工艺及工业污水管网造成影响，也不会对周边水环境产生影响</w:t>
            </w:r>
            <w:r>
              <w:rPr>
                <w:rFonts w:hint="eastAsia"/>
                <w:color w:val="auto"/>
              </w:rPr>
              <w:t>。</w:t>
            </w:r>
          </w:p>
          <w:p w14:paraId="6233AB83">
            <w:pPr>
              <w:pStyle w:val="7"/>
              <w:keepNext w:val="0"/>
              <w:keepLines w:val="0"/>
              <w:pageBreakBefore w:val="0"/>
              <w:widowControl w:val="0"/>
              <w:kinsoku/>
              <w:wordWrap/>
              <w:overflowPunct/>
              <w:topLinePunct w:val="0"/>
              <w:bidi w:val="0"/>
              <w:adjustRightInd/>
              <w:snapToGrid/>
              <w:textAlignment w:val="auto"/>
              <w:rPr>
                <w:rFonts w:hint="default"/>
                <w:color w:val="auto"/>
                <w:sz w:val="24"/>
                <w:szCs w:val="24"/>
              </w:rPr>
            </w:pPr>
            <w:r>
              <w:rPr>
                <w:rFonts w:hint="eastAsia"/>
                <w:color w:val="auto"/>
                <w:sz w:val="24"/>
                <w:szCs w:val="24"/>
                <w:lang w:val="en-US" w:eastAsia="zh-CN"/>
              </w:rPr>
              <w:t>3、</w:t>
            </w:r>
            <w:r>
              <w:rPr>
                <w:rFonts w:hint="default"/>
                <w:color w:val="auto"/>
                <w:sz w:val="24"/>
                <w:szCs w:val="24"/>
              </w:rPr>
              <w:t>废水环境影响分析</w:t>
            </w:r>
          </w:p>
          <w:p w14:paraId="06B0E2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color w:val="auto"/>
                <w:sz w:val="24"/>
                <w:szCs w:val="24"/>
              </w:rPr>
              <w:t>本项目纳污水体为杨柳津河，项目废水经星火</w:t>
            </w:r>
            <w:r>
              <w:rPr>
                <w:rFonts w:hint="eastAsia"/>
                <w:color w:val="auto"/>
                <w:sz w:val="24"/>
                <w:szCs w:val="24"/>
                <w:lang w:val="en-US" w:eastAsia="zh-CN"/>
              </w:rPr>
              <w:t>工业园</w:t>
            </w:r>
            <w:r>
              <w:rPr>
                <w:rFonts w:hint="eastAsia"/>
                <w:color w:val="auto"/>
                <w:sz w:val="24"/>
                <w:szCs w:val="24"/>
              </w:rPr>
              <w:t>污水处理厂处理后，可达到</w:t>
            </w:r>
            <w:r>
              <w:rPr>
                <w:color w:val="auto"/>
                <w:sz w:val="24"/>
                <w:szCs w:val="24"/>
              </w:rPr>
              <w:t>《城镇污水处理厂污染物排放标准》（GB18918-2002）</w:t>
            </w:r>
            <w:r>
              <w:rPr>
                <w:rFonts w:hint="eastAsia"/>
                <w:color w:val="auto"/>
                <w:sz w:val="24"/>
                <w:szCs w:val="24"/>
              </w:rPr>
              <w:t>中的一级A标准，对杨柳津河水环境影响不大，同时根据区域环境质量状况部分可知，地表水杨柳津河环境质量满足《地表水环境质量标准》（GB3838-2002）Ⅲ类水质要求。因此本项目建成后，项目废水排放对周围环境影响不大。</w:t>
            </w:r>
          </w:p>
          <w:p w14:paraId="31C8AF85">
            <w:pPr>
              <w:pStyle w:val="8"/>
              <w:keepNext w:val="0"/>
              <w:keepLines w:val="0"/>
              <w:pageBreakBefore w:val="0"/>
              <w:kinsoku/>
              <w:wordWrap/>
              <w:overflowPunct/>
              <w:topLinePunct w:val="0"/>
              <w:autoSpaceDE/>
              <w:autoSpaceDN/>
              <w:bidi w:val="0"/>
              <w:adjustRightInd/>
              <w:snapToGrid/>
              <w:spacing w:before="0" w:after="0" w:line="360" w:lineRule="auto"/>
              <w:ind w:right="0"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三、噪声</w:t>
            </w:r>
          </w:p>
          <w:p w14:paraId="6CC46B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预测模式</w:t>
            </w:r>
          </w:p>
          <w:p w14:paraId="1851C170">
            <w:pPr>
              <w:pStyle w:val="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4"/>
                <w:szCs w:val="24"/>
              </w:rPr>
            </w:pPr>
            <w:r>
              <w:rPr>
                <w:rFonts w:hint="eastAsia" w:ascii="Times New Roman" w:hAnsi="Times New Roman" w:eastAsia="宋体" w:cs="Times New Roman"/>
                <w:smallCaps w:val="0"/>
                <w:color w:val="auto"/>
                <w:kern w:val="2"/>
                <w:sz w:val="24"/>
                <w:szCs w:val="24"/>
                <w:lang w:val="en-US" w:eastAsia="zh-CN" w:bidi="ar-SA"/>
              </w:rPr>
              <w:t>项目</w:t>
            </w:r>
            <w:r>
              <w:rPr>
                <w:rFonts w:hint="default" w:ascii="Times New Roman" w:hAnsi="Times New Roman" w:eastAsia="宋体" w:cs="Times New Roman"/>
                <w:smallCaps w:val="0"/>
                <w:color w:val="auto"/>
                <w:kern w:val="2"/>
                <w:sz w:val="24"/>
                <w:szCs w:val="24"/>
                <w:lang w:val="en-US" w:eastAsia="zh-CN" w:bidi="ar-SA"/>
              </w:rPr>
              <w:t>噪声影响评价按《环境影响评价技术导则—声环境》(HJ2.4-2021)要求选用点源的噪声预测模式，将各厂房中工序所有噪声设备合成后视为一个点噪声源，在声源传播过程中，噪声受到厂房的吸收和屏蔽，经过距离衰减和空气吸收，到达受声点</w:t>
            </w:r>
            <w:r>
              <w:rPr>
                <w:color w:val="auto"/>
                <w:sz w:val="24"/>
                <w:szCs w:val="24"/>
              </w:rPr>
              <w:t>。</w:t>
            </w:r>
            <w:r>
              <w:rPr>
                <w:rFonts w:hint="default"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项目环评采用的模型为《环境影响评价技术导则 声环境》（HJ2.4</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2021）附录B（规范性附录）中“B.1工业噪声预测计算模型”。</w:t>
            </w:r>
            <w:r>
              <w:rPr>
                <w:color w:val="auto"/>
                <w:sz w:val="24"/>
                <w:szCs w:val="24"/>
              </w:rPr>
              <w:t>其预测模式如下：</w:t>
            </w:r>
          </w:p>
          <w:p w14:paraId="60AFD8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）室内声源</w:t>
            </w:r>
          </w:p>
          <w:p w14:paraId="64EE89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声源位于室内，室内声源可采用等效室外声源声功率级法进行计算。</w:t>
            </w:r>
          </w:p>
          <w:p w14:paraId="212A49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室外的倍频带声压级可按下式近似求出：</w:t>
            </w:r>
          </w:p>
          <w:p w14:paraId="77DFF677">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cs="Times New Roman"/>
                <w:bCs/>
                <w:i/>
                <w:iCs/>
                <w:color w:val="auto"/>
                <w:sz w:val="24"/>
                <w:szCs w:val="24"/>
                <w:lang w:val="pt-BR"/>
              </w:rPr>
            </w:pPr>
            <w:r>
              <w:rPr>
                <w:rFonts w:hint="default" w:ascii="Times New Roman" w:hAnsi="Times New Roman" w:cs="Times New Roman"/>
                <w:bCs/>
                <w:i/>
                <w:iCs/>
                <w:color w:val="auto"/>
                <w:sz w:val="24"/>
                <w:szCs w:val="24"/>
                <w:lang w:val="pt-BR"/>
              </w:rPr>
              <w:t>L</w:t>
            </w:r>
            <w:r>
              <w:rPr>
                <w:rFonts w:hint="default" w:ascii="Times New Roman" w:hAnsi="Times New Roman" w:cs="Times New Roman"/>
                <w:bCs/>
                <w:i/>
                <w:iCs/>
                <w:color w:val="auto"/>
                <w:sz w:val="24"/>
                <w:szCs w:val="24"/>
                <w:vertAlign w:val="subscript"/>
                <w:lang w:val="en-US" w:eastAsia="zh-CN"/>
              </w:rPr>
              <w:t>P2</w:t>
            </w:r>
            <w:r>
              <w:rPr>
                <w:rFonts w:hint="default" w:ascii="Times New Roman" w:hAnsi="Times New Roman" w:cs="Times New Roman"/>
                <w:bCs/>
                <w:i/>
                <w:iCs/>
                <w:color w:val="auto"/>
                <w:sz w:val="24"/>
                <w:szCs w:val="24"/>
                <w:lang w:val="pt-BR"/>
              </w:rPr>
              <w:t>=L</w:t>
            </w:r>
            <w:r>
              <w:rPr>
                <w:rFonts w:hint="default" w:ascii="Times New Roman" w:hAnsi="Times New Roman" w:cs="Times New Roman"/>
                <w:bCs/>
                <w:i/>
                <w:iCs/>
                <w:color w:val="auto"/>
                <w:sz w:val="24"/>
                <w:szCs w:val="24"/>
                <w:vertAlign w:val="subscript"/>
                <w:lang w:val="en-US" w:eastAsia="zh-CN"/>
              </w:rPr>
              <w:t>P1</w:t>
            </w:r>
            <w:r>
              <w:rPr>
                <w:rFonts w:hint="default" w:ascii="Times New Roman" w:hAnsi="Times New Roman" w:cs="Times New Roman"/>
                <w:bCs/>
                <w:i/>
                <w:iCs/>
                <w:color w:val="auto"/>
                <w:sz w:val="24"/>
                <w:szCs w:val="24"/>
                <w:lang w:val="pt-BR"/>
              </w:rPr>
              <w:t>－(</w:t>
            </w:r>
            <w:r>
              <w:rPr>
                <w:rFonts w:hint="default" w:ascii="Times New Roman" w:hAnsi="Times New Roman" w:cs="Times New Roman"/>
                <w:bCs/>
                <w:i/>
                <w:iCs/>
                <w:color w:val="auto"/>
                <w:sz w:val="24"/>
                <w:szCs w:val="24"/>
                <w:lang w:val="en-US" w:eastAsia="zh-CN"/>
              </w:rPr>
              <w:t>TL</w:t>
            </w:r>
            <w:r>
              <w:rPr>
                <w:rFonts w:hint="default" w:ascii="Times New Roman" w:hAnsi="Times New Roman" w:cs="Times New Roman"/>
                <w:bCs/>
                <w:i/>
                <w:iCs/>
                <w:color w:val="auto"/>
                <w:sz w:val="24"/>
                <w:szCs w:val="24"/>
                <w:lang w:val="pt-BR"/>
              </w:rPr>
              <w:t>+</w:t>
            </w:r>
            <w:r>
              <w:rPr>
                <w:rFonts w:hint="default" w:ascii="Times New Roman" w:hAnsi="Times New Roman" w:cs="Times New Roman"/>
                <w:bCs/>
                <w:i/>
                <w:iCs/>
                <w:color w:val="auto"/>
                <w:sz w:val="24"/>
                <w:szCs w:val="24"/>
                <w:lang w:val="en-US" w:eastAsia="zh-CN"/>
              </w:rPr>
              <w:t>6</w:t>
            </w:r>
            <w:r>
              <w:rPr>
                <w:rFonts w:hint="default" w:ascii="Times New Roman" w:hAnsi="Times New Roman" w:cs="Times New Roman"/>
                <w:bCs/>
                <w:i/>
                <w:iCs/>
                <w:color w:val="auto"/>
                <w:sz w:val="24"/>
                <w:szCs w:val="24"/>
                <w:lang w:val="pt-BR"/>
              </w:rPr>
              <w:t>)</w:t>
            </w:r>
          </w:p>
          <w:p w14:paraId="240892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w:t>
            </w:r>
            <w:r>
              <w:rPr>
                <w:rFonts w:hint="default" w:ascii="Times New Roman" w:hAnsi="Times New Roman" w:cs="Times New Roman"/>
                <w:i/>
                <w:iCs/>
                <w:color w:val="auto"/>
                <w:sz w:val="24"/>
                <w:szCs w:val="24"/>
                <w:lang w:val="en-US" w:eastAsia="zh-CN"/>
              </w:rPr>
              <w:t>Lp</w:t>
            </w:r>
            <w:r>
              <w:rPr>
                <w:rFonts w:hint="default" w:ascii="Times New Roman" w:hAnsi="Times New Roman" w:cs="Times New Roman"/>
                <w:i/>
                <w:iCs/>
                <w:color w:val="auto"/>
                <w:sz w:val="24"/>
                <w:szCs w:val="24"/>
                <w:vertAlign w:val="subscript"/>
                <w:lang w:val="en-US" w:eastAsia="zh-CN"/>
              </w:rPr>
              <w:t>1</w:t>
            </w:r>
            <w:r>
              <w:rPr>
                <w:rFonts w:hint="default" w:ascii="Times New Roman" w:hAnsi="Times New Roman" w:cs="Times New Roman"/>
                <w:color w:val="auto"/>
                <w:sz w:val="24"/>
                <w:szCs w:val="24"/>
                <w:lang w:val="en-US" w:eastAsia="zh-CN"/>
              </w:rPr>
              <w:t xml:space="preserve">——靠近开口处（或窗户）室内某倍频带的声压级或 A 声级，dB； </w:t>
            </w:r>
          </w:p>
          <w:p w14:paraId="7DCF2E3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Lp</w:t>
            </w:r>
            <w:r>
              <w:rPr>
                <w:rFonts w:hint="default" w:ascii="Times New Roman" w:hAnsi="Times New Roman" w:cs="Times New Roman"/>
                <w:i/>
                <w:iCs/>
                <w:color w:val="auto"/>
                <w:sz w:val="24"/>
                <w:szCs w:val="24"/>
                <w:vertAlign w:val="subscript"/>
                <w:lang w:val="en-US" w:eastAsia="zh-CN"/>
              </w:rPr>
              <w:t>2</w:t>
            </w:r>
            <w:r>
              <w:rPr>
                <w:rFonts w:hint="default" w:ascii="Times New Roman" w:hAnsi="Times New Roman" w:cs="Times New Roman"/>
                <w:color w:val="auto"/>
                <w:sz w:val="24"/>
                <w:szCs w:val="24"/>
                <w:lang w:val="en-US" w:eastAsia="zh-CN"/>
              </w:rPr>
              <w:t>——靠近开口处（或窗户）室外某倍频带的声压级或 A 声级，dB；</w:t>
            </w:r>
          </w:p>
          <w:p w14:paraId="38A73BD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TL</w:t>
            </w:r>
            <w:r>
              <w:rPr>
                <w:rFonts w:hint="default" w:ascii="Times New Roman" w:hAnsi="Times New Roman" w:cs="Times New Roman"/>
                <w:color w:val="auto"/>
                <w:sz w:val="24"/>
                <w:szCs w:val="24"/>
                <w:lang w:val="en-US" w:eastAsia="zh-CN"/>
              </w:rPr>
              <w:t>——隔墙（或窗户）倍频带或A声级的隔声量，dB。</w:t>
            </w:r>
          </w:p>
          <w:p w14:paraId="29BA1329">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室外围护结构处的声压级：</w:t>
            </w:r>
          </w:p>
          <w:p w14:paraId="6D2BCF60">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cs="Times New Roman"/>
                <w:bCs/>
                <w:i/>
                <w:iCs/>
                <w:color w:val="auto"/>
                <w:sz w:val="24"/>
                <w:szCs w:val="24"/>
                <w:lang w:val="pt-BR"/>
              </w:rPr>
            </w:pPr>
            <w:r>
              <w:rPr>
                <w:rFonts w:hint="default" w:ascii="Times New Roman" w:hAnsi="Times New Roman" w:cs="Times New Roman"/>
                <w:bCs/>
                <w:i/>
                <w:iCs/>
                <w:color w:val="auto"/>
                <w:sz w:val="24"/>
                <w:szCs w:val="24"/>
                <w:lang w:val="pt-BR"/>
              </w:rPr>
              <w:t>L</w:t>
            </w:r>
            <w:r>
              <w:rPr>
                <w:rFonts w:hint="default" w:ascii="Times New Roman" w:hAnsi="Times New Roman" w:cs="Times New Roman"/>
                <w:bCs/>
                <w:i/>
                <w:iCs/>
                <w:color w:val="auto"/>
                <w:sz w:val="24"/>
                <w:szCs w:val="24"/>
                <w:vertAlign w:val="subscript"/>
                <w:lang w:val="en-US" w:eastAsia="zh-CN"/>
              </w:rPr>
              <w:t>P2i</w:t>
            </w:r>
            <w:r>
              <w:rPr>
                <w:rFonts w:hint="default" w:ascii="Times New Roman" w:hAnsi="Times New Roman" w:cs="Times New Roman"/>
                <w:bCs/>
                <w:i/>
                <w:iCs/>
                <w:color w:val="auto"/>
                <w:sz w:val="24"/>
                <w:szCs w:val="24"/>
                <w:vertAlign w:val="baseline"/>
                <w:lang w:val="en-US" w:eastAsia="zh-CN"/>
              </w:rPr>
              <w:t>(T)</w:t>
            </w:r>
            <w:r>
              <w:rPr>
                <w:rFonts w:hint="default" w:ascii="Times New Roman" w:hAnsi="Times New Roman" w:cs="Times New Roman"/>
                <w:bCs/>
                <w:i/>
                <w:iCs/>
                <w:color w:val="auto"/>
                <w:sz w:val="24"/>
                <w:szCs w:val="24"/>
                <w:lang w:val="pt-BR"/>
              </w:rPr>
              <w:t>=L</w:t>
            </w:r>
            <w:r>
              <w:rPr>
                <w:rFonts w:hint="default" w:ascii="Times New Roman" w:hAnsi="Times New Roman" w:cs="Times New Roman"/>
                <w:bCs/>
                <w:i/>
                <w:iCs/>
                <w:color w:val="auto"/>
                <w:sz w:val="24"/>
                <w:szCs w:val="24"/>
                <w:vertAlign w:val="subscript"/>
                <w:lang w:val="en-US" w:eastAsia="zh-CN"/>
              </w:rPr>
              <w:t>P1i</w:t>
            </w:r>
            <w:r>
              <w:rPr>
                <w:rFonts w:hint="default" w:ascii="Times New Roman" w:hAnsi="Times New Roman" w:cs="Times New Roman"/>
                <w:bCs/>
                <w:i/>
                <w:iCs/>
                <w:color w:val="auto"/>
                <w:sz w:val="24"/>
                <w:szCs w:val="24"/>
                <w:vertAlign w:val="baseline"/>
                <w:lang w:val="en-US" w:eastAsia="zh-CN"/>
              </w:rPr>
              <w:t>(T)</w:t>
            </w:r>
            <w:r>
              <w:rPr>
                <w:rFonts w:hint="default" w:ascii="Times New Roman" w:hAnsi="Times New Roman" w:cs="Times New Roman"/>
                <w:bCs/>
                <w:i/>
                <w:iCs/>
                <w:color w:val="auto"/>
                <w:sz w:val="24"/>
                <w:szCs w:val="24"/>
                <w:lang w:val="pt-BR"/>
              </w:rPr>
              <w:t>－(</w:t>
            </w:r>
            <w:r>
              <w:rPr>
                <w:rFonts w:hint="default" w:ascii="Times New Roman" w:hAnsi="Times New Roman" w:cs="Times New Roman"/>
                <w:bCs/>
                <w:i/>
                <w:iCs/>
                <w:color w:val="auto"/>
                <w:sz w:val="24"/>
                <w:szCs w:val="24"/>
                <w:lang w:val="en-US" w:eastAsia="zh-CN"/>
              </w:rPr>
              <w:t>TL</w:t>
            </w:r>
            <w:r>
              <w:rPr>
                <w:rFonts w:hint="default" w:ascii="Times New Roman" w:hAnsi="Times New Roman" w:cs="Times New Roman"/>
                <w:bCs/>
                <w:i/>
                <w:iCs/>
                <w:color w:val="auto"/>
                <w:sz w:val="24"/>
                <w:szCs w:val="24"/>
                <w:vertAlign w:val="subscript"/>
                <w:lang w:val="en-US" w:eastAsia="zh-CN"/>
              </w:rPr>
              <w:t>i</w:t>
            </w:r>
            <w:r>
              <w:rPr>
                <w:rFonts w:hint="default" w:ascii="Times New Roman" w:hAnsi="Times New Roman" w:cs="Times New Roman"/>
                <w:bCs/>
                <w:i/>
                <w:iCs/>
                <w:color w:val="auto"/>
                <w:sz w:val="24"/>
                <w:szCs w:val="24"/>
                <w:lang w:val="pt-BR"/>
              </w:rPr>
              <w:t>+</w:t>
            </w:r>
            <w:r>
              <w:rPr>
                <w:rFonts w:hint="default" w:ascii="Times New Roman" w:hAnsi="Times New Roman" w:cs="Times New Roman"/>
                <w:bCs/>
                <w:i/>
                <w:iCs/>
                <w:color w:val="auto"/>
                <w:sz w:val="24"/>
                <w:szCs w:val="24"/>
                <w:lang w:val="en-US" w:eastAsia="zh-CN"/>
              </w:rPr>
              <w:t>6</w:t>
            </w:r>
            <w:r>
              <w:rPr>
                <w:rFonts w:hint="default" w:ascii="Times New Roman" w:hAnsi="Times New Roman" w:cs="Times New Roman"/>
                <w:bCs/>
                <w:i/>
                <w:iCs/>
                <w:color w:val="auto"/>
                <w:sz w:val="24"/>
                <w:szCs w:val="24"/>
                <w:lang w:val="pt-BR"/>
              </w:rPr>
              <w:t>)</w:t>
            </w:r>
          </w:p>
          <w:p w14:paraId="5F0DA6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w:t>
            </w:r>
            <w:r>
              <w:rPr>
                <w:rFonts w:hint="default" w:ascii="Times New Roman" w:hAnsi="Times New Roman" w:cs="Times New Roman"/>
                <w:i/>
                <w:iCs/>
                <w:color w:val="auto"/>
                <w:sz w:val="24"/>
                <w:szCs w:val="24"/>
                <w:lang w:val="en-US" w:eastAsia="zh-CN"/>
              </w:rPr>
              <w:t>Lp</w:t>
            </w:r>
            <w:r>
              <w:rPr>
                <w:rFonts w:hint="default" w:ascii="Times New Roman" w:hAnsi="Times New Roman" w:cs="Times New Roman"/>
                <w:i/>
                <w:iCs/>
                <w:color w:val="auto"/>
                <w:sz w:val="24"/>
                <w:szCs w:val="24"/>
                <w:vertAlign w:val="subscript"/>
                <w:lang w:val="en-US" w:eastAsia="zh-CN"/>
              </w:rPr>
              <w:t>2i</w:t>
            </w:r>
            <w:r>
              <w:rPr>
                <w:rFonts w:hint="default" w:ascii="Times New Roman" w:hAnsi="Times New Roman" w:cs="Times New Roman"/>
                <w:i/>
                <w:iCs/>
                <w:color w:val="auto"/>
                <w:sz w:val="24"/>
                <w:szCs w:val="24"/>
                <w:vertAlign w:val="baseline"/>
                <w:lang w:val="en-US" w:eastAsia="zh-CN"/>
              </w:rPr>
              <w:t>（T）</w:t>
            </w:r>
            <w:r>
              <w:rPr>
                <w:rFonts w:hint="default" w:ascii="Times New Roman" w:hAnsi="Times New Roman" w:cs="Times New Roman"/>
                <w:color w:val="auto"/>
                <w:sz w:val="24"/>
                <w:szCs w:val="24"/>
                <w:lang w:val="en-US" w:eastAsia="zh-CN"/>
              </w:rPr>
              <w:t>——靠近围护结构处室外N个声源i倍频带的叠加声压级，dB；</w:t>
            </w:r>
          </w:p>
          <w:p w14:paraId="2EC5FDD5">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Lp</w:t>
            </w:r>
            <w:r>
              <w:rPr>
                <w:rFonts w:hint="default" w:ascii="Times New Roman" w:hAnsi="Times New Roman" w:cs="Times New Roman"/>
                <w:i/>
                <w:iCs/>
                <w:color w:val="auto"/>
                <w:sz w:val="24"/>
                <w:szCs w:val="24"/>
                <w:vertAlign w:val="subscript"/>
                <w:lang w:val="en-US" w:eastAsia="zh-CN"/>
              </w:rPr>
              <w:t>1i</w:t>
            </w:r>
            <w:r>
              <w:rPr>
                <w:rFonts w:hint="default" w:ascii="Times New Roman" w:hAnsi="Times New Roman" w:cs="Times New Roman"/>
                <w:i/>
                <w:iCs/>
                <w:color w:val="auto"/>
                <w:sz w:val="24"/>
                <w:szCs w:val="24"/>
                <w:vertAlign w:val="baseline"/>
                <w:lang w:val="en-US" w:eastAsia="zh-CN"/>
              </w:rPr>
              <w:t>（T）</w:t>
            </w:r>
            <w:r>
              <w:rPr>
                <w:rFonts w:hint="default" w:ascii="Times New Roman" w:hAnsi="Times New Roman" w:cs="Times New Roman"/>
                <w:color w:val="auto"/>
                <w:sz w:val="24"/>
                <w:szCs w:val="24"/>
                <w:lang w:val="en-US" w:eastAsia="zh-CN"/>
              </w:rPr>
              <w:t>——靠近围护结构处室内N个声源i倍频带的叠加声压级，dB；</w:t>
            </w:r>
          </w:p>
          <w:p w14:paraId="7A517B59">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 xml:space="preserve">TLi </w:t>
            </w:r>
            <w:r>
              <w:rPr>
                <w:rFonts w:hint="default" w:ascii="Times New Roman" w:hAnsi="Times New Roman" w:cs="Times New Roman"/>
                <w:color w:val="auto"/>
                <w:sz w:val="24"/>
                <w:szCs w:val="24"/>
                <w:lang w:val="en-US" w:eastAsia="zh-CN"/>
              </w:rPr>
              <w:t>——围护结构i倍频带的隔声量，dB。</w:t>
            </w:r>
          </w:p>
          <w:p w14:paraId="1DC903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中心位置位于透声面积（S）处的等效声源的倍频带声功率级。</w:t>
            </w:r>
          </w:p>
          <w:p w14:paraId="027CC631">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cs="Times New Roman"/>
                <w:bCs/>
                <w:i/>
                <w:iCs/>
                <w:color w:val="auto"/>
                <w:sz w:val="24"/>
                <w:szCs w:val="24"/>
                <w:lang w:val="en-US"/>
              </w:rPr>
            </w:pPr>
            <w:r>
              <w:rPr>
                <w:rFonts w:hint="default" w:ascii="Times New Roman" w:hAnsi="Times New Roman" w:cs="Times New Roman"/>
                <w:bCs/>
                <w:i/>
                <w:iCs/>
                <w:color w:val="auto"/>
                <w:sz w:val="24"/>
                <w:szCs w:val="24"/>
                <w:lang w:val="pt-BR"/>
              </w:rPr>
              <w:t>L</w:t>
            </w:r>
            <w:r>
              <w:rPr>
                <w:rFonts w:hint="default" w:ascii="Times New Roman" w:hAnsi="Times New Roman" w:cs="Times New Roman"/>
                <w:bCs/>
                <w:i/>
                <w:iCs/>
                <w:color w:val="auto"/>
                <w:sz w:val="24"/>
                <w:szCs w:val="24"/>
                <w:vertAlign w:val="subscript"/>
                <w:lang w:val="en-US" w:eastAsia="zh-CN"/>
              </w:rPr>
              <w:t>W</w:t>
            </w:r>
            <w:r>
              <w:rPr>
                <w:rFonts w:hint="default" w:ascii="Times New Roman" w:hAnsi="Times New Roman" w:cs="Times New Roman"/>
                <w:bCs/>
                <w:i/>
                <w:iCs/>
                <w:color w:val="auto"/>
                <w:sz w:val="24"/>
                <w:szCs w:val="24"/>
                <w:lang w:val="pt-BR"/>
              </w:rPr>
              <w:t>=L</w:t>
            </w:r>
            <w:r>
              <w:rPr>
                <w:rFonts w:hint="default" w:ascii="Times New Roman" w:hAnsi="Times New Roman" w:cs="Times New Roman"/>
                <w:bCs/>
                <w:i/>
                <w:iCs/>
                <w:color w:val="auto"/>
                <w:sz w:val="24"/>
                <w:szCs w:val="24"/>
                <w:vertAlign w:val="subscript"/>
                <w:lang w:val="en-US" w:eastAsia="zh-CN"/>
              </w:rPr>
              <w:t>P2</w:t>
            </w:r>
            <w:r>
              <w:rPr>
                <w:rFonts w:hint="default" w:ascii="Times New Roman" w:hAnsi="Times New Roman" w:cs="Times New Roman"/>
                <w:bCs/>
                <w:i/>
                <w:iCs/>
                <w:color w:val="auto"/>
                <w:sz w:val="24"/>
                <w:szCs w:val="24"/>
                <w:vertAlign w:val="baseline"/>
                <w:lang w:val="en-US" w:eastAsia="zh-CN"/>
              </w:rPr>
              <w:t>(T)</w:t>
            </w:r>
            <w:r>
              <w:rPr>
                <w:rFonts w:hint="default" w:ascii="Times New Roman" w:hAnsi="Times New Roman" w:cs="Times New Roman"/>
                <w:bCs/>
                <w:i/>
                <w:iCs/>
                <w:color w:val="auto"/>
                <w:sz w:val="24"/>
                <w:szCs w:val="24"/>
                <w:lang w:val="pt-BR"/>
              </w:rPr>
              <w:t>+</w:t>
            </w:r>
            <w:r>
              <w:rPr>
                <w:rFonts w:hint="default" w:ascii="Times New Roman" w:hAnsi="Times New Roman" w:cs="Times New Roman"/>
                <w:bCs/>
                <w:i/>
                <w:iCs/>
                <w:color w:val="auto"/>
                <w:sz w:val="24"/>
                <w:szCs w:val="24"/>
                <w:lang w:val="en-US" w:eastAsia="zh-CN"/>
              </w:rPr>
              <w:t>101gS</w:t>
            </w:r>
          </w:p>
          <w:p w14:paraId="01DFA4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w:t>
            </w:r>
            <w:r>
              <w:rPr>
                <w:rFonts w:hint="default" w:ascii="Times New Roman" w:hAnsi="Times New Roman" w:cs="Times New Roman"/>
                <w:i/>
                <w:iCs/>
                <w:color w:val="auto"/>
                <w:sz w:val="24"/>
                <w:szCs w:val="24"/>
                <w:lang w:val="en-US" w:eastAsia="zh-CN"/>
              </w:rPr>
              <w:t>Lw</w:t>
            </w:r>
            <w:r>
              <w:rPr>
                <w:rFonts w:hint="default" w:ascii="Times New Roman" w:hAnsi="Times New Roman" w:cs="Times New Roman"/>
                <w:color w:val="auto"/>
                <w:sz w:val="24"/>
                <w:szCs w:val="24"/>
                <w:lang w:val="en-US" w:eastAsia="zh-CN"/>
              </w:rPr>
              <w:t xml:space="preserve"> ——中心位置位于透声面积（S）处的等效声源的倍频带声功率级，dB； </w:t>
            </w:r>
          </w:p>
          <w:p w14:paraId="14B8FA47">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Lp</w:t>
            </w:r>
            <w:r>
              <w:rPr>
                <w:rFonts w:hint="default" w:ascii="Times New Roman" w:hAnsi="Times New Roman" w:cs="Times New Roman"/>
                <w:i/>
                <w:iCs/>
                <w:color w:val="auto"/>
                <w:sz w:val="24"/>
                <w:szCs w:val="24"/>
                <w:vertAlign w:val="subscript"/>
                <w:lang w:val="en-US" w:eastAsia="zh-CN"/>
              </w:rPr>
              <w:t>2</w:t>
            </w:r>
            <w:r>
              <w:rPr>
                <w:rFonts w:hint="default" w:ascii="Times New Roman" w:hAnsi="Times New Roman" w:cs="Times New Roman"/>
                <w:i/>
                <w:iCs/>
                <w:color w:val="auto"/>
                <w:sz w:val="24"/>
                <w:szCs w:val="24"/>
                <w:lang w:val="en-US" w:eastAsia="zh-CN"/>
              </w:rPr>
              <w:t>(T)</w:t>
            </w:r>
            <w:r>
              <w:rPr>
                <w:rFonts w:hint="default" w:ascii="Times New Roman" w:hAnsi="Times New Roman" w:cs="Times New Roman"/>
                <w:color w:val="auto"/>
                <w:sz w:val="24"/>
                <w:szCs w:val="24"/>
                <w:lang w:val="en-US" w:eastAsia="zh-CN"/>
              </w:rPr>
              <w:t xml:space="preserve">——靠近围护结构处室外声源的声压级，dB； </w:t>
            </w:r>
          </w:p>
          <w:p w14:paraId="1D66E3E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S</w:t>
            </w:r>
            <w:r>
              <w:rPr>
                <w:rFonts w:hint="default" w:ascii="Times New Roman" w:hAnsi="Times New Roman" w:cs="Times New Roman"/>
                <w:color w:val="auto"/>
                <w:sz w:val="24"/>
                <w:szCs w:val="24"/>
                <w:lang w:val="en-US" w:eastAsia="zh-CN"/>
              </w:rPr>
              <w:t>——透声面积，m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p>
          <w:p w14:paraId="59A001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宋体" w:hAnsi="宋体" w:cs="宋体"/>
                <w:color w:val="auto"/>
                <w:sz w:val="24"/>
                <w:lang w:val="en-US" w:eastAsia="zh-CN"/>
              </w:rPr>
              <w:t>2）</w:t>
            </w:r>
            <w:r>
              <w:rPr>
                <w:color w:val="auto"/>
                <w:sz w:val="24"/>
              </w:rPr>
              <w:t>室外点声源对厂界噪声预测点贡献值预测模式</w:t>
            </w:r>
          </w:p>
          <w:p w14:paraId="1D5DD3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color w:val="auto"/>
                <w:sz w:val="24"/>
              </w:rPr>
            </w:pPr>
            <w:r>
              <w:rPr>
                <w:color w:val="auto"/>
                <w:sz w:val="24"/>
              </w:rPr>
              <w:t>LA（r）=Laref（r</w:t>
            </w:r>
            <w:r>
              <w:rPr>
                <w:color w:val="auto"/>
                <w:sz w:val="24"/>
                <w:vertAlign w:val="subscript"/>
              </w:rPr>
              <w:t>0</w:t>
            </w:r>
            <w:r>
              <w:rPr>
                <w:color w:val="auto"/>
                <w:sz w:val="24"/>
              </w:rPr>
              <w:t>）－（Adiv+Abar+Aatm+Aexc）</w:t>
            </w:r>
          </w:p>
          <w:p w14:paraId="3305AA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式中：LA（r）──距声源r米处的A声级；</w:t>
            </w:r>
          </w:p>
          <w:p w14:paraId="3C5317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Laref（r0）—参考位置r</w:t>
            </w:r>
            <w:r>
              <w:rPr>
                <w:color w:val="auto"/>
                <w:sz w:val="24"/>
                <w:vertAlign w:val="subscript"/>
              </w:rPr>
              <w:t>0</w:t>
            </w:r>
            <w:r>
              <w:rPr>
                <w:color w:val="auto"/>
                <w:sz w:val="24"/>
              </w:rPr>
              <w:t>米处的A声级；</w:t>
            </w:r>
          </w:p>
          <w:p w14:paraId="18ACA6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Adiv──声波几何发散引起的A声级衰减量；</w:t>
            </w:r>
          </w:p>
          <w:p w14:paraId="232531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Abar──声屏障引起的A声级衰减量；</w:t>
            </w:r>
          </w:p>
          <w:p w14:paraId="5B6D92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Aatm──空气吸收引起的A声级衰减量；</w:t>
            </w:r>
          </w:p>
          <w:p w14:paraId="138C02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Aexc──附加衰减量。</w:t>
            </w:r>
          </w:p>
          <w:p w14:paraId="61A6F5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几何发散</w:t>
            </w:r>
          </w:p>
          <w:p w14:paraId="2A9141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对于室外点声源，不考虑其指向性，几何发散衰减计算公式为：</w:t>
            </w:r>
          </w:p>
          <w:p w14:paraId="0ECFA92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color w:val="auto"/>
                <w:sz w:val="24"/>
              </w:rPr>
            </w:pPr>
            <w:r>
              <w:rPr>
                <w:color w:val="auto"/>
                <w:sz w:val="24"/>
              </w:rPr>
              <w:t>LA（r）=LA（r</w:t>
            </w:r>
            <w:r>
              <w:rPr>
                <w:color w:val="auto"/>
                <w:sz w:val="24"/>
                <w:vertAlign w:val="subscript"/>
              </w:rPr>
              <w:t>0</w:t>
            </w:r>
            <w:r>
              <w:rPr>
                <w:color w:val="auto"/>
                <w:sz w:val="24"/>
              </w:rPr>
              <w:t>）－20Lg（r/r</w:t>
            </w:r>
            <w:r>
              <w:rPr>
                <w:color w:val="auto"/>
                <w:sz w:val="24"/>
                <w:vertAlign w:val="subscript"/>
              </w:rPr>
              <w:t>0</w:t>
            </w:r>
            <w:r>
              <w:rPr>
                <w:color w:val="auto"/>
                <w:sz w:val="24"/>
              </w:rPr>
              <w:t>）</w:t>
            </w:r>
          </w:p>
          <w:p w14:paraId="2D0C67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遮挡物引起的衰减</w:t>
            </w:r>
          </w:p>
          <w:p w14:paraId="7E57A9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遮挡物引起的衰减，只考虑各声源所在厂房围护结构的屏蔽效应，（1）中已计算，其他忽略不计。</w:t>
            </w:r>
          </w:p>
          <w:p w14:paraId="6FEAA4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空气吸收引起的衰减</w:t>
            </w:r>
          </w:p>
          <w:p w14:paraId="7099B8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空气吸收引起的衰减按下式计算：</w:t>
            </w:r>
          </w:p>
          <w:p w14:paraId="5974FF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mc:AlternateContent>
                <mc:Choice Requires="wps">
                  <w:drawing>
                    <wp:anchor distT="0" distB="0" distL="114300" distR="114300" simplePos="0" relativeHeight="251752448" behindDoc="0" locked="0" layoutInCell="1" allowOverlap="1">
                      <wp:simplePos x="0" y="0"/>
                      <wp:positionH relativeFrom="column">
                        <wp:posOffset>1866900</wp:posOffset>
                      </wp:positionH>
                      <wp:positionV relativeFrom="paragraph">
                        <wp:posOffset>291465</wp:posOffset>
                      </wp:positionV>
                      <wp:extent cx="544195" cy="260350"/>
                      <wp:effectExtent l="0" t="0" r="8255" b="6350"/>
                      <wp:wrapNone/>
                      <wp:docPr id="46" name="文本框 46"/>
                      <wp:cNvGraphicFramePr/>
                      <a:graphic xmlns:a="http://schemas.openxmlformats.org/drawingml/2006/main">
                        <a:graphicData uri="http://schemas.microsoft.com/office/word/2010/wordprocessingShape">
                          <wps:wsp>
                            <wps:cNvSpPr txBox="1"/>
                            <wps:spPr>
                              <a:xfrm>
                                <a:off x="4090035" y="1804035"/>
                                <a:ext cx="601345" cy="277495"/>
                              </a:xfrm>
                              <a:prstGeom prst="rect">
                                <a:avLst/>
                              </a:prstGeom>
                              <a:solidFill>
                                <a:srgbClr val="FFFFFF"/>
                              </a:solidFill>
                              <a:ln w="6350">
                                <a:noFill/>
                              </a:ln>
                              <a:effectLst/>
                            </wps:spPr>
                            <wps:txbx>
                              <w:txbxContent>
                                <w:p w14:paraId="6A6DEF22">
                                  <w:pPr>
                                    <w:shd w:val="clear" w:color="auto" w:fill="auto"/>
                                    <w:spacing w:line="60" w:lineRule="atLeast"/>
                                    <w:rPr>
                                      <w:sz w:val="24"/>
                                    </w:rPr>
                                  </w:pPr>
                                  <w:r>
                                    <w:rPr>
                                      <w:sz w:val="24"/>
                                    </w:rPr>
                                    <w:t>1000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22.95pt;height:20.5pt;width:42.85pt;z-index:251752448;mso-width-relative:page;mso-height-relative:page;" fillcolor="#FFFFFF" filled="t" stroked="f" coordsize="21600,21600" o:gfxdata="UEsDBAoAAAAAAIdO4kAAAAAAAAAAAAAAAAAEAAAAZHJzL1BLAwQUAAAACACHTuJA51XcXNYAAAAJ&#10;AQAADwAAAGRycy9kb3ducmV2LnhtbE2PS0/DMBCE70j8B2uRuFEnJbRNyKYHJK5IfZ7deIkj4nVk&#10;u89fX3OC42hGM9/Uy4sdxIl86B0j5JMMBHHrdM8dwnbz+bIAEaJirQbHhHClAMvm8aFWlXZnXtFp&#10;HTuRSjhUCsHEOFZShtaQVWHiRuLkfTtvVUzSd1J7dU7ldpDTLJtJq3pOC0aN9GGo/VkfLcK+s7f9&#10;Lh+90XYo+Ot23Wxdj/j8lGfvICJd4l8YfvETOjSJ6eCOrIMYEKZlkb5EhOKtBJECr/NyDuKAsJiV&#10;IJta/n/Q3AFQSwMEFAAAAAgAh07iQGn7wR1hAgAAqgQAAA4AAABkcnMvZTJvRG9jLnhtbK1US27b&#10;MBDdF+gdCO4byY7yMyIHbgIXBYImQFp0TVOULYDisCRtKT1Ae4Osuum+58o5+kjZSZp2kUW9kGc4&#10;T284b2Z0eta3mm2U8w2Zko/2cs6UkVQ1ZlnyTx/nb44580GYSmgyquS3yvOz6etXp52dqDGtSFfK&#10;MZAYP+lsyVch2EmWeblSrfB7ZJVBsCbXigDXLbPKiQ7src7GeX6YdeQq60gq73F6MQT5ltG9hJDq&#10;upHqguS6VSYMrE5pEVCSXzXW82m6bV0rGa7q2qvAdMlRaUhPJIG9iM9seiomSyfsqpHbK4iXXOFZ&#10;Ta1oDJI+UF2IINjaNX9RtY105KkOe5LabCgkKYIqRvkzbW5WwqpUC6T29kF0//9o5YfNtWNNVfLi&#10;kDMjWnT8/u77/Y9f9z+/MZxBoM76CXA3FsjQv6UeY7M79ziMdfe1a+M/KmKIF/lJnu8fcHYL7HFe&#10;RDtJrfrAJACH+Wi/QFwCMD46Kk5SPHskss6Hd4paFo2SO3QyCSw2lz6ACtAdJOb1pJtq3midHLdc&#10;nGvHNgJdn6dfzI5X/oBpwzrcZP8gT8yG4vsDTpvIo9IAbfNFFYZqoxX6RQ9oNBdU3UIZR8NweSvn&#10;De58KXy4Fg7ThFnDvoUrPGpNSElbi7MVua//Oo94NBlRzjpMZ8n9l7VwijP93qD9J6OiiOOcnOLg&#10;aAzHPY0snkbMuj0nSDHCZluZzIgPemfWjtrPWMtZzIqQMBK5Sx525nkYdgZrLdVslkAYYCvCpbmx&#10;MlJHwQzN1oHqJjXoURtIHx2McGrCdt3ijjz1E+rxEzP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dV3FzWAAAACQEAAA8AAAAAAAAAAQAgAAAAIgAAAGRycy9kb3ducmV2LnhtbFBLAQIUABQAAAAI&#10;AIdO4kBp+8EdYQIAAKoEAAAOAAAAAAAAAAEAIAAAACUBAABkcnMvZTJvRG9jLnhtbFBLBQYAAAAA&#10;BgAGAFkBAAD4BQAAAAA=&#10;">
                      <v:fill on="t" focussize="0,0"/>
                      <v:stroke on="f" weight="0.5pt"/>
                      <v:imagedata o:title=""/>
                      <o:lock v:ext="edit" aspectratio="f"/>
                      <v:textbox>
                        <w:txbxContent>
                          <w:p w14:paraId="6A6DEF22">
                            <w:pPr>
                              <w:shd w:val="clear" w:color="auto" w:fill="auto"/>
                              <w:spacing w:line="60" w:lineRule="atLeast"/>
                              <w:rPr>
                                <w:sz w:val="24"/>
                              </w:rPr>
                            </w:pPr>
                            <w:r>
                              <w:rPr>
                                <w:sz w:val="24"/>
                              </w:rPr>
                              <w:t>1000</w:t>
                            </w:r>
                          </w:p>
                        </w:txbxContent>
                      </v:textbox>
                    </v:shape>
                  </w:pict>
                </mc:Fallback>
              </mc:AlternateContent>
            </w:r>
            <w:r>
              <w:rPr>
                <w:color w:val="auto"/>
                <w:sz w:val="24"/>
              </w:rPr>
              <w:drawing>
                <wp:anchor distT="0" distB="0" distL="114300" distR="114300" simplePos="0" relativeHeight="251751424" behindDoc="0" locked="0" layoutInCell="1" allowOverlap="1">
                  <wp:simplePos x="0" y="0"/>
                  <wp:positionH relativeFrom="column">
                    <wp:posOffset>1361440</wp:posOffset>
                  </wp:positionH>
                  <wp:positionV relativeFrom="paragraph">
                    <wp:posOffset>41910</wp:posOffset>
                  </wp:positionV>
                  <wp:extent cx="1100455" cy="431165"/>
                  <wp:effectExtent l="0" t="0" r="0" b="6350"/>
                  <wp:wrapNone/>
                  <wp:docPr id="47" name="图片 2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059"/>
                          <pic:cNvPicPr>
                            <a:picLocks noChangeAspect="1"/>
                          </pic:cNvPicPr>
                        </pic:nvPicPr>
                        <pic:blipFill>
                          <a:blip r:embed="rId19"/>
                          <a:stretch>
                            <a:fillRect/>
                          </a:stretch>
                        </pic:blipFill>
                        <pic:spPr>
                          <a:xfrm>
                            <a:off x="0" y="0"/>
                            <a:ext cx="1100455" cy="431165"/>
                          </a:xfrm>
                          <a:prstGeom prst="rect">
                            <a:avLst/>
                          </a:prstGeom>
                          <a:noFill/>
                          <a:ln>
                            <a:noFill/>
                          </a:ln>
                        </pic:spPr>
                      </pic:pic>
                    </a:graphicData>
                  </a:graphic>
                </wp:anchor>
              </w:drawing>
            </w:r>
          </w:p>
          <w:p w14:paraId="38B544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p w14:paraId="4CA5F5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式中：</w:t>
            </w:r>
          </w:p>
          <w:p w14:paraId="7C9C7E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r—预测点距声源的距离，m；</w:t>
            </w:r>
          </w:p>
          <w:p w14:paraId="6A2195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r</w:t>
            </w:r>
            <w:r>
              <w:rPr>
                <w:color w:val="auto"/>
                <w:sz w:val="24"/>
                <w:vertAlign w:val="subscript"/>
              </w:rPr>
              <w:t>0</w:t>
            </w:r>
            <w:r>
              <w:rPr>
                <w:color w:val="auto"/>
                <w:sz w:val="24"/>
              </w:rPr>
              <w:t>—参考点距声源的距离，m；</w:t>
            </w:r>
          </w:p>
          <w:p w14:paraId="3954DF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 xml:space="preserve">    α—每1000m空气吸收系数。</w:t>
            </w:r>
          </w:p>
          <w:p w14:paraId="155481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附加衰减</w:t>
            </w:r>
          </w:p>
          <w:p w14:paraId="15B78B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附加衰减包括声波传播过程中由于云、雾、温度梯度、风及地面效应引起的声能量衰减，本次评价中忽略不计。</w:t>
            </w:r>
          </w:p>
          <w:p w14:paraId="0B359C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）贡献值计算</w:t>
            </w:r>
          </w:p>
          <w:p w14:paraId="02168A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计算本项目各室外噪声源和各含噪声源厂房对各预测点噪声贡献值。</w:t>
            </w:r>
          </w:p>
          <w:p w14:paraId="647422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4"/>
                <w:szCs w:val="24"/>
                <w:lang w:val="en-US" w:eastAsia="zh-CN"/>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3AD8784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sz w:val="21"/>
                <w:szCs w:val="21"/>
                <w:lang w:val="en-US" w:eastAsia="zh-CN"/>
              </w:rPr>
            </w:pPr>
            <w:r>
              <w:rPr>
                <w:color w:val="auto"/>
                <w:spacing w:val="0"/>
                <w:position w:val="0"/>
                <w:sz w:val="21"/>
                <w:szCs w:val="21"/>
                <w:lang w:val="zh-CN"/>
              </w:rPr>
              <w:object>
                <v:shape id="_x0000_i1025" o:spt="75" type="#_x0000_t75" style="height:38.15pt;width:200.4pt;" o:ole="t" filled="f" o:preferrelative="t" stroked="f" coordsize="21600,21600">
                  <v:path/>
                  <v:fill on="f" focussize="0,0"/>
                  <v:stroke on="f" joinstyle="miter"/>
                  <v:imagedata r:id="rId21" o:title=""/>
                  <o:lock v:ext="edit" aspectratio="t"/>
                  <w10:wrap type="none"/>
                  <w10:anchorlock/>
                </v:shape>
                <o:OLEObject Type="Embed" ProgID="Equations" ShapeID="_x0000_i1025" DrawAspect="Content" ObjectID="_1468075725" r:id="rId20">
                  <o:LockedField>false</o:LockedField>
                </o:OLEObject>
              </w:object>
            </w:r>
          </w:p>
          <w:p w14:paraId="660E9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w:t>
            </w:r>
            <w:r>
              <w:rPr>
                <w:rFonts w:hint="default" w:ascii="Times New Roman" w:hAnsi="Times New Roman" w:cs="Times New Roman"/>
                <w:i/>
                <w:iCs/>
                <w:color w:val="auto"/>
                <w:sz w:val="24"/>
                <w:szCs w:val="24"/>
                <w:lang w:val="en-US" w:eastAsia="zh-CN"/>
              </w:rPr>
              <w:t>L</w:t>
            </w:r>
            <w:r>
              <w:rPr>
                <w:rFonts w:hint="default" w:ascii="Times New Roman" w:hAnsi="Times New Roman" w:cs="Times New Roman"/>
                <w:i/>
                <w:iCs/>
                <w:color w:val="auto"/>
                <w:sz w:val="24"/>
                <w:szCs w:val="24"/>
                <w:vertAlign w:val="subscript"/>
                <w:lang w:val="en-US" w:eastAsia="zh-CN"/>
              </w:rPr>
              <w:t>eqg</w:t>
            </w:r>
            <w:r>
              <w:rPr>
                <w:rFonts w:hint="default" w:ascii="Times New Roman" w:hAnsi="Times New Roman" w:cs="Times New Roman"/>
                <w:color w:val="auto"/>
                <w:sz w:val="24"/>
                <w:szCs w:val="24"/>
                <w:lang w:val="en-US" w:eastAsia="zh-CN"/>
              </w:rPr>
              <w:t xml:space="preserve">——建设项目声源在预测点产生的噪声贡献值，dB； </w:t>
            </w:r>
          </w:p>
          <w:p w14:paraId="3CD7EAE9">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T</w:t>
            </w:r>
            <w:r>
              <w:rPr>
                <w:rFonts w:hint="default" w:ascii="Times New Roman" w:hAnsi="Times New Roman" w:cs="Times New Roman"/>
                <w:color w:val="auto"/>
                <w:sz w:val="24"/>
                <w:szCs w:val="24"/>
                <w:lang w:val="en-US" w:eastAsia="zh-CN"/>
              </w:rPr>
              <w:t xml:space="preserve"> ——用于计算等效声级的时间，s； </w:t>
            </w:r>
          </w:p>
          <w:p w14:paraId="5FE98332">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N</w:t>
            </w:r>
            <w:r>
              <w:rPr>
                <w:rFonts w:hint="default" w:ascii="Times New Roman" w:hAnsi="Times New Roman" w:cs="Times New Roman"/>
                <w:color w:val="auto"/>
                <w:sz w:val="24"/>
                <w:szCs w:val="24"/>
                <w:lang w:val="en-US" w:eastAsia="zh-CN"/>
              </w:rPr>
              <w:t xml:space="preserve"> ——室外声源个数；</w:t>
            </w:r>
          </w:p>
          <w:p w14:paraId="344AEC2C">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t</w:t>
            </w:r>
            <w:r>
              <w:rPr>
                <w:rFonts w:hint="default" w:ascii="Times New Roman" w:hAnsi="Times New Roman" w:cs="Times New Roman"/>
                <w:i/>
                <w:iCs/>
                <w:color w:val="auto"/>
                <w:sz w:val="24"/>
                <w:szCs w:val="24"/>
                <w:vertAlign w:val="subscript"/>
                <w:lang w:val="en-US" w:eastAsia="zh-CN"/>
              </w:rPr>
              <w:t>i</w:t>
            </w:r>
            <w:r>
              <w:rPr>
                <w:rFonts w:hint="default" w:ascii="Times New Roman" w:hAnsi="Times New Roman" w:cs="Times New Roman"/>
                <w:color w:val="auto"/>
                <w:sz w:val="24"/>
                <w:szCs w:val="24"/>
                <w:lang w:val="en-US" w:eastAsia="zh-CN"/>
              </w:rPr>
              <w:t xml:space="preserve"> ——在 T 时间内 i 声源工作时间，s； </w:t>
            </w:r>
          </w:p>
          <w:p w14:paraId="596146AA">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M</w:t>
            </w:r>
            <w:r>
              <w:rPr>
                <w:rFonts w:hint="default" w:ascii="Times New Roman" w:hAnsi="Times New Roman" w:cs="Times New Roman"/>
                <w:color w:val="auto"/>
                <w:sz w:val="24"/>
                <w:szCs w:val="24"/>
                <w:lang w:val="en-US" w:eastAsia="zh-CN"/>
              </w:rPr>
              <w:t xml:space="preserve"> ——等效室外声源个数；</w:t>
            </w:r>
          </w:p>
          <w:p w14:paraId="5642F92B">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i/>
                <w:iCs/>
                <w:color w:val="auto"/>
                <w:sz w:val="24"/>
                <w:szCs w:val="24"/>
                <w:lang w:val="en-US" w:eastAsia="zh-CN"/>
              </w:rPr>
              <w:t xml:space="preserve">t </w:t>
            </w:r>
            <w:r>
              <w:rPr>
                <w:rFonts w:hint="default" w:ascii="Times New Roman" w:hAnsi="Times New Roman" w:cs="Times New Roman"/>
                <w:i/>
                <w:iCs/>
                <w:color w:val="auto"/>
                <w:sz w:val="24"/>
                <w:szCs w:val="24"/>
                <w:vertAlign w:val="subscript"/>
                <w:lang w:val="en-US" w:eastAsia="zh-CN"/>
              </w:rPr>
              <w:t>j</w:t>
            </w:r>
            <w:r>
              <w:rPr>
                <w:rFonts w:hint="default" w:ascii="Times New Roman" w:hAnsi="Times New Roman" w:cs="Times New Roman"/>
                <w:i/>
                <w:iCs/>
                <w:color w:val="auto"/>
                <w:sz w:val="24"/>
                <w:szCs w:val="24"/>
                <w:lang w:val="en-US" w:eastAsia="zh-CN"/>
              </w:rPr>
              <w:t xml:space="preserve"> </w:t>
            </w:r>
            <w:r>
              <w:rPr>
                <w:rFonts w:hint="default" w:ascii="Times New Roman" w:hAnsi="Times New Roman" w:cs="Times New Roman"/>
                <w:color w:val="auto"/>
                <w:sz w:val="24"/>
                <w:szCs w:val="24"/>
                <w:lang w:val="en-US" w:eastAsia="zh-CN"/>
              </w:rPr>
              <w:t>——在 T 时间内 j 声源工作时间，s。</w:t>
            </w:r>
          </w:p>
          <w:p w14:paraId="57DFC4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4</w:t>
            </w:r>
            <w:r>
              <w:rPr>
                <w:rFonts w:hint="default" w:ascii="Times New Roman" w:hAnsi="Times New Roman" w:cs="Times New Roman"/>
                <w:color w:val="auto"/>
                <w:sz w:val="24"/>
                <w:szCs w:val="24"/>
                <w:lang w:eastAsia="zh-CN"/>
              </w:rPr>
              <w:t>）预测值</w:t>
            </w:r>
          </w:p>
          <w:p w14:paraId="34407582">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预测点的贡献值和背景值按能量叠加方法计算得到的声级。</w:t>
            </w:r>
          </w:p>
          <w:p w14:paraId="57F92A2B">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噪声预测值（L</w:t>
            </w:r>
            <w:r>
              <w:rPr>
                <w:rFonts w:hint="default" w:ascii="Times New Roman" w:hAnsi="Times New Roman" w:cs="Times New Roman"/>
                <w:color w:val="auto"/>
                <w:sz w:val="24"/>
                <w:szCs w:val="24"/>
                <w:vertAlign w:val="subscript"/>
                <w:lang w:eastAsia="zh-CN"/>
              </w:rPr>
              <w:t>eq</w:t>
            </w:r>
            <w:r>
              <w:rPr>
                <w:rFonts w:hint="default" w:ascii="Times New Roman" w:hAnsi="Times New Roman" w:cs="Times New Roman"/>
                <w:color w:val="auto"/>
                <w:sz w:val="24"/>
                <w:szCs w:val="24"/>
                <w:lang w:eastAsia="zh-CN"/>
              </w:rPr>
              <w:t>）计算公式为：</w:t>
            </w:r>
          </w:p>
          <w:p w14:paraId="0F2D9D92">
            <w:pPr>
              <w:spacing w:line="360" w:lineRule="auto"/>
              <w:ind w:firstLine="420" w:firstLineChars="20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drawing>
                <wp:inline distT="0" distB="0" distL="114300" distR="114300">
                  <wp:extent cx="2114550" cy="390525"/>
                  <wp:effectExtent l="0" t="0" r="0" b="9525"/>
                  <wp:docPr id="48" name="图片 71" descr="165848320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1" descr="1658483204652"/>
                          <pic:cNvPicPr>
                            <a:picLocks noChangeAspect="1"/>
                          </pic:cNvPicPr>
                        </pic:nvPicPr>
                        <pic:blipFill>
                          <a:blip r:embed="rId22"/>
                          <a:stretch>
                            <a:fillRect/>
                          </a:stretch>
                        </pic:blipFill>
                        <pic:spPr>
                          <a:xfrm>
                            <a:off x="0" y="0"/>
                            <a:ext cx="2114550" cy="390525"/>
                          </a:xfrm>
                          <a:prstGeom prst="rect">
                            <a:avLst/>
                          </a:prstGeom>
                          <a:noFill/>
                          <a:ln>
                            <a:noFill/>
                          </a:ln>
                        </pic:spPr>
                      </pic:pic>
                    </a:graphicData>
                  </a:graphic>
                </wp:inline>
              </w:drawing>
            </w:r>
          </w:p>
          <w:p w14:paraId="26FBE8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w:t>
            </w:r>
            <w:r>
              <w:rPr>
                <w:rFonts w:hint="default" w:ascii="Times New Roman" w:hAnsi="Times New Roman" w:eastAsia="宋体" w:cs="Times New Roman"/>
                <w:i/>
                <w:iCs/>
                <w:color w:val="auto"/>
                <w:sz w:val="24"/>
                <w:szCs w:val="24"/>
                <w:lang w:val="en-US" w:eastAsia="zh-CN"/>
              </w:rPr>
              <w:t>Leq</w:t>
            </w:r>
            <w:r>
              <w:rPr>
                <w:rFonts w:hint="default" w:ascii="Times New Roman" w:hAnsi="Times New Roman" w:eastAsia="宋体" w:cs="Times New Roman"/>
                <w:color w:val="auto"/>
                <w:sz w:val="24"/>
                <w:szCs w:val="24"/>
                <w:lang w:val="en-US" w:eastAsia="zh-CN"/>
              </w:rPr>
              <w:t xml:space="preserve"> ——预测点的噪声预测值，dB；</w:t>
            </w:r>
          </w:p>
          <w:p w14:paraId="4ACBB62B">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iCs/>
                <w:color w:val="auto"/>
                <w:sz w:val="24"/>
                <w:szCs w:val="24"/>
                <w:lang w:val="en-US" w:eastAsia="zh-CN"/>
              </w:rPr>
              <w:t>Leqg</w:t>
            </w:r>
            <w:r>
              <w:rPr>
                <w:rFonts w:hint="default" w:ascii="Times New Roman" w:hAnsi="Times New Roman" w:eastAsia="宋体" w:cs="Times New Roman"/>
                <w:color w:val="auto"/>
                <w:sz w:val="24"/>
                <w:szCs w:val="24"/>
                <w:lang w:val="en-US" w:eastAsia="zh-CN"/>
              </w:rPr>
              <w:t xml:space="preserve">——建设项目声源在预测点产生的噪声贡献值，dB； </w:t>
            </w:r>
          </w:p>
          <w:p w14:paraId="6E44540A">
            <w:pPr>
              <w:pStyle w:val="14"/>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360" w:lineRule="auto"/>
              <w:ind w:left="0" w:leftChars="0" w:right="0" w:rightChars="0" w:firstLine="1200" w:firstLineChars="500"/>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i/>
                <w:iCs/>
                <w:color w:val="auto"/>
                <w:sz w:val="24"/>
                <w:szCs w:val="24"/>
                <w:lang w:val="en-US" w:eastAsia="zh-CN"/>
              </w:rPr>
              <w:t>Leqb</w:t>
            </w:r>
            <w:r>
              <w:rPr>
                <w:rFonts w:hint="default" w:ascii="Times New Roman" w:hAnsi="Times New Roman" w:eastAsia="宋体" w:cs="Times New Roman"/>
                <w:color w:val="auto"/>
                <w:sz w:val="24"/>
                <w:szCs w:val="24"/>
                <w:lang w:val="en-US" w:eastAsia="zh-CN"/>
              </w:rPr>
              <w:t>——预测点的背景噪声值，dB</w:t>
            </w:r>
            <w:r>
              <w:rPr>
                <w:rFonts w:hint="default" w:ascii="Times New Roman" w:hAnsi="Times New Roman" w:cs="Times New Roman"/>
                <w:color w:val="auto"/>
                <w:kern w:val="2"/>
                <w:sz w:val="24"/>
                <w:szCs w:val="24"/>
              </w:rPr>
              <w:t>。</w:t>
            </w:r>
          </w:p>
          <w:p w14:paraId="156CCB7C">
            <w:pPr>
              <w:keepNext w:val="0"/>
              <w:keepLines w:val="0"/>
              <w:pageBreakBefore w:val="0"/>
              <w:kinsoku/>
              <w:wordWrap/>
              <w:overflowPunct/>
              <w:topLinePunct w:val="0"/>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5</w:t>
            </w:r>
            <w:r>
              <w:rPr>
                <w:rFonts w:hint="default" w:ascii="Times New Roman" w:hAnsi="Times New Roman" w:cs="Times New Roman"/>
                <w:color w:val="auto"/>
                <w:sz w:val="24"/>
                <w:szCs w:val="24"/>
              </w:rPr>
              <w:t>）参数选取</w:t>
            </w:r>
          </w:p>
          <w:p w14:paraId="0EE80C52">
            <w:pPr>
              <w:keepNext w:val="0"/>
              <w:keepLines w:val="0"/>
              <w:pageBreakBefore w:val="0"/>
              <w:kinsoku/>
              <w:wordWrap/>
              <w:overflowPunct/>
              <w:topLinePunct w:val="0"/>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①执行标准</w:t>
            </w:r>
          </w:p>
          <w:p w14:paraId="404D9D97">
            <w:pPr>
              <w:keepNext w:val="0"/>
              <w:keepLines w:val="0"/>
              <w:pageBreakBefore w:val="0"/>
              <w:kinsoku/>
              <w:wordWrap/>
              <w:overflowPunct/>
              <w:topLinePunct w:val="0"/>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厂界处噪声执行《工业企业厂界环境噪声排放标准》(GB12348-2008)中3类标准。</w:t>
            </w:r>
          </w:p>
          <w:p w14:paraId="25E7EDAF">
            <w:pPr>
              <w:keepNext w:val="0"/>
              <w:keepLines w:val="0"/>
              <w:pageBreakBefore w:val="0"/>
              <w:kinsoku/>
              <w:wordWrap/>
              <w:overflowPunct/>
              <w:topLinePunct w:val="0"/>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②噪声源强</w:t>
            </w:r>
          </w:p>
          <w:p w14:paraId="65DAF488">
            <w:pPr>
              <w:pStyle w:val="69"/>
              <w:keepNext w:val="0"/>
              <w:keepLines w:val="0"/>
              <w:pageBreakBefore w:val="0"/>
              <w:kinsoku/>
              <w:wordWrap/>
              <w:overflowPunct/>
              <w:topLinePunct w:val="0"/>
              <w:bidi w:val="0"/>
              <w:adjustRightInd/>
              <w:snapToGrid/>
              <w:spacing w:beforeAutospacing="0" w:afterAutospacing="0" w:line="360" w:lineRule="auto"/>
              <w:ind w:left="0" w:leftChars="0" w:right="0" w:right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本项目噪声源主要为</w:t>
            </w:r>
            <w:r>
              <w:rPr>
                <w:rFonts w:hint="eastAsia" w:ascii="Times New Roman" w:hAnsi="Times New Roman" w:cs="Times New Roman"/>
                <w:color w:val="auto"/>
                <w:sz w:val="24"/>
                <w:szCs w:val="24"/>
                <w:lang w:val="en-US" w:eastAsia="zh-CN"/>
              </w:rPr>
              <w:t>挤压生产线</w:t>
            </w:r>
            <w:r>
              <w:rPr>
                <w:rFonts w:hint="eastAsia" w:cs="Times New Roman"/>
                <w:color w:val="auto"/>
                <w:sz w:val="24"/>
                <w:szCs w:val="24"/>
                <w:lang w:eastAsia="zh-CN"/>
              </w:rPr>
              <w:t>、</w:t>
            </w:r>
            <w:r>
              <w:rPr>
                <w:rFonts w:hint="eastAsia" w:cs="Times New Roman"/>
                <w:color w:val="auto"/>
                <w:sz w:val="24"/>
                <w:szCs w:val="24"/>
                <w:lang w:val="en-US" w:eastAsia="zh-CN"/>
              </w:rPr>
              <w:t>切割机、粉末喷涂生产线</w:t>
            </w:r>
            <w:r>
              <w:rPr>
                <w:rFonts w:hint="default" w:ascii="Times New Roman" w:hAnsi="Times New Roman" w:cs="Times New Roman"/>
                <w:color w:val="auto"/>
                <w:sz w:val="24"/>
                <w:szCs w:val="24"/>
              </w:rPr>
              <w:t>等，运营期主要噪声源及源强情况见</w:t>
            </w:r>
            <w:r>
              <w:rPr>
                <w:rFonts w:hint="eastAsia" w:cs="Times New Roman"/>
                <w:color w:val="auto"/>
                <w:sz w:val="24"/>
                <w:szCs w:val="24"/>
                <w:lang w:eastAsia="zh-CN"/>
              </w:rPr>
              <w:t>下</w:t>
            </w:r>
            <w:r>
              <w:rPr>
                <w:rFonts w:hint="default" w:ascii="Times New Roman" w:hAnsi="Times New Roman" w:cs="Times New Roman"/>
                <w:color w:val="auto"/>
                <w:sz w:val="24"/>
                <w:szCs w:val="24"/>
              </w:rPr>
              <w:t>表。</w:t>
            </w:r>
          </w:p>
          <w:p w14:paraId="38B18D82">
            <w:pPr>
              <w:pStyle w:val="71"/>
              <w:pageBreakBefore w:val="0"/>
              <w:topLinePunct w:val="0"/>
              <w:bidi w:val="0"/>
              <w:adjustRightInd/>
              <w:snapToGrid/>
              <w:spacing w:before="0" w:beforeAutospacing="0" w:after="0" w:afterAutospacing="0" w:line="240" w:lineRule="auto"/>
              <w:ind w:left="0" w:leftChars="0" w:right="0" w:right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10</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 xml:space="preserve">  </w:t>
            </w:r>
            <w:r>
              <w:rPr>
                <w:rFonts w:hint="eastAsia" w:ascii="宋体" w:hAnsi="宋体" w:eastAsia="宋体" w:cs="宋体"/>
                <w:b/>
                <w:bCs/>
                <w:color w:val="auto"/>
                <w:sz w:val="21"/>
                <w:szCs w:val="21"/>
                <w:lang w:eastAsia="zh-CN"/>
              </w:rPr>
              <w:t>项目室内</w:t>
            </w:r>
            <w:r>
              <w:rPr>
                <w:b/>
                <w:bCs/>
                <w:color w:val="auto"/>
                <w:highlight w:val="none"/>
              </w:rPr>
              <w:t>主要噪声污染源强及降噪措施一览表</w:t>
            </w:r>
            <w:r>
              <w:rPr>
                <w:rFonts w:hint="eastAsia"/>
                <w:b/>
                <w:bCs/>
                <w:color w:val="auto"/>
                <w:highlight w:val="none"/>
              </w:rPr>
              <w:t xml:space="preserve">  单位：dB（A）</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0"/>
              <w:gridCol w:w="1180"/>
              <w:gridCol w:w="645"/>
              <w:gridCol w:w="435"/>
              <w:gridCol w:w="420"/>
              <w:gridCol w:w="540"/>
              <w:gridCol w:w="525"/>
              <w:gridCol w:w="735"/>
              <w:gridCol w:w="900"/>
              <w:gridCol w:w="615"/>
              <w:gridCol w:w="615"/>
              <w:gridCol w:w="672"/>
              <w:gridCol w:w="673"/>
            </w:tblGrid>
            <w:tr w14:paraId="39122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vMerge w:val="restart"/>
                  <w:noWrap w:val="0"/>
                  <w:vAlign w:val="center"/>
                </w:tcPr>
                <w:p w14:paraId="15C46D57">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序号</w:t>
                  </w:r>
                </w:p>
              </w:tc>
              <w:tc>
                <w:tcPr>
                  <w:tcW w:w="718" w:type="pct"/>
                  <w:vMerge w:val="restart"/>
                  <w:noWrap w:val="0"/>
                  <w:vAlign w:val="center"/>
                </w:tcPr>
                <w:p w14:paraId="7548D945">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声源名称</w:t>
                  </w:r>
                </w:p>
              </w:tc>
              <w:tc>
                <w:tcPr>
                  <w:tcW w:w="392" w:type="pct"/>
                  <w:noWrap w:val="0"/>
                  <w:vAlign w:val="center"/>
                </w:tcPr>
                <w:p w14:paraId="66DC1967">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声源源强</w:t>
                  </w:r>
                </w:p>
              </w:tc>
              <w:tc>
                <w:tcPr>
                  <w:tcW w:w="264" w:type="pct"/>
                  <w:vMerge w:val="restart"/>
                  <w:noWrap w:val="0"/>
                  <w:vAlign w:val="center"/>
                </w:tcPr>
                <w:p w14:paraId="39073359">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声源控制措施</w:t>
                  </w:r>
                </w:p>
              </w:tc>
              <w:tc>
                <w:tcPr>
                  <w:tcW w:w="903" w:type="pct"/>
                  <w:gridSpan w:val="3"/>
                  <w:noWrap w:val="0"/>
                  <w:vAlign w:val="center"/>
                </w:tcPr>
                <w:p w14:paraId="572F0322">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空间相对位置/m</w:t>
                  </w:r>
                </w:p>
              </w:tc>
              <w:tc>
                <w:tcPr>
                  <w:tcW w:w="447" w:type="pct"/>
                  <w:vMerge w:val="restart"/>
                  <w:noWrap w:val="0"/>
                  <w:vAlign w:val="center"/>
                </w:tcPr>
                <w:p w14:paraId="4F9235BF">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距室内边界距离/m</w:t>
                  </w:r>
                </w:p>
              </w:tc>
              <w:tc>
                <w:tcPr>
                  <w:tcW w:w="547" w:type="pct"/>
                  <w:vMerge w:val="restart"/>
                  <w:noWrap w:val="0"/>
                  <w:vAlign w:val="center"/>
                </w:tcPr>
                <w:p w14:paraId="78BD215F">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pacing w:val="-5"/>
                      <w:sz w:val="18"/>
                      <w:szCs w:val="18"/>
                    </w:rPr>
                    <w:t>室内边界</w:t>
                  </w:r>
                  <w:r>
                    <w:rPr>
                      <w:rFonts w:ascii="Times New Roman" w:hAnsi="Times New Roman" w:eastAsia="宋体" w:cs="Times New Roman"/>
                      <w:b/>
                      <w:bCs/>
                      <w:color w:val="auto"/>
                      <w:sz w:val="18"/>
                      <w:szCs w:val="18"/>
                    </w:rPr>
                    <w:t>声级/dB(A)</w:t>
                  </w:r>
                </w:p>
              </w:tc>
              <w:tc>
                <w:tcPr>
                  <w:tcW w:w="374" w:type="pct"/>
                  <w:vMerge w:val="restart"/>
                  <w:noWrap w:val="0"/>
                  <w:vAlign w:val="center"/>
                </w:tcPr>
                <w:p w14:paraId="785F1F83">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lang w:val="en-US" w:eastAsia="zh-CN"/>
                    </w:rPr>
                  </w:pPr>
                  <w:r>
                    <w:rPr>
                      <w:rFonts w:ascii="Times New Roman" w:hAnsi="Times New Roman" w:eastAsia="宋体" w:cs="Times New Roman"/>
                      <w:b/>
                      <w:bCs/>
                      <w:color w:val="auto"/>
                      <w:sz w:val="18"/>
                      <w:szCs w:val="18"/>
                    </w:rPr>
                    <w:t>运行时段</w:t>
                  </w:r>
                  <w:r>
                    <w:rPr>
                      <w:rFonts w:hint="eastAsia" w:cs="Times New Roman"/>
                      <w:b/>
                      <w:bCs/>
                      <w:color w:val="auto"/>
                      <w:sz w:val="18"/>
                      <w:szCs w:val="18"/>
                      <w:lang w:val="en-US" w:eastAsia="zh-CN"/>
                    </w:rPr>
                    <w:t>h/d</w:t>
                  </w:r>
                </w:p>
              </w:tc>
              <w:tc>
                <w:tcPr>
                  <w:tcW w:w="374" w:type="pct"/>
                  <w:vMerge w:val="restart"/>
                  <w:noWrap w:val="0"/>
                  <w:vAlign w:val="center"/>
                </w:tcPr>
                <w:p w14:paraId="0FD3426D">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建筑物插入损失 / dB(A)</w:t>
                  </w:r>
                </w:p>
              </w:tc>
              <w:tc>
                <w:tcPr>
                  <w:tcW w:w="818" w:type="pct"/>
                  <w:gridSpan w:val="2"/>
                  <w:noWrap w:val="0"/>
                  <w:vAlign w:val="center"/>
                </w:tcPr>
                <w:p w14:paraId="6AF8C926">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建筑物外噪声</w:t>
                  </w:r>
                </w:p>
              </w:tc>
            </w:tr>
            <w:tr w14:paraId="0104B7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8" w:type="pct"/>
                  <w:vMerge w:val="continue"/>
                  <w:noWrap w:val="0"/>
                  <w:vAlign w:val="center"/>
                </w:tcPr>
                <w:p w14:paraId="0962E3AA">
                  <w:pPr>
                    <w:keepNext w:val="0"/>
                    <w:keepLines w:val="0"/>
                    <w:pageBreakBefore w:val="0"/>
                    <w:kinsoku/>
                    <w:wordWrap/>
                    <w:overflowPunct/>
                    <w:topLinePunct w:val="0"/>
                    <w:bidi w:val="0"/>
                    <w:adjustRightInd/>
                    <w:snapToGrid/>
                    <w:spacing w:line="240" w:lineRule="auto"/>
                    <w:ind w:firstLine="0" w:firstLineChars="0"/>
                    <w:jc w:val="center"/>
                    <w:textAlignment w:val="auto"/>
                    <w:rPr>
                      <w:b/>
                      <w:bCs/>
                      <w:color w:val="auto"/>
                      <w:sz w:val="18"/>
                      <w:szCs w:val="18"/>
                    </w:rPr>
                  </w:pPr>
                </w:p>
              </w:tc>
              <w:tc>
                <w:tcPr>
                  <w:tcW w:w="718" w:type="pct"/>
                  <w:vMerge w:val="continue"/>
                  <w:noWrap w:val="0"/>
                  <w:vAlign w:val="center"/>
                </w:tcPr>
                <w:p w14:paraId="59ECFAD9">
                  <w:pPr>
                    <w:keepNext w:val="0"/>
                    <w:keepLines w:val="0"/>
                    <w:pageBreakBefore w:val="0"/>
                    <w:kinsoku/>
                    <w:wordWrap/>
                    <w:overflowPunct/>
                    <w:topLinePunct w:val="0"/>
                    <w:bidi w:val="0"/>
                    <w:adjustRightInd/>
                    <w:snapToGrid/>
                    <w:spacing w:line="240" w:lineRule="auto"/>
                    <w:ind w:firstLine="0" w:firstLineChars="0"/>
                    <w:jc w:val="center"/>
                    <w:textAlignment w:val="auto"/>
                    <w:rPr>
                      <w:b/>
                      <w:bCs/>
                      <w:color w:val="auto"/>
                      <w:sz w:val="18"/>
                      <w:szCs w:val="18"/>
                    </w:rPr>
                  </w:pPr>
                </w:p>
              </w:tc>
              <w:tc>
                <w:tcPr>
                  <w:tcW w:w="392" w:type="pct"/>
                  <w:noWrap w:val="0"/>
                  <w:vAlign w:val="center"/>
                </w:tcPr>
                <w:p w14:paraId="2FCED79A">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声功率级/dB(A)</w:t>
                  </w:r>
                </w:p>
              </w:tc>
              <w:tc>
                <w:tcPr>
                  <w:tcW w:w="264" w:type="pct"/>
                  <w:vMerge w:val="continue"/>
                  <w:noWrap w:val="0"/>
                  <w:vAlign w:val="center"/>
                </w:tcPr>
                <w:p w14:paraId="2E7AD0EF">
                  <w:pPr>
                    <w:keepNext w:val="0"/>
                    <w:keepLines w:val="0"/>
                    <w:pageBreakBefore w:val="0"/>
                    <w:kinsoku/>
                    <w:wordWrap/>
                    <w:overflowPunct/>
                    <w:topLinePunct w:val="0"/>
                    <w:bidi w:val="0"/>
                    <w:adjustRightInd/>
                    <w:snapToGrid/>
                    <w:spacing w:line="240" w:lineRule="auto"/>
                    <w:ind w:firstLine="0" w:firstLineChars="0"/>
                    <w:jc w:val="center"/>
                    <w:textAlignment w:val="auto"/>
                    <w:rPr>
                      <w:b/>
                      <w:bCs/>
                      <w:color w:val="auto"/>
                      <w:sz w:val="18"/>
                      <w:szCs w:val="18"/>
                    </w:rPr>
                  </w:pPr>
                </w:p>
              </w:tc>
              <w:tc>
                <w:tcPr>
                  <w:tcW w:w="255" w:type="pct"/>
                  <w:noWrap w:val="0"/>
                  <w:vAlign w:val="center"/>
                </w:tcPr>
                <w:p w14:paraId="720F5BE7">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i/>
                      <w:color w:val="auto"/>
                      <w:sz w:val="18"/>
                      <w:szCs w:val="18"/>
                    </w:rPr>
                  </w:pPr>
                  <w:r>
                    <w:rPr>
                      <w:rFonts w:ascii="Times New Roman" w:hAnsi="Times New Roman" w:eastAsia="宋体" w:cs="Times New Roman"/>
                      <w:b/>
                      <w:bCs/>
                      <w:i/>
                      <w:color w:val="auto"/>
                      <w:sz w:val="18"/>
                      <w:szCs w:val="18"/>
                    </w:rPr>
                    <w:t>X</w:t>
                  </w:r>
                </w:p>
              </w:tc>
              <w:tc>
                <w:tcPr>
                  <w:tcW w:w="328" w:type="pct"/>
                  <w:noWrap w:val="0"/>
                  <w:vAlign w:val="center"/>
                </w:tcPr>
                <w:p w14:paraId="2086341F">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i/>
                      <w:color w:val="auto"/>
                      <w:sz w:val="18"/>
                      <w:szCs w:val="18"/>
                    </w:rPr>
                  </w:pPr>
                  <w:r>
                    <w:rPr>
                      <w:rFonts w:ascii="Times New Roman" w:hAnsi="Times New Roman" w:eastAsia="宋体" w:cs="Times New Roman"/>
                      <w:b/>
                      <w:bCs/>
                      <w:i/>
                      <w:color w:val="auto"/>
                      <w:sz w:val="18"/>
                      <w:szCs w:val="18"/>
                    </w:rPr>
                    <w:t>Y</w:t>
                  </w:r>
                </w:p>
              </w:tc>
              <w:tc>
                <w:tcPr>
                  <w:tcW w:w="319" w:type="pct"/>
                  <w:noWrap w:val="0"/>
                  <w:vAlign w:val="center"/>
                </w:tcPr>
                <w:p w14:paraId="58B4248B">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i/>
                      <w:color w:val="auto"/>
                      <w:sz w:val="18"/>
                      <w:szCs w:val="18"/>
                    </w:rPr>
                  </w:pPr>
                  <w:r>
                    <w:rPr>
                      <w:rFonts w:ascii="Times New Roman" w:hAnsi="Times New Roman" w:eastAsia="宋体" w:cs="Times New Roman"/>
                      <w:b/>
                      <w:bCs/>
                      <w:i/>
                      <w:color w:val="auto"/>
                      <w:sz w:val="18"/>
                      <w:szCs w:val="18"/>
                    </w:rPr>
                    <w:t>Z</w:t>
                  </w:r>
                </w:p>
              </w:tc>
              <w:tc>
                <w:tcPr>
                  <w:tcW w:w="447" w:type="pct"/>
                  <w:vMerge w:val="continue"/>
                  <w:noWrap w:val="0"/>
                  <w:vAlign w:val="center"/>
                </w:tcPr>
                <w:p w14:paraId="6ACC2EB0">
                  <w:pPr>
                    <w:keepNext w:val="0"/>
                    <w:keepLines w:val="0"/>
                    <w:pageBreakBefore w:val="0"/>
                    <w:kinsoku/>
                    <w:wordWrap/>
                    <w:overflowPunct/>
                    <w:topLinePunct w:val="0"/>
                    <w:bidi w:val="0"/>
                    <w:adjustRightInd/>
                    <w:snapToGrid/>
                    <w:spacing w:line="240" w:lineRule="auto"/>
                    <w:ind w:firstLine="0" w:firstLineChars="0"/>
                    <w:jc w:val="center"/>
                    <w:textAlignment w:val="auto"/>
                    <w:rPr>
                      <w:b/>
                      <w:bCs/>
                      <w:color w:val="auto"/>
                      <w:sz w:val="18"/>
                      <w:szCs w:val="18"/>
                    </w:rPr>
                  </w:pPr>
                </w:p>
              </w:tc>
              <w:tc>
                <w:tcPr>
                  <w:tcW w:w="547" w:type="pct"/>
                  <w:vMerge w:val="continue"/>
                  <w:noWrap w:val="0"/>
                  <w:vAlign w:val="center"/>
                </w:tcPr>
                <w:p w14:paraId="253782B9">
                  <w:pPr>
                    <w:keepNext w:val="0"/>
                    <w:keepLines w:val="0"/>
                    <w:pageBreakBefore w:val="0"/>
                    <w:kinsoku/>
                    <w:wordWrap/>
                    <w:overflowPunct/>
                    <w:topLinePunct w:val="0"/>
                    <w:bidi w:val="0"/>
                    <w:adjustRightInd/>
                    <w:snapToGrid/>
                    <w:spacing w:line="240" w:lineRule="auto"/>
                    <w:ind w:firstLine="0" w:firstLineChars="0"/>
                    <w:jc w:val="center"/>
                    <w:textAlignment w:val="auto"/>
                    <w:rPr>
                      <w:b/>
                      <w:bCs/>
                      <w:color w:val="auto"/>
                      <w:sz w:val="18"/>
                      <w:szCs w:val="18"/>
                    </w:rPr>
                  </w:pPr>
                </w:p>
              </w:tc>
              <w:tc>
                <w:tcPr>
                  <w:tcW w:w="374" w:type="pct"/>
                  <w:vMerge w:val="continue"/>
                  <w:noWrap w:val="0"/>
                  <w:vAlign w:val="center"/>
                </w:tcPr>
                <w:p w14:paraId="50829DC1">
                  <w:pPr>
                    <w:keepNext w:val="0"/>
                    <w:keepLines w:val="0"/>
                    <w:pageBreakBefore w:val="0"/>
                    <w:kinsoku/>
                    <w:wordWrap/>
                    <w:overflowPunct/>
                    <w:topLinePunct w:val="0"/>
                    <w:bidi w:val="0"/>
                    <w:adjustRightInd/>
                    <w:snapToGrid/>
                    <w:spacing w:line="240" w:lineRule="auto"/>
                    <w:ind w:firstLine="0" w:firstLineChars="0"/>
                    <w:jc w:val="center"/>
                    <w:textAlignment w:val="auto"/>
                    <w:rPr>
                      <w:b/>
                      <w:bCs/>
                      <w:color w:val="auto"/>
                      <w:sz w:val="18"/>
                      <w:szCs w:val="18"/>
                    </w:rPr>
                  </w:pPr>
                </w:p>
              </w:tc>
              <w:tc>
                <w:tcPr>
                  <w:tcW w:w="374" w:type="pct"/>
                  <w:vMerge w:val="continue"/>
                  <w:noWrap w:val="0"/>
                  <w:vAlign w:val="center"/>
                </w:tcPr>
                <w:p w14:paraId="0083AF21">
                  <w:pPr>
                    <w:keepNext w:val="0"/>
                    <w:keepLines w:val="0"/>
                    <w:pageBreakBefore w:val="0"/>
                    <w:kinsoku/>
                    <w:wordWrap/>
                    <w:overflowPunct/>
                    <w:topLinePunct w:val="0"/>
                    <w:bidi w:val="0"/>
                    <w:adjustRightInd/>
                    <w:snapToGrid/>
                    <w:spacing w:line="240" w:lineRule="auto"/>
                    <w:ind w:firstLine="0" w:firstLineChars="0"/>
                    <w:jc w:val="center"/>
                    <w:textAlignment w:val="auto"/>
                    <w:rPr>
                      <w:b/>
                      <w:bCs/>
                      <w:color w:val="auto"/>
                      <w:sz w:val="18"/>
                      <w:szCs w:val="18"/>
                    </w:rPr>
                  </w:pPr>
                </w:p>
              </w:tc>
              <w:tc>
                <w:tcPr>
                  <w:tcW w:w="409" w:type="pct"/>
                  <w:noWrap w:val="0"/>
                  <w:vAlign w:val="center"/>
                </w:tcPr>
                <w:p w14:paraId="51A44CF2">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声压级/dB(A)</w:t>
                  </w:r>
                </w:p>
              </w:tc>
              <w:tc>
                <w:tcPr>
                  <w:tcW w:w="409" w:type="pct"/>
                  <w:noWrap w:val="0"/>
                  <w:vAlign w:val="center"/>
                </w:tcPr>
                <w:p w14:paraId="33BBBBCB">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b/>
                      <w:bCs/>
                      <w:color w:val="auto"/>
                      <w:sz w:val="18"/>
                      <w:szCs w:val="18"/>
                      <w:lang w:val="en-US"/>
                    </w:rPr>
                  </w:pPr>
                  <w:r>
                    <w:rPr>
                      <w:rFonts w:ascii="Times New Roman" w:hAnsi="Times New Roman" w:eastAsia="宋体" w:cs="Times New Roman"/>
                      <w:b/>
                      <w:bCs/>
                      <w:color w:val="auto"/>
                      <w:sz w:val="18"/>
                      <w:szCs w:val="18"/>
                    </w:rPr>
                    <w:t>建筑物外距离</w:t>
                  </w:r>
                  <w:r>
                    <w:rPr>
                      <w:rFonts w:ascii="Times New Roman" w:hAnsi="Times New Roman" w:eastAsia="宋体" w:cs="Times New Roman"/>
                      <w:b/>
                      <w:bCs/>
                      <w:color w:val="auto"/>
                      <w:sz w:val="18"/>
                      <w:szCs w:val="18"/>
                      <w:lang w:val="en-US"/>
                    </w:rPr>
                    <w:t>/m</w:t>
                  </w:r>
                </w:p>
              </w:tc>
            </w:tr>
            <w:tr w14:paraId="2ABB13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0E8299FA">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ascii="Times New Roman" w:hAnsi="Times New Roman" w:eastAsia="宋体" w:cs="Times New Roman"/>
                      <w:color w:val="auto"/>
                      <w:sz w:val="18"/>
                      <w:szCs w:val="18"/>
                    </w:rPr>
                    <w:t>1</w:t>
                  </w:r>
                </w:p>
              </w:tc>
              <w:tc>
                <w:tcPr>
                  <w:tcW w:w="718" w:type="pct"/>
                  <w:shd w:val="clear" w:color="auto" w:fill="auto"/>
                  <w:noWrap w:val="0"/>
                  <w:vAlign w:val="center"/>
                </w:tcPr>
                <w:p w14:paraId="5AE4BD3E">
                  <w:pPr>
                    <w:pStyle w:val="52"/>
                    <w:rPr>
                      <w:rFonts w:hint="default" w:ascii="Times New Roman" w:hAnsi="Times New Roman" w:eastAsia="Times New Roman" w:cs="Times New Roman"/>
                      <w:color w:val="auto"/>
                      <w:kern w:val="2"/>
                      <w:sz w:val="21"/>
                      <w:szCs w:val="24"/>
                      <w:lang w:val="en-US" w:eastAsia="zh-CN" w:bidi="ar-SA"/>
                    </w:rPr>
                  </w:pPr>
                  <w:r>
                    <w:rPr>
                      <w:color w:val="auto"/>
                    </w:rPr>
                    <w:t>清</w:t>
                  </w:r>
                  <w:r>
                    <w:rPr>
                      <w:rFonts w:hint="eastAsia" w:eastAsia="宋体"/>
                      <w:color w:val="auto"/>
                      <w:lang w:val="en-US" w:eastAsia="zh-CN"/>
                    </w:rPr>
                    <w:t>洗</w:t>
                  </w:r>
                  <w:r>
                    <w:rPr>
                      <w:color w:val="auto"/>
                    </w:rPr>
                    <w:t>机</w:t>
                  </w:r>
                </w:p>
              </w:tc>
              <w:tc>
                <w:tcPr>
                  <w:tcW w:w="392" w:type="pct"/>
                  <w:noWrap w:val="0"/>
                  <w:vAlign w:val="center"/>
                </w:tcPr>
                <w:p w14:paraId="14E9A6CB">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80</w:t>
                  </w:r>
                </w:p>
              </w:tc>
              <w:tc>
                <w:tcPr>
                  <w:tcW w:w="264" w:type="pct"/>
                  <w:vMerge w:val="restart"/>
                  <w:noWrap w:val="0"/>
                  <w:vAlign w:val="center"/>
                </w:tcPr>
                <w:p w14:paraId="6A858A33">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rPr>
                    <w:t>减震、隔声</w:t>
                  </w:r>
                </w:p>
              </w:tc>
              <w:tc>
                <w:tcPr>
                  <w:tcW w:w="255" w:type="pct"/>
                  <w:noWrap w:val="0"/>
                  <w:vAlign w:val="center"/>
                </w:tcPr>
                <w:p w14:paraId="496076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23</w:t>
                  </w:r>
                </w:p>
              </w:tc>
              <w:tc>
                <w:tcPr>
                  <w:tcW w:w="328" w:type="pct"/>
                  <w:noWrap w:val="0"/>
                  <w:vAlign w:val="center"/>
                </w:tcPr>
                <w:p w14:paraId="4F3A3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19</w:t>
                  </w:r>
                </w:p>
              </w:tc>
              <w:tc>
                <w:tcPr>
                  <w:tcW w:w="319" w:type="pct"/>
                  <w:noWrap w:val="0"/>
                  <w:vAlign w:val="center"/>
                </w:tcPr>
                <w:p w14:paraId="4512BA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w:t>
                  </w:r>
                </w:p>
              </w:tc>
              <w:tc>
                <w:tcPr>
                  <w:tcW w:w="447" w:type="pct"/>
                  <w:noWrap w:val="0"/>
                  <w:vAlign w:val="center"/>
                </w:tcPr>
                <w:p w14:paraId="196DB85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w:t>
                  </w:r>
                </w:p>
              </w:tc>
              <w:tc>
                <w:tcPr>
                  <w:tcW w:w="547" w:type="pct"/>
                  <w:noWrap w:val="0"/>
                  <w:vAlign w:val="center"/>
                </w:tcPr>
                <w:p w14:paraId="1450F07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66</w:t>
                  </w:r>
                </w:p>
              </w:tc>
              <w:tc>
                <w:tcPr>
                  <w:tcW w:w="374" w:type="pct"/>
                  <w:vMerge w:val="restart"/>
                  <w:noWrap w:val="0"/>
                  <w:vAlign w:val="center"/>
                </w:tcPr>
                <w:p w14:paraId="12485129">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16</w:t>
                  </w:r>
                </w:p>
              </w:tc>
              <w:tc>
                <w:tcPr>
                  <w:tcW w:w="374" w:type="pct"/>
                  <w:vMerge w:val="restart"/>
                  <w:noWrap w:val="0"/>
                  <w:vAlign w:val="center"/>
                </w:tcPr>
                <w:p w14:paraId="0ACAB296">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w:t>
                  </w:r>
                </w:p>
              </w:tc>
              <w:tc>
                <w:tcPr>
                  <w:tcW w:w="409" w:type="pct"/>
                  <w:noWrap w:val="0"/>
                  <w:vAlign w:val="center"/>
                </w:tcPr>
                <w:p w14:paraId="6A12A01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46</w:t>
                  </w:r>
                </w:p>
              </w:tc>
              <w:tc>
                <w:tcPr>
                  <w:tcW w:w="409" w:type="pct"/>
                  <w:noWrap w:val="0"/>
                  <w:vAlign w:val="center"/>
                </w:tcPr>
                <w:p w14:paraId="3109CBB4">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ascii="Times New Roman" w:hAnsi="Times New Roman" w:eastAsia="宋体" w:cs="Times New Roman"/>
                      <w:color w:val="auto"/>
                      <w:sz w:val="18"/>
                      <w:szCs w:val="18"/>
                      <w:lang w:val="en-US"/>
                    </w:rPr>
                    <w:t>1</w:t>
                  </w:r>
                </w:p>
              </w:tc>
            </w:tr>
            <w:tr w14:paraId="041E28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3BE5E473">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ascii="Times New Roman" w:hAnsi="Times New Roman" w:eastAsia="宋体" w:cs="Times New Roman"/>
                      <w:color w:val="auto"/>
                      <w:sz w:val="18"/>
                      <w:szCs w:val="18"/>
                      <w:lang w:val="en-US"/>
                    </w:rPr>
                    <w:t>2</w:t>
                  </w:r>
                </w:p>
              </w:tc>
              <w:tc>
                <w:tcPr>
                  <w:tcW w:w="718" w:type="pct"/>
                  <w:shd w:val="clear" w:color="auto" w:fill="auto"/>
                  <w:noWrap w:val="0"/>
                  <w:vAlign w:val="center"/>
                </w:tcPr>
                <w:p w14:paraId="0E0DA33F">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撕碎机</w:t>
                  </w:r>
                </w:p>
              </w:tc>
              <w:tc>
                <w:tcPr>
                  <w:tcW w:w="392" w:type="pct"/>
                  <w:noWrap w:val="0"/>
                  <w:vAlign w:val="center"/>
                </w:tcPr>
                <w:p w14:paraId="4AB11291">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35730CA8">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rPr>
                  </w:pPr>
                </w:p>
              </w:tc>
              <w:tc>
                <w:tcPr>
                  <w:tcW w:w="255" w:type="pct"/>
                  <w:noWrap w:val="0"/>
                  <w:vAlign w:val="center"/>
                </w:tcPr>
                <w:p w14:paraId="40BA0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53</w:t>
                  </w:r>
                </w:p>
              </w:tc>
              <w:tc>
                <w:tcPr>
                  <w:tcW w:w="328" w:type="pct"/>
                  <w:noWrap w:val="0"/>
                  <w:vAlign w:val="center"/>
                </w:tcPr>
                <w:p w14:paraId="7A254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13</w:t>
                  </w:r>
                </w:p>
              </w:tc>
              <w:tc>
                <w:tcPr>
                  <w:tcW w:w="319" w:type="pct"/>
                  <w:noWrap w:val="0"/>
                  <w:vAlign w:val="center"/>
                </w:tcPr>
                <w:p w14:paraId="39156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w:t>
                  </w:r>
                </w:p>
              </w:tc>
              <w:tc>
                <w:tcPr>
                  <w:tcW w:w="447" w:type="pct"/>
                  <w:noWrap w:val="0"/>
                  <w:vAlign w:val="center"/>
                </w:tcPr>
                <w:p w14:paraId="21EB9C1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25</w:t>
                  </w:r>
                </w:p>
              </w:tc>
              <w:tc>
                <w:tcPr>
                  <w:tcW w:w="547" w:type="pct"/>
                  <w:noWrap w:val="0"/>
                  <w:vAlign w:val="center"/>
                </w:tcPr>
                <w:p w14:paraId="00869A3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47</w:t>
                  </w:r>
                </w:p>
              </w:tc>
              <w:tc>
                <w:tcPr>
                  <w:tcW w:w="374" w:type="pct"/>
                  <w:vMerge w:val="continue"/>
                  <w:noWrap w:val="0"/>
                  <w:vAlign w:val="center"/>
                </w:tcPr>
                <w:p w14:paraId="2F2D3E99">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747B14CD">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p>
              </w:tc>
              <w:tc>
                <w:tcPr>
                  <w:tcW w:w="409" w:type="pct"/>
                  <w:noWrap w:val="0"/>
                  <w:vAlign w:val="center"/>
                </w:tcPr>
                <w:p w14:paraId="71F8925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27</w:t>
                  </w:r>
                </w:p>
              </w:tc>
              <w:tc>
                <w:tcPr>
                  <w:tcW w:w="409" w:type="pct"/>
                  <w:noWrap w:val="0"/>
                  <w:vAlign w:val="center"/>
                </w:tcPr>
                <w:p w14:paraId="1F7D255C">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ascii="Times New Roman" w:hAnsi="Times New Roman" w:eastAsia="宋体" w:cs="Times New Roman"/>
                      <w:color w:val="auto"/>
                      <w:sz w:val="18"/>
                      <w:szCs w:val="18"/>
                      <w:lang w:val="en-US"/>
                    </w:rPr>
                    <w:t>1</w:t>
                  </w:r>
                </w:p>
              </w:tc>
            </w:tr>
            <w:tr w14:paraId="1F9B2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2968A82E">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rPr>
                    <w:t>3</w:t>
                  </w:r>
                </w:p>
              </w:tc>
              <w:tc>
                <w:tcPr>
                  <w:tcW w:w="718" w:type="pct"/>
                  <w:shd w:val="clear" w:color="auto" w:fill="auto"/>
                  <w:noWrap w:val="0"/>
                  <w:vAlign w:val="center"/>
                </w:tcPr>
                <w:p w14:paraId="6FE4CE24">
                  <w:pPr>
                    <w:pStyle w:val="52"/>
                    <w:rPr>
                      <w:rFonts w:hint="default" w:ascii="Times New Roman" w:hAnsi="Times New Roman" w:eastAsia="Times New Roman" w:cs="Times New Roman"/>
                      <w:color w:val="auto"/>
                      <w:kern w:val="2"/>
                      <w:sz w:val="21"/>
                      <w:szCs w:val="24"/>
                      <w:lang w:val="en-US" w:eastAsia="zh-CN" w:bidi="ar-SA"/>
                    </w:rPr>
                  </w:pPr>
                  <w:r>
                    <w:rPr>
                      <w:color w:val="auto"/>
                    </w:rPr>
                    <w:t>自动上料机</w:t>
                  </w:r>
                </w:p>
              </w:tc>
              <w:tc>
                <w:tcPr>
                  <w:tcW w:w="392" w:type="pct"/>
                  <w:noWrap w:val="0"/>
                  <w:vAlign w:val="center"/>
                </w:tcPr>
                <w:p w14:paraId="2C21953A">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80</w:t>
                  </w:r>
                </w:p>
              </w:tc>
              <w:tc>
                <w:tcPr>
                  <w:tcW w:w="264" w:type="pct"/>
                  <w:vMerge w:val="continue"/>
                  <w:noWrap w:val="0"/>
                  <w:vAlign w:val="center"/>
                </w:tcPr>
                <w:p w14:paraId="54CA56C4">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rPr>
                  </w:pPr>
                </w:p>
              </w:tc>
              <w:tc>
                <w:tcPr>
                  <w:tcW w:w="255" w:type="pct"/>
                  <w:noWrap w:val="0"/>
                  <w:vAlign w:val="center"/>
                </w:tcPr>
                <w:p w14:paraId="77884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40</w:t>
                  </w:r>
                </w:p>
              </w:tc>
              <w:tc>
                <w:tcPr>
                  <w:tcW w:w="328" w:type="pct"/>
                  <w:noWrap w:val="0"/>
                  <w:vAlign w:val="center"/>
                </w:tcPr>
                <w:p w14:paraId="000F45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46</w:t>
                  </w:r>
                </w:p>
              </w:tc>
              <w:tc>
                <w:tcPr>
                  <w:tcW w:w="319" w:type="pct"/>
                  <w:noWrap w:val="0"/>
                  <w:vAlign w:val="center"/>
                </w:tcPr>
                <w:p w14:paraId="4544C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w:t>
                  </w:r>
                </w:p>
              </w:tc>
              <w:tc>
                <w:tcPr>
                  <w:tcW w:w="447" w:type="pct"/>
                  <w:noWrap w:val="0"/>
                  <w:vAlign w:val="center"/>
                </w:tcPr>
                <w:p w14:paraId="47330BB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23</w:t>
                  </w:r>
                </w:p>
              </w:tc>
              <w:tc>
                <w:tcPr>
                  <w:tcW w:w="547" w:type="pct"/>
                  <w:noWrap w:val="0"/>
                  <w:vAlign w:val="center"/>
                </w:tcPr>
                <w:p w14:paraId="705EAA1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52.7</w:t>
                  </w:r>
                </w:p>
              </w:tc>
              <w:tc>
                <w:tcPr>
                  <w:tcW w:w="374" w:type="pct"/>
                  <w:vMerge w:val="continue"/>
                  <w:noWrap w:val="0"/>
                  <w:vAlign w:val="center"/>
                </w:tcPr>
                <w:p w14:paraId="43931526">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rPr>
                  </w:pPr>
                </w:p>
              </w:tc>
              <w:tc>
                <w:tcPr>
                  <w:tcW w:w="374" w:type="pct"/>
                  <w:vMerge w:val="continue"/>
                  <w:noWrap w:val="0"/>
                  <w:vAlign w:val="center"/>
                </w:tcPr>
                <w:p w14:paraId="61C820A6">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p>
              </w:tc>
              <w:tc>
                <w:tcPr>
                  <w:tcW w:w="409" w:type="pct"/>
                  <w:noWrap w:val="0"/>
                  <w:vAlign w:val="center"/>
                </w:tcPr>
                <w:p w14:paraId="662F402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32.7</w:t>
                  </w:r>
                </w:p>
              </w:tc>
              <w:tc>
                <w:tcPr>
                  <w:tcW w:w="409" w:type="pct"/>
                  <w:noWrap w:val="0"/>
                  <w:vAlign w:val="center"/>
                </w:tcPr>
                <w:p w14:paraId="05AE3D45">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rPr>
                    <w:t>1</w:t>
                  </w:r>
                </w:p>
              </w:tc>
            </w:tr>
            <w:tr w14:paraId="0B2EB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46BCB332">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rPr>
                    <w:t>4</w:t>
                  </w:r>
                </w:p>
              </w:tc>
              <w:tc>
                <w:tcPr>
                  <w:tcW w:w="718" w:type="pct"/>
                  <w:shd w:val="clear" w:color="auto" w:fill="auto"/>
                  <w:noWrap w:val="0"/>
                  <w:vAlign w:val="center"/>
                </w:tcPr>
                <w:p w14:paraId="3D133497">
                  <w:pPr>
                    <w:pStyle w:val="52"/>
                    <w:rPr>
                      <w:rFonts w:hint="eastAsia" w:ascii="Times New Roman" w:hAnsi="Times New Roman" w:eastAsia="Times New Roman" w:cs="Times New Roman"/>
                      <w:color w:val="auto"/>
                      <w:kern w:val="2"/>
                      <w:sz w:val="21"/>
                      <w:szCs w:val="24"/>
                      <w:lang w:val="en-US" w:eastAsia="zh-CN" w:bidi="ar-SA"/>
                    </w:rPr>
                  </w:pPr>
                  <w:r>
                    <w:rPr>
                      <w:color w:val="auto"/>
                    </w:rPr>
                    <w:t>造粒机</w:t>
                  </w:r>
                </w:p>
              </w:tc>
              <w:tc>
                <w:tcPr>
                  <w:tcW w:w="392" w:type="pct"/>
                  <w:noWrap w:val="0"/>
                  <w:vAlign w:val="center"/>
                </w:tcPr>
                <w:p w14:paraId="7DDD016F">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2059E214">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rPr>
                  </w:pPr>
                </w:p>
              </w:tc>
              <w:tc>
                <w:tcPr>
                  <w:tcW w:w="255" w:type="pct"/>
                  <w:noWrap w:val="0"/>
                  <w:vAlign w:val="center"/>
                </w:tcPr>
                <w:p w14:paraId="312238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37</w:t>
                  </w:r>
                </w:p>
              </w:tc>
              <w:tc>
                <w:tcPr>
                  <w:tcW w:w="328" w:type="pct"/>
                  <w:noWrap w:val="0"/>
                  <w:vAlign w:val="center"/>
                </w:tcPr>
                <w:p w14:paraId="044E5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60</w:t>
                  </w:r>
                </w:p>
              </w:tc>
              <w:tc>
                <w:tcPr>
                  <w:tcW w:w="319" w:type="pct"/>
                  <w:noWrap w:val="0"/>
                  <w:vAlign w:val="center"/>
                </w:tcPr>
                <w:p w14:paraId="3FEFA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w:t>
                  </w:r>
                </w:p>
              </w:tc>
              <w:tc>
                <w:tcPr>
                  <w:tcW w:w="447" w:type="pct"/>
                  <w:noWrap w:val="0"/>
                  <w:vAlign w:val="center"/>
                </w:tcPr>
                <w:p w14:paraId="0A9C411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15</w:t>
                  </w:r>
                </w:p>
              </w:tc>
              <w:tc>
                <w:tcPr>
                  <w:tcW w:w="547" w:type="pct"/>
                  <w:noWrap w:val="0"/>
                  <w:vAlign w:val="center"/>
                </w:tcPr>
                <w:p w14:paraId="0022D6C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51.4</w:t>
                  </w:r>
                </w:p>
              </w:tc>
              <w:tc>
                <w:tcPr>
                  <w:tcW w:w="374" w:type="pct"/>
                  <w:vMerge w:val="continue"/>
                  <w:noWrap w:val="0"/>
                  <w:vAlign w:val="center"/>
                </w:tcPr>
                <w:p w14:paraId="7FA8F6E8">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rPr>
                  </w:pPr>
                </w:p>
              </w:tc>
              <w:tc>
                <w:tcPr>
                  <w:tcW w:w="374" w:type="pct"/>
                  <w:vMerge w:val="continue"/>
                  <w:noWrap w:val="0"/>
                  <w:vAlign w:val="center"/>
                </w:tcPr>
                <w:p w14:paraId="7067EDC5">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rPr>
                  </w:pPr>
                </w:p>
              </w:tc>
              <w:tc>
                <w:tcPr>
                  <w:tcW w:w="409" w:type="pct"/>
                  <w:noWrap w:val="0"/>
                  <w:vAlign w:val="center"/>
                </w:tcPr>
                <w:p w14:paraId="4C75A66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31.4</w:t>
                  </w:r>
                </w:p>
              </w:tc>
              <w:tc>
                <w:tcPr>
                  <w:tcW w:w="409" w:type="pct"/>
                  <w:noWrap w:val="0"/>
                  <w:vAlign w:val="center"/>
                </w:tcPr>
                <w:p w14:paraId="37777257">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rPr>
                    <w:t>1</w:t>
                  </w:r>
                </w:p>
              </w:tc>
            </w:tr>
            <w:tr w14:paraId="526152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7266ED4F">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ascii="Times New Roman" w:hAnsi="Times New Roman" w:eastAsia="宋体" w:cs="Times New Roman"/>
                      <w:color w:val="auto"/>
                      <w:sz w:val="18"/>
                      <w:szCs w:val="18"/>
                      <w:lang w:val="en-US"/>
                    </w:rPr>
                    <w:t>5</w:t>
                  </w:r>
                </w:p>
              </w:tc>
              <w:tc>
                <w:tcPr>
                  <w:tcW w:w="718" w:type="pct"/>
                  <w:shd w:val="clear" w:color="auto" w:fill="auto"/>
                  <w:noWrap w:val="0"/>
                  <w:vAlign w:val="center"/>
                </w:tcPr>
                <w:p w14:paraId="322843C0">
                  <w:pPr>
                    <w:pStyle w:val="52"/>
                    <w:rPr>
                      <w:rFonts w:hint="default" w:ascii="Times New Roman" w:hAnsi="Times New Roman" w:eastAsia="Times New Roman" w:cs="Times New Roman"/>
                      <w:color w:val="auto"/>
                      <w:kern w:val="2"/>
                      <w:sz w:val="21"/>
                      <w:szCs w:val="24"/>
                      <w:lang w:val="en-US" w:eastAsia="zh-CN" w:bidi="ar-SA"/>
                    </w:rPr>
                  </w:pPr>
                  <w:r>
                    <w:rPr>
                      <w:color w:val="auto"/>
                    </w:rPr>
                    <w:t>电磁加温器</w:t>
                  </w:r>
                </w:p>
              </w:tc>
              <w:tc>
                <w:tcPr>
                  <w:tcW w:w="392" w:type="pct"/>
                  <w:noWrap w:val="0"/>
                  <w:vAlign w:val="center"/>
                </w:tcPr>
                <w:p w14:paraId="5042BB50">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65</w:t>
                  </w:r>
                </w:p>
              </w:tc>
              <w:tc>
                <w:tcPr>
                  <w:tcW w:w="264" w:type="pct"/>
                  <w:vMerge w:val="continue"/>
                  <w:noWrap w:val="0"/>
                  <w:vAlign w:val="center"/>
                </w:tcPr>
                <w:p w14:paraId="46AF3460">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rPr>
                  </w:pPr>
                </w:p>
              </w:tc>
              <w:tc>
                <w:tcPr>
                  <w:tcW w:w="255" w:type="pct"/>
                  <w:noWrap w:val="0"/>
                  <w:vAlign w:val="center"/>
                </w:tcPr>
                <w:p w14:paraId="48552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37</w:t>
                  </w:r>
                </w:p>
              </w:tc>
              <w:tc>
                <w:tcPr>
                  <w:tcW w:w="328" w:type="pct"/>
                  <w:noWrap w:val="0"/>
                  <w:vAlign w:val="center"/>
                </w:tcPr>
                <w:p w14:paraId="7F5C4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62</w:t>
                  </w:r>
                </w:p>
              </w:tc>
              <w:tc>
                <w:tcPr>
                  <w:tcW w:w="319" w:type="pct"/>
                  <w:noWrap w:val="0"/>
                  <w:vAlign w:val="center"/>
                </w:tcPr>
                <w:p w14:paraId="7C958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w:t>
                  </w:r>
                </w:p>
              </w:tc>
              <w:tc>
                <w:tcPr>
                  <w:tcW w:w="447" w:type="pct"/>
                  <w:noWrap w:val="0"/>
                  <w:vAlign w:val="center"/>
                </w:tcPr>
                <w:p w14:paraId="20ABAA2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15</w:t>
                  </w:r>
                </w:p>
              </w:tc>
              <w:tc>
                <w:tcPr>
                  <w:tcW w:w="547" w:type="pct"/>
                  <w:noWrap w:val="0"/>
                  <w:vAlign w:val="center"/>
                </w:tcPr>
                <w:p w14:paraId="4757748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41.4</w:t>
                  </w:r>
                </w:p>
              </w:tc>
              <w:tc>
                <w:tcPr>
                  <w:tcW w:w="374" w:type="pct"/>
                  <w:vMerge w:val="continue"/>
                  <w:noWrap w:val="0"/>
                  <w:vAlign w:val="center"/>
                </w:tcPr>
                <w:p w14:paraId="7704325D">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391F5336">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p>
              </w:tc>
              <w:tc>
                <w:tcPr>
                  <w:tcW w:w="409" w:type="pct"/>
                  <w:noWrap w:val="0"/>
                  <w:vAlign w:val="center"/>
                </w:tcPr>
                <w:p w14:paraId="1BD3FB8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21.4</w:t>
                  </w:r>
                </w:p>
              </w:tc>
              <w:tc>
                <w:tcPr>
                  <w:tcW w:w="409" w:type="pct"/>
                  <w:noWrap w:val="0"/>
                  <w:vAlign w:val="center"/>
                </w:tcPr>
                <w:p w14:paraId="5D0DB765">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lang w:val="en-US"/>
                    </w:rPr>
                  </w:pPr>
                  <w:r>
                    <w:rPr>
                      <w:rFonts w:ascii="Times New Roman" w:hAnsi="Times New Roman" w:eastAsia="宋体" w:cs="Times New Roman"/>
                      <w:color w:val="auto"/>
                      <w:sz w:val="18"/>
                      <w:szCs w:val="18"/>
                      <w:lang w:val="en-US"/>
                    </w:rPr>
                    <w:t>1</w:t>
                  </w:r>
                </w:p>
              </w:tc>
            </w:tr>
            <w:tr w14:paraId="59C93B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7B1DF563">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ascii="Times New Roman"/>
                      <w:color w:val="auto"/>
                      <w:sz w:val="18"/>
                      <w:szCs w:val="18"/>
                    </w:rPr>
                    <w:t>6</w:t>
                  </w:r>
                </w:p>
              </w:tc>
              <w:tc>
                <w:tcPr>
                  <w:tcW w:w="718" w:type="pct"/>
                  <w:shd w:val="clear" w:color="auto" w:fill="auto"/>
                  <w:noWrap w:val="0"/>
                  <w:vAlign w:val="center"/>
                </w:tcPr>
                <w:p w14:paraId="42E24CBC">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挤出机</w:t>
                  </w:r>
                </w:p>
              </w:tc>
              <w:tc>
                <w:tcPr>
                  <w:tcW w:w="392" w:type="pct"/>
                  <w:noWrap w:val="0"/>
                  <w:vAlign w:val="center"/>
                </w:tcPr>
                <w:p w14:paraId="6F787FAA">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65</w:t>
                  </w:r>
                </w:p>
              </w:tc>
              <w:tc>
                <w:tcPr>
                  <w:tcW w:w="264" w:type="pct"/>
                  <w:vMerge w:val="continue"/>
                  <w:noWrap w:val="0"/>
                  <w:vAlign w:val="center"/>
                </w:tcPr>
                <w:p w14:paraId="76DFD2A5">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en-US"/>
                    </w:rPr>
                  </w:pPr>
                </w:p>
              </w:tc>
              <w:tc>
                <w:tcPr>
                  <w:tcW w:w="255" w:type="pct"/>
                  <w:noWrap w:val="0"/>
                  <w:vAlign w:val="center"/>
                </w:tcPr>
                <w:p w14:paraId="6C93E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37</w:t>
                  </w:r>
                </w:p>
              </w:tc>
              <w:tc>
                <w:tcPr>
                  <w:tcW w:w="328" w:type="pct"/>
                  <w:noWrap w:val="0"/>
                  <w:vAlign w:val="center"/>
                </w:tcPr>
                <w:p w14:paraId="6BC58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70</w:t>
                  </w:r>
                </w:p>
              </w:tc>
              <w:tc>
                <w:tcPr>
                  <w:tcW w:w="319" w:type="pct"/>
                  <w:noWrap w:val="0"/>
                  <w:vAlign w:val="center"/>
                </w:tcPr>
                <w:p w14:paraId="5D5D06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694980C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15</w:t>
                  </w:r>
                </w:p>
              </w:tc>
              <w:tc>
                <w:tcPr>
                  <w:tcW w:w="547" w:type="pct"/>
                  <w:noWrap w:val="0"/>
                  <w:vAlign w:val="center"/>
                </w:tcPr>
                <w:p w14:paraId="3A1C250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41.4</w:t>
                  </w:r>
                </w:p>
              </w:tc>
              <w:tc>
                <w:tcPr>
                  <w:tcW w:w="374" w:type="pct"/>
                  <w:vMerge w:val="continue"/>
                  <w:noWrap w:val="0"/>
                  <w:vAlign w:val="center"/>
                </w:tcPr>
                <w:p w14:paraId="1029E52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74A37C25">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409" w:type="pct"/>
                  <w:noWrap w:val="0"/>
                  <w:vAlign w:val="center"/>
                </w:tcPr>
                <w:p w14:paraId="67EFFBE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21.4</w:t>
                  </w:r>
                </w:p>
              </w:tc>
              <w:tc>
                <w:tcPr>
                  <w:tcW w:w="409" w:type="pct"/>
                  <w:noWrap w:val="0"/>
                  <w:vAlign w:val="center"/>
                </w:tcPr>
                <w:p w14:paraId="6FAD104A">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0A2AB9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558F0C6E">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ascii="Times New Roman"/>
                      <w:color w:val="auto"/>
                      <w:sz w:val="18"/>
                      <w:szCs w:val="18"/>
                    </w:rPr>
                    <w:t>7</w:t>
                  </w:r>
                </w:p>
              </w:tc>
              <w:tc>
                <w:tcPr>
                  <w:tcW w:w="718" w:type="pct"/>
                  <w:shd w:val="clear" w:color="auto" w:fill="auto"/>
                  <w:noWrap w:val="0"/>
                  <w:vAlign w:val="center"/>
                </w:tcPr>
                <w:p w14:paraId="16F10803">
                  <w:pPr>
                    <w:pStyle w:val="52"/>
                    <w:rPr>
                      <w:rFonts w:hint="eastAsia" w:ascii="Times New Roman" w:hAnsi="Times New Roman" w:eastAsia="Times New Roman" w:cs="Times New Roman"/>
                      <w:color w:val="auto"/>
                      <w:kern w:val="2"/>
                      <w:sz w:val="21"/>
                      <w:szCs w:val="24"/>
                      <w:lang w:val="en-US" w:eastAsia="zh-CN" w:bidi="ar-SA"/>
                    </w:rPr>
                  </w:pPr>
                  <w:r>
                    <w:rPr>
                      <w:rFonts w:hint="eastAsia"/>
                      <w:color w:val="auto"/>
                    </w:rPr>
                    <w:t>脱浆机</w:t>
                  </w:r>
                </w:p>
              </w:tc>
              <w:tc>
                <w:tcPr>
                  <w:tcW w:w="392" w:type="pct"/>
                  <w:noWrap w:val="0"/>
                  <w:vAlign w:val="center"/>
                </w:tcPr>
                <w:p w14:paraId="24DE3FF2">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7B01678C">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43470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20</w:t>
                  </w:r>
                </w:p>
              </w:tc>
              <w:tc>
                <w:tcPr>
                  <w:tcW w:w="328" w:type="pct"/>
                  <w:noWrap w:val="0"/>
                  <w:vAlign w:val="center"/>
                </w:tcPr>
                <w:p w14:paraId="48A988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23</w:t>
                  </w:r>
                </w:p>
              </w:tc>
              <w:tc>
                <w:tcPr>
                  <w:tcW w:w="319" w:type="pct"/>
                  <w:noWrap w:val="0"/>
                  <w:vAlign w:val="center"/>
                </w:tcPr>
                <w:p w14:paraId="6BC11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7EF84C9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10</w:t>
                  </w:r>
                </w:p>
              </w:tc>
              <w:tc>
                <w:tcPr>
                  <w:tcW w:w="547" w:type="pct"/>
                  <w:noWrap w:val="0"/>
                  <w:vAlign w:val="center"/>
                </w:tcPr>
                <w:p w14:paraId="3B3A956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55</w:t>
                  </w:r>
                </w:p>
              </w:tc>
              <w:tc>
                <w:tcPr>
                  <w:tcW w:w="374" w:type="pct"/>
                  <w:vMerge w:val="continue"/>
                  <w:noWrap w:val="0"/>
                  <w:vAlign w:val="center"/>
                </w:tcPr>
                <w:p w14:paraId="1C118F7F">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285CDCFA">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409" w:type="pct"/>
                  <w:noWrap w:val="0"/>
                  <w:vAlign w:val="center"/>
                </w:tcPr>
                <w:p w14:paraId="7C5F944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35</w:t>
                  </w:r>
                </w:p>
              </w:tc>
              <w:tc>
                <w:tcPr>
                  <w:tcW w:w="409" w:type="pct"/>
                  <w:noWrap w:val="0"/>
                  <w:vAlign w:val="center"/>
                </w:tcPr>
                <w:p w14:paraId="048C63F8">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49C475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3D2DCF21">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eastAsia="宋体"/>
                      <w:color w:val="auto"/>
                      <w:sz w:val="18"/>
                      <w:szCs w:val="18"/>
                      <w:lang w:val="en-US" w:eastAsia="zh-CN"/>
                    </w:rPr>
                  </w:pPr>
                  <w:r>
                    <w:rPr>
                      <w:rFonts w:hint="eastAsia" w:ascii="Times New Roman"/>
                      <w:color w:val="auto"/>
                      <w:sz w:val="18"/>
                      <w:szCs w:val="18"/>
                      <w:lang w:val="en-US" w:eastAsia="zh-CN"/>
                    </w:rPr>
                    <w:t>8</w:t>
                  </w:r>
                </w:p>
              </w:tc>
              <w:tc>
                <w:tcPr>
                  <w:tcW w:w="718" w:type="pct"/>
                  <w:shd w:val="clear" w:color="auto" w:fill="auto"/>
                  <w:noWrap w:val="0"/>
                  <w:vAlign w:val="center"/>
                </w:tcPr>
                <w:p w14:paraId="3F867A82">
                  <w:pPr>
                    <w:pStyle w:val="52"/>
                    <w:rPr>
                      <w:rFonts w:hint="default" w:ascii="Times New Roman" w:hAnsi="Times New Roman" w:eastAsia="Times New Roman" w:cs="Times New Roman"/>
                      <w:color w:val="auto"/>
                      <w:kern w:val="2"/>
                      <w:sz w:val="21"/>
                      <w:szCs w:val="24"/>
                      <w:lang w:val="en-US" w:eastAsia="zh-CN" w:bidi="ar-SA"/>
                    </w:rPr>
                  </w:pPr>
                  <w:r>
                    <w:rPr>
                      <w:color w:val="auto"/>
                    </w:rPr>
                    <w:t>切粒机</w:t>
                  </w:r>
                </w:p>
              </w:tc>
              <w:tc>
                <w:tcPr>
                  <w:tcW w:w="392" w:type="pct"/>
                  <w:noWrap w:val="0"/>
                  <w:vAlign w:val="center"/>
                </w:tcPr>
                <w:p w14:paraId="1F2DF044">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80</w:t>
                  </w:r>
                </w:p>
              </w:tc>
              <w:tc>
                <w:tcPr>
                  <w:tcW w:w="264" w:type="pct"/>
                  <w:vMerge w:val="continue"/>
                  <w:noWrap w:val="0"/>
                  <w:vAlign w:val="center"/>
                </w:tcPr>
                <w:p w14:paraId="520339B9">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58300D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37</w:t>
                  </w:r>
                </w:p>
              </w:tc>
              <w:tc>
                <w:tcPr>
                  <w:tcW w:w="328" w:type="pct"/>
                  <w:noWrap w:val="0"/>
                  <w:vAlign w:val="center"/>
                </w:tcPr>
                <w:p w14:paraId="31B2C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89</w:t>
                  </w:r>
                </w:p>
              </w:tc>
              <w:tc>
                <w:tcPr>
                  <w:tcW w:w="319" w:type="pct"/>
                  <w:noWrap w:val="0"/>
                  <w:vAlign w:val="center"/>
                </w:tcPr>
                <w:p w14:paraId="3B240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36C692D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15</w:t>
                  </w:r>
                </w:p>
              </w:tc>
              <w:tc>
                <w:tcPr>
                  <w:tcW w:w="547" w:type="pct"/>
                  <w:noWrap w:val="0"/>
                  <w:vAlign w:val="center"/>
                </w:tcPr>
                <w:p w14:paraId="1F156B0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56.4</w:t>
                  </w:r>
                </w:p>
              </w:tc>
              <w:tc>
                <w:tcPr>
                  <w:tcW w:w="374" w:type="pct"/>
                  <w:vMerge w:val="continue"/>
                  <w:noWrap w:val="0"/>
                  <w:vAlign w:val="center"/>
                </w:tcPr>
                <w:p w14:paraId="587E11D8">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5C3DA6C4">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3A748A3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36.4</w:t>
                  </w:r>
                </w:p>
              </w:tc>
              <w:tc>
                <w:tcPr>
                  <w:tcW w:w="409" w:type="pct"/>
                  <w:noWrap w:val="0"/>
                  <w:vAlign w:val="center"/>
                </w:tcPr>
                <w:p w14:paraId="4868EE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188B9B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7356BD73">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eastAsia="宋体"/>
                      <w:color w:val="auto"/>
                      <w:sz w:val="18"/>
                      <w:szCs w:val="18"/>
                      <w:lang w:val="en-US" w:eastAsia="zh-CN"/>
                    </w:rPr>
                  </w:pPr>
                  <w:r>
                    <w:rPr>
                      <w:rFonts w:hint="eastAsia" w:ascii="Times New Roman"/>
                      <w:color w:val="auto"/>
                      <w:sz w:val="18"/>
                      <w:szCs w:val="18"/>
                      <w:lang w:val="en-US" w:eastAsia="zh-CN"/>
                    </w:rPr>
                    <w:t>9</w:t>
                  </w:r>
                </w:p>
              </w:tc>
              <w:tc>
                <w:tcPr>
                  <w:tcW w:w="718" w:type="pct"/>
                  <w:shd w:val="clear" w:color="auto" w:fill="auto"/>
                  <w:noWrap w:val="0"/>
                  <w:vAlign w:val="center"/>
                </w:tcPr>
                <w:p w14:paraId="28CAFA04">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链板式输送带</w:t>
                  </w:r>
                </w:p>
              </w:tc>
              <w:tc>
                <w:tcPr>
                  <w:tcW w:w="392" w:type="pct"/>
                  <w:noWrap w:val="0"/>
                  <w:vAlign w:val="center"/>
                </w:tcPr>
                <w:p w14:paraId="1EC5439E">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55548F7C">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4646C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58</w:t>
                  </w:r>
                </w:p>
              </w:tc>
              <w:tc>
                <w:tcPr>
                  <w:tcW w:w="328" w:type="pct"/>
                  <w:noWrap w:val="0"/>
                  <w:vAlign w:val="center"/>
                </w:tcPr>
                <w:p w14:paraId="1642EF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15</w:t>
                  </w:r>
                </w:p>
              </w:tc>
              <w:tc>
                <w:tcPr>
                  <w:tcW w:w="319" w:type="pct"/>
                  <w:noWrap w:val="0"/>
                  <w:vAlign w:val="center"/>
                </w:tcPr>
                <w:p w14:paraId="7C972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w:t>
                  </w:r>
                </w:p>
              </w:tc>
              <w:tc>
                <w:tcPr>
                  <w:tcW w:w="447" w:type="pct"/>
                  <w:noWrap w:val="0"/>
                  <w:vAlign w:val="center"/>
                </w:tcPr>
                <w:p w14:paraId="6E10702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w:t>
                  </w:r>
                </w:p>
              </w:tc>
              <w:tc>
                <w:tcPr>
                  <w:tcW w:w="547" w:type="pct"/>
                  <w:noWrap w:val="0"/>
                  <w:vAlign w:val="center"/>
                </w:tcPr>
                <w:p w14:paraId="3B3931E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61</w:t>
                  </w:r>
                </w:p>
              </w:tc>
              <w:tc>
                <w:tcPr>
                  <w:tcW w:w="374" w:type="pct"/>
                  <w:vMerge w:val="continue"/>
                  <w:noWrap w:val="0"/>
                  <w:vAlign w:val="center"/>
                </w:tcPr>
                <w:p w14:paraId="7D5618BF">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49684B00">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516B372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41</w:t>
                  </w:r>
                </w:p>
              </w:tc>
              <w:tc>
                <w:tcPr>
                  <w:tcW w:w="409" w:type="pct"/>
                  <w:noWrap w:val="0"/>
                  <w:vAlign w:val="center"/>
                </w:tcPr>
                <w:p w14:paraId="07EC3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7AAEEB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4442E231">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10</w:t>
                  </w:r>
                </w:p>
              </w:tc>
              <w:tc>
                <w:tcPr>
                  <w:tcW w:w="718" w:type="pct"/>
                  <w:shd w:val="clear" w:color="auto" w:fill="auto"/>
                  <w:noWrap w:val="0"/>
                  <w:vAlign w:val="center"/>
                </w:tcPr>
                <w:p w14:paraId="7DCA0A81">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金属分选机</w:t>
                  </w:r>
                </w:p>
              </w:tc>
              <w:tc>
                <w:tcPr>
                  <w:tcW w:w="392" w:type="pct"/>
                  <w:noWrap w:val="0"/>
                  <w:vAlign w:val="center"/>
                </w:tcPr>
                <w:p w14:paraId="145067E6">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70</w:t>
                  </w:r>
                </w:p>
              </w:tc>
              <w:tc>
                <w:tcPr>
                  <w:tcW w:w="264" w:type="pct"/>
                  <w:vMerge w:val="continue"/>
                  <w:noWrap w:val="0"/>
                  <w:vAlign w:val="center"/>
                </w:tcPr>
                <w:p w14:paraId="329DC49B">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0D9808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25</w:t>
                  </w:r>
                </w:p>
              </w:tc>
              <w:tc>
                <w:tcPr>
                  <w:tcW w:w="328" w:type="pct"/>
                  <w:noWrap w:val="0"/>
                  <w:vAlign w:val="center"/>
                </w:tcPr>
                <w:p w14:paraId="3BC3B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19</w:t>
                  </w:r>
                </w:p>
              </w:tc>
              <w:tc>
                <w:tcPr>
                  <w:tcW w:w="319" w:type="pct"/>
                  <w:noWrap w:val="0"/>
                  <w:vAlign w:val="center"/>
                </w:tcPr>
                <w:p w14:paraId="03427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w:t>
                  </w:r>
                </w:p>
              </w:tc>
              <w:tc>
                <w:tcPr>
                  <w:tcW w:w="447" w:type="pct"/>
                  <w:noWrap w:val="0"/>
                  <w:vAlign w:val="center"/>
                </w:tcPr>
                <w:p w14:paraId="7B3D3D3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20</w:t>
                  </w:r>
                </w:p>
              </w:tc>
              <w:tc>
                <w:tcPr>
                  <w:tcW w:w="547" w:type="pct"/>
                  <w:noWrap w:val="0"/>
                  <w:vAlign w:val="center"/>
                </w:tcPr>
                <w:p w14:paraId="50E481C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43.9</w:t>
                  </w:r>
                </w:p>
              </w:tc>
              <w:tc>
                <w:tcPr>
                  <w:tcW w:w="374" w:type="pct"/>
                  <w:vMerge w:val="continue"/>
                  <w:noWrap w:val="0"/>
                  <w:vAlign w:val="center"/>
                </w:tcPr>
                <w:p w14:paraId="19B1081B">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11D031B1">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1FD5807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23.9</w:t>
                  </w:r>
                </w:p>
              </w:tc>
              <w:tc>
                <w:tcPr>
                  <w:tcW w:w="409" w:type="pct"/>
                  <w:noWrap w:val="0"/>
                  <w:vAlign w:val="center"/>
                </w:tcPr>
                <w:p w14:paraId="131CA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00E9CC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0C0571F1">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11</w:t>
                  </w:r>
                </w:p>
              </w:tc>
              <w:tc>
                <w:tcPr>
                  <w:tcW w:w="718" w:type="pct"/>
                  <w:shd w:val="clear" w:color="auto" w:fill="auto"/>
                  <w:noWrap w:val="0"/>
                  <w:vAlign w:val="center"/>
                </w:tcPr>
                <w:p w14:paraId="7DF148C8">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纸塑分离机</w:t>
                  </w:r>
                </w:p>
              </w:tc>
              <w:tc>
                <w:tcPr>
                  <w:tcW w:w="392" w:type="pct"/>
                  <w:noWrap w:val="0"/>
                  <w:vAlign w:val="center"/>
                </w:tcPr>
                <w:p w14:paraId="2E9EFE1C">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70</w:t>
                  </w:r>
                </w:p>
              </w:tc>
              <w:tc>
                <w:tcPr>
                  <w:tcW w:w="264" w:type="pct"/>
                  <w:vMerge w:val="continue"/>
                  <w:noWrap w:val="0"/>
                  <w:vAlign w:val="center"/>
                </w:tcPr>
                <w:p w14:paraId="066AD1E5">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38CA62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23</w:t>
                  </w:r>
                </w:p>
              </w:tc>
              <w:tc>
                <w:tcPr>
                  <w:tcW w:w="328" w:type="pct"/>
                  <w:noWrap w:val="0"/>
                  <w:vAlign w:val="center"/>
                </w:tcPr>
                <w:p w14:paraId="4D6762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22</w:t>
                  </w:r>
                </w:p>
              </w:tc>
              <w:tc>
                <w:tcPr>
                  <w:tcW w:w="319" w:type="pct"/>
                  <w:noWrap w:val="0"/>
                  <w:vAlign w:val="center"/>
                </w:tcPr>
                <w:p w14:paraId="39890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w:t>
                  </w:r>
                </w:p>
              </w:tc>
              <w:tc>
                <w:tcPr>
                  <w:tcW w:w="447" w:type="pct"/>
                  <w:noWrap w:val="0"/>
                  <w:vAlign w:val="center"/>
                </w:tcPr>
                <w:p w14:paraId="00FE957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25</w:t>
                  </w:r>
                </w:p>
              </w:tc>
              <w:tc>
                <w:tcPr>
                  <w:tcW w:w="547" w:type="pct"/>
                  <w:noWrap w:val="0"/>
                  <w:vAlign w:val="center"/>
                </w:tcPr>
                <w:p w14:paraId="0DBD93F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42</w:t>
                  </w:r>
                </w:p>
              </w:tc>
              <w:tc>
                <w:tcPr>
                  <w:tcW w:w="374" w:type="pct"/>
                  <w:vMerge w:val="continue"/>
                  <w:noWrap w:val="0"/>
                  <w:vAlign w:val="center"/>
                </w:tcPr>
                <w:p w14:paraId="04213E84">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60B9244C">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53CDECD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22</w:t>
                  </w:r>
                </w:p>
              </w:tc>
              <w:tc>
                <w:tcPr>
                  <w:tcW w:w="409" w:type="pct"/>
                  <w:noWrap w:val="0"/>
                  <w:vAlign w:val="center"/>
                </w:tcPr>
                <w:p w14:paraId="12E92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38B21E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09120ED7">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12</w:t>
                  </w:r>
                </w:p>
              </w:tc>
              <w:tc>
                <w:tcPr>
                  <w:tcW w:w="718" w:type="pct"/>
                  <w:shd w:val="clear" w:color="auto" w:fill="auto"/>
                  <w:noWrap w:val="0"/>
                  <w:vAlign w:val="center"/>
                </w:tcPr>
                <w:p w14:paraId="49B9D5BE">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橡带式输送带</w:t>
                  </w:r>
                </w:p>
              </w:tc>
              <w:tc>
                <w:tcPr>
                  <w:tcW w:w="392" w:type="pct"/>
                  <w:noWrap w:val="0"/>
                  <w:vAlign w:val="center"/>
                </w:tcPr>
                <w:p w14:paraId="5BAB48DA">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6C204B4A">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19A8CE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40</w:t>
                  </w:r>
                </w:p>
              </w:tc>
              <w:tc>
                <w:tcPr>
                  <w:tcW w:w="328" w:type="pct"/>
                  <w:noWrap w:val="0"/>
                  <w:vAlign w:val="center"/>
                </w:tcPr>
                <w:p w14:paraId="268D1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80</w:t>
                  </w:r>
                </w:p>
              </w:tc>
              <w:tc>
                <w:tcPr>
                  <w:tcW w:w="319" w:type="pct"/>
                  <w:noWrap w:val="0"/>
                  <w:vAlign w:val="center"/>
                </w:tcPr>
                <w:p w14:paraId="0E750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w:t>
                  </w:r>
                </w:p>
              </w:tc>
              <w:tc>
                <w:tcPr>
                  <w:tcW w:w="447" w:type="pct"/>
                  <w:noWrap w:val="0"/>
                  <w:vAlign w:val="center"/>
                </w:tcPr>
                <w:p w14:paraId="7275A62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20</w:t>
                  </w:r>
                </w:p>
              </w:tc>
              <w:tc>
                <w:tcPr>
                  <w:tcW w:w="547" w:type="pct"/>
                  <w:noWrap w:val="0"/>
                  <w:vAlign w:val="center"/>
                </w:tcPr>
                <w:p w14:paraId="221416A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48.9</w:t>
                  </w:r>
                </w:p>
              </w:tc>
              <w:tc>
                <w:tcPr>
                  <w:tcW w:w="374" w:type="pct"/>
                  <w:vMerge w:val="continue"/>
                  <w:noWrap w:val="0"/>
                  <w:vAlign w:val="center"/>
                </w:tcPr>
                <w:p w14:paraId="0D72220E">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1F53ADDC">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3C78E15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28.9</w:t>
                  </w:r>
                </w:p>
              </w:tc>
              <w:tc>
                <w:tcPr>
                  <w:tcW w:w="409" w:type="pct"/>
                  <w:noWrap w:val="0"/>
                  <w:vAlign w:val="center"/>
                </w:tcPr>
                <w:p w14:paraId="4DF21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210C9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1C457A3F">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13</w:t>
                  </w:r>
                </w:p>
              </w:tc>
              <w:tc>
                <w:tcPr>
                  <w:tcW w:w="718" w:type="pct"/>
                  <w:shd w:val="clear" w:color="auto" w:fill="auto"/>
                  <w:noWrap w:val="0"/>
                  <w:vAlign w:val="center"/>
                </w:tcPr>
                <w:p w14:paraId="37F2942E">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液压打包机</w:t>
                  </w:r>
                </w:p>
              </w:tc>
              <w:tc>
                <w:tcPr>
                  <w:tcW w:w="392" w:type="pct"/>
                  <w:noWrap w:val="0"/>
                  <w:vAlign w:val="center"/>
                </w:tcPr>
                <w:p w14:paraId="6BF976C2">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5030D9C1">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695B0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36</w:t>
                  </w:r>
                </w:p>
              </w:tc>
              <w:tc>
                <w:tcPr>
                  <w:tcW w:w="328" w:type="pct"/>
                  <w:noWrap w:val="0"/>
                  <w:vAlign w:val="center"/>
                </w:tcPr>
                <w:p w14:paraId="1025E3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92</w:t>
                  </w:r>
                </w:p>
              </w:tc>
              <w:tc>
                <w:tcPr>
                  <w:tcW w:w="319" w:type="pct"/>
                  <w:noWrap w:val="0"/>
                  <w:vAlign w:val="center"/>
                </w:tcPr>
                <w:p w14:paraId="24034F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065B25B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20</w:t>
                  </w:r>
                </w:p>
              </w:tc>
              <w:tc>
                <w:tcPr>
                  <w:tcW w:w="547" w:type="pct"/>
                  <w:noWrap w:val="0"/>
                  <w:vAlign w:val="center"/>
                </w:tcPr>
                <w:p w14:paraId="2BF4614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48.9</w:t>
                  </w:r>
                </w:p>
              </w:tc>
              <w:tc>
                <w:tcPr>
                  <w:tcW w:w="374" w:type="pct"/>
                  <w:vMerge w:val="continue"/>
                  <w:noWrap w:val="0"/>
                  <w:vAlign w:val="center"/>
                </w:tcPr>
                <w:p w14:paraId="24A4C987">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1C1990BF">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1772605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28.9</w:t>
                  </w:r>
                </w:p>
              </w:tc>
              <w:tc>
                <w:tcPr>
                  <w:tcW w:w="409" w:type="pct"/>
                  <w:noWrap w:val="0"/>
                  <w:vAlign w:val="center"/>
                </w:tcPr>
                <w:p w14:paraId="6F01D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3949A0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06C2D375">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14</w:t>
                  </w:r>
                </w:p>
              </w:tc>
              <w:tc>
                <w:tcPr>
                  <w:tcW w:w="718" w:type="pct"/>
                  <w:shd w:val="clear" w:color="auto" w:fill="auto"/>
                  <w:noWrap w:val="0"/>
                  <w:vAlign w:val="center"/>
                </w:tcPr>
                <w:p w14:paraId="332AB6B8">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装载机</w:t>
                  </w:r>
                </w:p>
              </w:tc>
              <w:tc>
                <w:tcPr>
                  <w:tcW w:w="392" w:type="pct"/>
                  <w:noWrap w:val="0"/>
                  <w:vAlign w:val="center"/>
                </w:tcPr>
                <w:p w14:paraId="1C24F580">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70</w:t>
                  </w:r>
                </w:p>
              </w:tc>
              <w:tc>
                <w:tcPr>
                  <w:tcW w:w="264" w:type="pct"/>
                  <w:vMerge w:val="continue"/>
                  <w:noWrap w:val="0"/>
                  <w:vAlign w:val="center"/>
                </w:tcPr>
                <w:p w14:paraId="39B2045D">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4E4C6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32</w:t>
                  </w:r>
                </w:p>
              </w:tc>
              <w:tc>
                <w:tcPr>
                  <w:tcW w:w="328" w:type="pct"/>
                  <w:noWrap w:val="0"/>
                  <w:vAlign w:val="center"/>
                </w:tcPr>
                <w:p w14:paraId="4DD67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75</w:t>
                  </w:r>
                </w:p>
              </w:tc>
              <w:tc>
                <w:tcPr>
                  <w:tcW w:w="319" w:type="pct"/>
                  <w:noWrap w:val="0"/>
                  <w:vAlign w:val="center"/>
                </w:tcPr>
                <w:p w14:paraId="4D7C3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2CBAB0A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20</w:t>
                  </w:r>
                </w:p>
              </w:tc>
              <w:tc>
                <w:tcPr>
                  <w:tcW w:w="547" w:type="pct"/>
                  <w:noWrap w:val="0"/>
                  <w:vAlign w:val="center"/>
                </w:tcPr>
                <w:p w14:paraId="0404C94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Times New Roman" w:hAnsi="Times New Roman" w:eastAsia="宋体" w:cs="Times New Roman"/>
                      <w:color w:val="auto"/>
                      <w:sz w:val="18"/>
                      <w:szCs w:val="18"/>
                    </w:rPr>
                  </w:pPr>
                  <w:r>
                    <w:rPr>
                      <w:rFonts w:hint="eastAsia" w:eastAsia="宋体" w:cs="Times New Roman"/>
                      <w:color w:val="auto"/>
                      <w:sz w:val="18"/>
                      <w:szCs w:val="18"/>
                      <w:lang w:val="en-US" w:eastAsia="zh-CN"/>
                    </w:rPr>
                    <w:t>43.9</w:t>
                  </w:r>
                </w:p>
              </w:tc>
              <w:tc>
                <w:tcPr>
                  <w:tcW w:w="374" w:type="pct"/>
                  <w:vMerge w:val="continue"/>
                  <w:noWrap w:val="0"/>
                  <w:vAlign w:val="center"/>
                </w:tcPr>
                <w:p w14:paraId="64F72FD2">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17C36DD4">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7939CFA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23.9</w:t>
                  </w:r>
                </w:p>
              </w:tc>
              <w:tc>
                <w:tcPr>
                  <w:tcW w:w="409" w:type="pct"/>
                  <w:noWrap w:val="0"/>
                  <w:vAlign w:val="center"/>
                </w:tcPr>
                <w:p w14:paraId="3133FD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607C0C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624227DF">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15</w:t>
                  </w:r>
                </w:p>
              </w:tc>
              <w:tc>
                <w:tcPr>
                  <w:tcW w:w="718" w:type="pct"/>
                  <w:shd w:val="clear" w:color="auto" w:fill="auto"/>
                  <w:noWrap w:val="0"/>
                  <w:vAlign w:val="center"/>
                </w:tcPr>
                <w:p w14:paraId="5F364742">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叉车</w:t>
                  </w:r>
                </w:p>
              </w:tc>
              <w:tc>
                <w:tcPr>
                  <w:tcW w:w="392" w:type="pct"/>
                  <w:noWrap w:val="0"/>
                  <w:vAlign w:val="center"/>
                </w:tcPr>
                <w:p w14:paraId="251445D0">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56C55957">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61AFB9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36</w:t>
                  </w:r>
                </w:p>
              </w:tc>
              <w:tc>
                <w:tcPr>
                  <w:tcW w:w="328" w:type="pct"/>
                  <w:noWrap w:val="0"/>
                  <w:vAlign w:val="center"/>
                </w:tcPr>
                <w:p w14:paraId="22E7C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38</w:t>
                  </w:r>
                </w:p>
              </w:tc>
              <w:tc>
                <w:tcPr>
                  <w:tcW w:w="319" w:type="pct"/>
                  <w:noWrap w:val="0"/>
                  <w:vAlign w:val="center"/>
                </w:tcPr>
                <w:p w14:paraId="049E0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5346EE9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25</w:t>
                  </w:r>
                </w:p>
              </w:tc>
              <w:tc>
                <w:tcPr>
                  <w:tcW w:w="547" w:type="pct"/>
                  <w:noWrap w:val="0"/>
                  <w:vAlign w:val="center"/>
                </w:tcPr>
                <w:p w14:paraId="2914653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47</w:t>
                  </w:r>
                </w:p>
              </w:tc>
              <w:tc>
                <w:tcPr>
                  <w:tcW w:w="374" w:type="pct"/>
                  <w:vMerge w:val="continue"/>
                  <w:noWrap w:val="0"/>
                  <w:vAlign w:val="center"/>
                </w:tcPr>
                <w:p w14:paraId="49B9C425">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7B39E328">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65F2150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27</w:t>
                  </w:r>
                </w:p>
              </w:tc>
              <w:tc>
                <w:tcPr>
                  <w:tcW w:w="409" w:type="pct"/>
                  <w:noWrap w:val="0"/>
                  <w:vAlign w:val="center"/>
                </w:tcPr>
                <w:p w14:paraId="16766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591989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5509D13C">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16</w:t>
                  </w:r>
                </w:p>
              </w:tc>
              <w:tc>
                <w:tcPr>
                  <w:tcW w:w="718" w:type="pct"/>
                  <w:shd w:val="clear" w:color="auto" w:fill="auto"/>
                  <w:noWrap w:val="0"/>
                  <w:vAlign w:val="center"/>
                </w:tcPr>
                <w:p w14:paraId="38E1CEE0">
                  <w:pPr>
                    <w:pStyle w:val="52"/>
                    <w:rPr>
                      <w:rFonts w:hint="default" w:ascii="Times New Roman" w:hAnsi="Times New Roman" w:eastAsia="Times New Roman" w:cs="Times New Roman"/>
                      <w:color w:val="auto"/>
                      <w:kern w:val="2"/>
                      <w:sz w:val="21"/>
                      <w:szCs w:val="24"/>
                      <w:lang w:val="en-US" w:eastAsia="zh-CN" w:bidi="ar-SA"/>
                    </w:rPr>
                  </w:pPr>
                  <w:r>
                    <w:rPr>
                      <w:rFonts w:hint="eastAsia"/>
                      <w:color w:val="auto"/>
                    </w:rPr>
                    <w:t>抱车</w:t>
                  </w:r>
                </w:p>
              </w:tc>
              <w:tc>
                <w:tcPr>
                  <w:tcW w:w="392" w:type="pct"/>
                  <w:noWrap w:val="0"/>
                  <w:vAlign w:val="center"/>
                </w:tcPr>
                <w:p w14:paraId="229F9744">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58ADF838">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335CC6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58</w:t>
                  </w:r>
                </w:p>
              </w:tc>
              <w:tc>
                <w:tcPr>
                  <w:tcW w:w="328" w:type="pct"/>
                  <w:noWrap w:val="0"/>
                  <w:vAlign w:val="center"/>
                </w:tcPr>
                <w:p w14:paraId="069CF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33</w:t>
                  </w:r>
                </w:p>
              </w:tc>
              <w:tc>
                <w:tcPr>
                  <w:tcW w:w="319" w:type="pct"/>
                  <w:noWrap w:val="0"/>
                  <w:vAlign w:val="center"/>
                </w:tcPr>
                <w:p w14:paraId="12BFB8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7DE1BDE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25</w:t>
                  </w:r>
                </w:p>
              </w:tc>
              <w:tc>
                <w:tcPr>
                  <w:tcW w:w="547" w:type="pct"/>
                  <w:noWrap w:val="0"/>
                  <w:vAlign w:val="center"/>
                </w:tcPr>
                <w:p w14:paraId="04D621C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47</w:t>
                  </w:r>
                </w:p>
              </w:tc>
              <w:tc>
                <w:tcPr>
                  <w:tcW w:w="374" w:type="pct"/>
                  <w:vMerge w:val="continue"/>
                  <w:noWrap w:val="0"/>
                  <w:vAlign w:val="center"/>
                </w:tcPr>
                <w:p w14:paraId="05AEE19E">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0609B879">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6A1BA6A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27</w:t>
                  </w:r>
                </w:p>
              </w:tc>
              <w:tc>
                <w:tcPr>
                  <w:tcW w:w="409" w:type="pct"/>
                  <w:noWrap w:val="0"/>
                  <w:vAlign w:val="center"/>
                </w:tcPr>
                <w:p w14:paraId="63193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2D5FD1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1D660598">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17</w:t>
                  </w:r>
                </w:p>
              </w:tc>
              <w:tc>
                <w:tcPr>
                  <w:tcW w:w="718" w:type="pct"/>
                  <w:shd w:val="clear" w:color="auto" w:fill="auto"/>
                  <w:noWrap w:val="0"/>
                  <w:vAlign w:val="center"/>
                </w:tcPr>
                <w:p w14:paraId="299E36A4">
                  <w:pPr>
                    <w:pStyle w:val="52"/>
                    <w:rPr>
                      <w:rFonts w:hint="default" w:ascii="Times New Roman" w:hAnsi="Times New Roman" w:eastAsia="宋体" w:cs="Times New Roman"/>
                      <w:color w:val="auto"/>
                      <w:kern w:val="2"/>
                      <w:sz w:val="21"/>
                      <w:szCs w:val="24"/>
                      <w:lang w:val="en-US" w:eastAsia="zh-CN" w:bidi="ar-SA"/>
                    </w:rPr>
                  </w:pPr>
                  <w:r>
                    <w:rPr>
                      <w:rFonts w:hint="eastAsia" w:eastAsia="宋体"/>
                      <w:color w:val="auto"/>
                      <w:lang w:val="en-US" w:eastAsia="zh-CN"/>
                    </w:rPr>
                    <w:t>磨料机</w:t>
                  </w:r>
                </w:p>
              </w:tc>
              <w:tc>
                <w:tcPr>
                  <w:tcW w:w="392" w:type="pct"/>
                  <w:noWrap w:val="0"/>
                  <w:vAlign w:val="center"/>
                </w:tcPr>
                <w:p w14:paraId="3737381C">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80</w:t>
                  </w:r>
                </w:p>
              </w:tc>
              <w:tc>
                <w:tcPr>
                  <w:tcW w:w="264" w:type="pct"/>
                  <w:vMerge w:val="continue"/>
                  <w:noWrap w:val="0"/>
                  <w:vAlign w:val="center"/>
                </w:tcPr>
                <w:p w14:paraId="669559D1">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74812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17</w:t>
                  </w:r>
                </w:p>
              </w:tc>
              <w:tc>
                <w:tcPr>
                  <w:tcW w:w="328" w:type="pct"/>
                  <w:noWrap w:val="0"/>
                  <w:vAlign w:val="center"/>
                </w:tcPr>
                <w:p w14:paraId="2C01E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25</w:t>
                  </w:r>
                </w:p>
              </w:tc>
              <w:tc>
                <w:tcPr>
                  <w:tcW w:w="319" w:type="pct"/>
                  <w:noWrap w:val="0"/>
                  <w:vAlign w:val="center"/>
                </w:tcPr>
                <w:p w14:paraId="494158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3E6E974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9</w:t>
                  </w:r>
                </w:p>
              </w:tc>
              <w:tc>
                <w:tcPr>
                  <w:tcW w:w="547" w:type="pct"/>
                  <w:noWrap w:val="0"/>
                  <w:vAlign w:val="center"/>
                </w:tcPr>
                <w:p w14:paraId="6A87E84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60.9</w:t>
                  </w:r>
                </w:p>
              </w:tc>
              <w:tc>
                <w:tcPr>
                  <w:tcW w:w="374" w:type="pct"/>
                  <w:vMerge w:val="continue"/>
                  <w:noWrap w:val="0"/>
                  <w:vAlign w:val="center"/>
                </w:tcPr>
                <w:p w14:paraId="53041E19">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5A7CC1A8">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7F61431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40.9</w:t>
                  </w:r>
                </w:p>
              </w:tc>
              <w:tc>
                <w:tcPr>
                  <w:tcW w:w="409" w:type="pct"/>
                  <w:noWrap w:val="0"/>
                  <w:vAlign w:val="center"/>
                </w:tcPr>
                <w:p w14:paraId="0F855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4FC514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32EF1B11">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18</w:t>
                  </w:r>
                </w:p>
              </w:tc>
              <w:tc>
                <w:tcPr>
                  <w:tcW w:w="718" w:type="pct"/>
                  <w:shd w:val="clear" w:color="auto" w:fill="auto"/>
                  <w:noWrap w:val="0"/>
                  <w:vAlign w:val="center"/>
                </w:tcPr>
                <w:p w14:paraId="6BED40E7">
                  <w:pPr>
                    <w:pStyle w:val="52"/>
                    <w:rPr>
                      <w:rFonts w:hint="default" w:ascii="Times New Roman" w:hAnsi="Times New Roman" w:eastAsia="宋体" w:cs="Times New Roman"/>
                      <w:color w:val="auto"/>
                      <w:kern w:val="2"/>
                      <w:sz w:val="21"/>
                      <w:szCs w:val="24"/>
                      <w:lang w:val="en-US" w:eastAsia="zh-CN" w:bidi="ar-SA"/>
                    </w:rPr>
                  </w:pPr>
                  <w:r>
                    <w:rPr>
                      <w:rFonts w:hint="eastAsia" w:eastAsia="宋体"/>
                      <w:color w:val="auto"/>
                      <w:lang w:val="en-US" w:eastAsia="zh-CN"/>
                    </w:rPr>
                    <w:t>甩干机</w:t>
                  </w:r>
                </w:p>
              </w:tc>
              <w:tc>
                <w:tcPr>
                  <w:tcW w:w="392" w:type="pct"/>
                  <w:noWrap w:val="0"/>
                  <w:vAlign w:val="center"/>
                </w:tcPr>
                <w:p w14:paraId="43932D15">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80</w:t>
                  </w:r>
                </w:p>
              </w:tc>
              <w:tc>
                <w:tcPr>
                  <w:tcW w:w="264" w:type="pct"/>
                  <w:vMerge w:val="continue"/>
                  <w:noWrap w:val="0"/>
                  <w:vAlign w:val="center"/>
                </w:tcPr>
                <w:p w14:paraId="37B216CB">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714B6D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19</w:t>
                  </w:r>
                </w:p>
              </w:tc>
              <w:tc>
                <w:tcPr>
                  <w:tcW w:w="328" w:type="pct"/>
                  <w:noWrap w:val="0"/>
                  <w:vAlign w:val="center"/>
                </w:tcPr>
                <w:p w14:paraId="2FE56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30</w:t>
                  </w:r>
                </w:p>
              </w:tc>
              <w:tc>
                <w:tcPr>
                  <w:tcW w:w="319" w:type="pct"/>
                  <w:noWrap w:val="0"/>
                  <w:vAlign w:val="center"/>
                </w:tcPr>
                <w:p w14:paraId="3D8CD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1A1DE3D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13</w:t>
                  </w:r>
                </w:p>
              </w:tc>
              <w:tc>
                <w:tcPr>
                  <w:tcW w:w="547" w:type="pct"/>
                  <w:noWrap w:val="0"/>
                  <w:vAlign w:val="center"/>
                </w:tcPr>
                <w:p w14:paraId="7BAE998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57.7</w:t>
                  </w:r>
                </w:p>
              </w:tc>
              <w:tc>
                <w:tcPr>
                  <w:tcW w:w="374" w:type="pct"/>
                  <w:vMerge w:val="continue"/>
                  <w:noWrap w:val="0"/>
                  <w:vAlign w:val="center"/>
                </w:tcPr>
                <w:p w14:paraId="7493B93B">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0FD14C1F">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4E02E61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37.7</w:t>
                  </w:r>
                </w:p>
              </w:tc>
              <w:tc>
                <w:tcPr>
                  <w:tcW w:w="409" w:type="pct"/>
                  <w:noWrap w:val="0"/>
                  <w:vAlign w:val="center"/>
                </w:tcPr>
                <w:p w14:paraId="02EA5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4AA6D1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366F7EBE">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19</w:t>
                  </w:r>
                </w:p>
              </w:tc>
              <w:tc>
                <w:tcPr>
                  <w:tcW w:w="718" w:type="pct"/>
                  <w:shd w:val="clear" w:color="auto" w:fill="auto"/>
                  <w:noWrap w:val="0"/>
                  <w:vAlign w:val="center"/>
                </w:tcPr>
                <w:p w14:paraId="6D26DD39">
                  <w:pPr>
                    <w:pStyle w:val="52"/>
                    <w:rPr>
                      <w:rFonts w:hint="default" w:ascii="Times New Roman" w:hAnsi="Times New Roman" w:eastAsia="宋体" w:cs="Times New Roman"/>
                      <w:color w:val="auto"/>
                      <w:kern w:val="2"/>
                      <w:sz w:val="21"/>
                      <w:szCs w:val="24"/>
                      <w:lang w:val="en-US" w:eastAsia="zh-CN" w:bidi="ar-SA"/>
                    </w:rPr>
                  </w:pPr>
                  <w:r>
                    <w:rPr>
                      <w:rFonts w:hint="eastAsia" w:eastAsia="宋体"/>
                      <w:color w:val="auto"/>
                      <w:lang w:val="en-US" w:eastAsia="zh-CN"/>
                    </w:rPr>
                    <w:t>色选机</w:t>
                  </w:r>
                </w:p>
              </w:tc>
              <w:tc>
                <w:tcPr>
                  <w:tcW w:w="392" w:type="pct"/>
                  <w:noWrap w:val="0"/>
                  <w:vAlign w:val="center"/>
                </w:tcPr>
                <w:p w14:paraId="52DC0C87">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75</w:t>
                  </w:r>
                </w:p>
              </w:tc>
              <w:tc>
                <w:tcPr>
                  <w:tcW w:w="264" w:type="pct"/>
                  <w:vMerge w:val="continue"/>
                  <w:noWrap w:val="0"/>
                  <w:vAlign w:val="center"/>
                </w:tcPr>
                <w:p w14:paraId="514EE97E">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3A0CD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24</w:t>
                  </w:r>
                </w:p>
              </w:tc>
              <w:tc>
                <w:tcPr>
                  <w:tcW w:w="328" w:type="pct"/>
                  <w:noWrap w:val="0"/>
                  <w:vAlign w:val="center"/>
                </w:tcPr>
                <w:p w14:paraId="1A2F4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46</w:t>
                  </w:r>
                </w:p>
              </w:tc>
              <w:tc>
                <w:tcPr>
                  <w:tcW w:w="319" w:type="pct"/>
                  <w:noWrap w:val="0"/>
                  <w:vAlign w:val="center"/>
                </w:tcPr>
                <w:p w14:paraId="03D10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310D3BA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10</w:t>
                  </w:r>
                </w:p>
              </w:tc>
              <w:tc>
                <w:tcPr>
                  <w:tcW w:w="547" w:type="pct"/>
                  <w:noWrap w:val="0"/>
                  <w:vAlign w:val="center"/>
                </w:tcPr>
                <w:p w14:paraId="33E0C1D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55</w:t>
                  </w:r>
                </w:p>
              </w:tc>
              <w:tc>
                <w:tcPr>
                  <w:tcW w:w="374" w:type="pct"/>
                  <w:vMerge w:val="continue"/>
                  <w:noWrap w:val="0"/>
                  <w:vAlign w:val="center"/>
                </w:tcPr>
                <w:p w14:paraId="07510EE4">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63507384">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560167F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35</w:t>
                  </w:r>
                </w:p>
              </w:tc>
              <w:tc>
                <w:tcPr>
                  <w:tcW w:w="409" w:type="pct"/>
                  <w:noWrap w:val="0"/>
                  <w:vAlign w:val="center"/>
                </w:tcPr>
                <w:p w14:paraId="79A047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14:paraId="33E9B3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8" w:type="pct"/>
                  <w:noWrap w:val="0"/>
                  <w:vAlign w:val="center"/>
                </w:tcPr>
                <w:p w14:paraId="4E068F96">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20</w:t>
                  </w:r>
                </w:p>
              </w:tc>
              <w:tc>
                <w:tcPr>
                  <w:tcW w:w="718" w:type="pct"/>
                  <w:shd w:val="clear" w:color="auto" w:fill="auto"/>
                  <w:noWrap w:val="0"/>
                  <w:vAlign w:val="center"/>
                </w:tcPr>
                <w:p w14:paraId="2007FD34">
                  <w:pPr>
                    <w:pStyle w:val="52"/>
                    <w:rPr>
                      <w:rFonts w:hint="default" w:ascii="Times New Roman" w:hAnsi="Times New Roman" w:eastAsia="宋体" w:cs="Times New Roman"/>
                      <w:color w:val="auto"/>
                      <w:kern w:val="2"/>
                      <w:sz w:val="21"/>
                      <w:szCs w:val="24"/>
                      <w:lang w:val="en-US" w:eastAsia="zh-CN" w:bidi="ar-SA"/>
                    </w:rPr>
                  </w:pPr>
                  <w:r>
                    <w:rPr>
                      <w:rFonts w:hint="eastAsia" w:eastAsia="宋体"/>
                      <w:color w:val="auto"/>
                      <w:lang w:val="en-US" w:eastAsia="zh-CN"/>
                    </w:rPr>
                    <w:t>静电分选机</w:t>
                  </w:r>
                </w:p>
              </w:tc>
              <w:tc>
                <w:tcPr>
                  <w:tcW w:w="392" w:type="pct"/>
                  <w:noWrap w:val="0"/>
                  <w:vAlign w:val="center"/>
                </w:tcPr>
                <w:p w14:paraId="1E5AF00F">
                  <w:pPr>
                    <w:pStyle w:val="2"/>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70</w:t>
                  </w:r>
                </w:p>
              </w:tc>
              <w:tc>
                <w:tcPr>
                  <w:tcW w:w="264" w:type="pct"/>
                  <w:vMerge w:val="continue"/>
                  <w:noWrap w:val="0"/>
                  <w:vAlign w:val="center"/>
                </w:tcPr>
                <w:p w14:paraId="5F0D712B">
                  <w:pPr>
                    <w:pStyle w:val="14"/>
                    <w:keepNext w:val="0"/>
                    <w:keepLines w:val="0"/>
                    <w:pageBreakBefore w:val="0"/>
                    <w:kinsoku/>
                    <w:wordWrap/>
                    <w:overflowPunct/>
                    <w:topLinePunct w:val="0"/>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255" w:type="pct"/>
                  <w:noWrap w:val="0"/>
                  <w:vAlign w:val="center"/>
                </w:tcPr>
                <w:p w14:paraId="43C5D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20</w:t>
                  </w:r>
                </w:p>
              </w:tc>
              <w:tc>
                <w:tcPr>
                  <w:tcW w:w="328" w:type="pct"/>
                  <w:noWrap w:val="0"/>
                  <w:vAlign w:val="center"/>
                </w:tcPr>
                <w:p w14:paraId="354ACB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50</w:t>
                  </w:r>
                </w:p>
              </w:tc>
              <w:tc>
                <w:tcPr>
                  <w:tcW w:w="319" w:type="pct"/>
                  <w:noWrap w:val="0"/>
                  <w:vAlign w:val="center"/>
                </w:tcPr>
                <w:p w14:paraId="0611DC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Yu Gothic UI Semilight" w:cs="Times New Roman"/>
                      <w:color w:val="auto"/>
                      <w:sz w:val="18"/>
                      <w:szCs w:val="18"/>
                      <w:lang w:val="en-US" w:eastAsia="zh-CN"/>
                    </w:rPr>
                  </w:pPr>
                  <w:r>
                    <w:rPr>
                      <w:rFonts w:hint="eastAsia" w:eastAsia="Yu Gothic UI Semilight" w:cs="Times New Roman"/>
                      <w:color w:val="auto"/>
                      <w:sz w:val="18"/>
                      <w:szCs w:val="18"/>
                      <w:lang w:val="en-US" w:eastAsia="zh-CN"/>
                    </w:rPr>
                    <w:t>1</w:t>
                  </w:r>
                </w:p>
              </w:tc>
              <w:tc>
                <w:tcPr>
                  <w:tcW w:w="447" w:type="pct"/>
                  <w:noWrap w:val="0"/>
                  <w:vAlign w:val="center"/>
                </w:tcPr>
                <w:p w14:paraId="2309415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13</w:t>
                  </w:r>
                </w:p>
              </w:tc>
              <w:tc>
                <w:tcPr>
                  <w:tcW w:w="547" w:type="pct"/>
                  <w:noWrap w:val="0"/>
                  <w:vAlign w:val="center"/>
                </w:tcPr>
                <w:p w14:paraId="70D1706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47.7</w:t>
                  </w:r>
                </w:p>
              </w:tc>
              <w:tc>
                <w:tcPr>
                  <w:tcW w:w="374" w:type="pct"/>
                  <w:vMerge w:val="continue"/>
                  <w:noWrap w:val="0"/>
                  <w:vAlign w:val="center"/>
                </w:tcPr>
                <w:p w14:paraId="0A3E8284">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18"/>
                      <w:szCs w:val="18"/>
                      <w:lang w:val="en-US"/>
                    </w:rPr>
                  </w:pPr>
                </w:p>
              </w:tc>
              <w:tc>
                <w:tcPr>
                  <w:tcW w:w="374" w:type="pct"/>
                  <w:vMerge w:val="continue"/>
                  <w:noWrap w:val="0"/>
                  <w:vAlign w:val="center"/>
                </w:tcPr>
                <w:p w14:paraId="43371183">
                  <w:pPr>
                    <w:pStyle w:val="59"/>
                    <w:keepNext w:val="0"/>
                    <w:keepLines w:val="0"/>
                    <w:pageBreakBefore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p>
              </w:tc>
              <w:tc>
                <w:tcPr>
                  <w:tcW w:w="409" w:type="pct"/>
                  <w:noWrap w:val="0"/>
                  <w:vAlign w:val="center"/>
                </w:tcPr>
                <w:p w14:paraId="58AC489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27.7</w:t>
                  </w:r>
                </w:p>
              </w:tc>
              <w:tc>
                <w:tcPr>
                  <w:tcW w:w="409" w:type="pct"/>
                  <w:noWrap w:val="0"/>
                  <w:vAlign w:val="center"/>
                </w:tcPr>
                <w:p w14:paraId="78FB6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bl>
          <w:p w14:paraId="0FBDC499">
            <w:pPr>
              <w:pStyle w:val="64"/>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textAlignment w:val="auto"/>
              <w:rPr>
                <w:rFonts w:hint="eastAsia"/>
                <w:color w:val="auto"/>
                <w:sz w:val="21"/>
                <w:szCs w:val="21"/>
                <w:lang w:eastAsia="zh-CN"/>
              </w:rPr>
            </w:pPr>
            <w:r>
              <w:rPr>
                <w:rFonts w:hint="eastAsia"/>
                <w:color w:val="auto"/>
                <w:sz w:val="21"/>
                <w:szCs w:val="21"/>
              </w:rPr>
              <w:t>表4</w:t>
            </w:r>
            <w:r>
              <w:rPr>
                <w:rFonts w:hint="eastAsia"/>
                <w:color w:val="auto"/>
                <w:sz w:val="21"/>
                <w:szCs w:val="21"/>
                <w:lang w:val="en-US" w:eastAsia="zh-CN"/>
              </w:rPr>
              <w:t>-11</w:t>
            </w:r>
            <w:r>
              <w:rPr>
                <w:color w:val="auto"/>
                <w:sz w:val="21"/>
                <w:szCs w:val="21"/>
              </w:rPr>
              <w:t xml:space="preserve"> </w:t>
            </w:r>
            <w:r>
              <w:rPr>
                <w:rFonts w:hint="eastAsia"/>
                <w:color w:val="auto"/>
                <w:sz w:val="21"/>
                <w:szCs w:val="21"/>
              </w:rPr>
              <w:t>本项目</w:t>
            </w:r>
            <w:r>
              <w:rPr>
                <w:rFonts w:hint="eastAsia"/>
                <w:color w:val="auto"/>
                <w:sz w:val="21"/>
                <w:szCs w:val="21"/>
                <w:lang w:eastAsia="zh-CN"/>
              </w:rPr>
              <w:t>室外</w:t>
            </w:r>
            <w:r>
              <w:rPr>
                <w:rFonts w:hint="eastAsia"/>
                <w:color w:val="auto"/>
                <w:sz w:val="21"/>
                <w:szCs w:val="21"/>
              </w:rPr>
              <w:t>噪声污染源强分析</w:t>
            </w:r>
          </w:p>
          <w:tbl>
            <w:tblPr>
              <w:tblStyle w:val="21"/>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64"/>
              <w:gridCol w:w="1350"/>
              <w:gridCol w:w="717"/>
              <w:gridCol w:w="733"/>
              <w:gridCol w:w="730"/>
              <w:gridCol w:w="480"/>
              <w:gridCol w:w="996"/>
              <w:gridCol w:w="1773"/>
              <w:gridCol w:w="965"/>
            </w:tblGrid>
            <w:tr w14:paraId="30A8D2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82" w:type="pct"/>
                  <w:vMerge w:val="restart"/>
                  <w:noWrap w:val="0"/>
                  <w:vAlign w:val="center"/>
                </w:tcPr>
                <w:p w14:paraId="3010DBF6">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22" w:type="pct"/>
                  <w:vMerge w:val="restart"/>
                  <w:noWrap w:val="0"/>
                  <w:vAlign w:val="center"/>
                </w:tcPr>
                <w:p w14:paraId="02D89819">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val="en-US" w:eastAsia="zh-CN"/>
                    </w:rPr>
                    <w:t>声源名称</w:t>
                  </w:r>
                </w:p>
              </w:tc>
              <w:tc>
                <w:tcPr>
                  <w:tcW w:w="436" w:type="pct"/>
                  <w:vMerge w:val="restart"/>
                  <w:noWrap w:val="0"/>
                  <w:vAlign w:val="center"/>
                </w:tcPr>
                <w:p w14:paraId="1977ADC9">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数量</w:t>
                  </w:r>
                </w:p>
              </w:tc>
              <w:tc>
                <w:tcPr>
                  <w:tcW w:w="1183" w:type="pct"/>
                  <w:gridSpan w:val="3"/>
                  <w:noWrap w:val="0"/>
                  <w:vAlign w:val="center"/>
                </w:tcPr>
                <w:p w14:paraId="2CAD41BE">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空间相对位置</w:t>
                  </w:r>
                </w:p>
              </w:tc>
              <w:tc>
                <w:tcPr>
                  <w:tcW w:w="606" w:type="pct"/>
                  <w:vMerge w:val="restart"/>
                  <w:noWrap w:val="0"/>
                  <w:vAlign w:val="center"/>
                </w:tcPr>
                <w:p w14:paraId="762401AF">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声源源强</w:t>
                  </w:r>
                  <w:r>
                    <w:rPr>
                      <w:rFonts w:hint="default" w:ascii="Times New Roman" w:hAnsi="Times New Roman" w:cs="Times New Roman"/>
                      <w:b/>
                      <w:bCs/>
                      <w:color w:val="auto"/>
                      <w:sz w:val="21"/>
                      <w:szCs w:val="21"/>
                    </w:rPr>
                    <w:t>dB(A)</w:t>
                  </w:r>
                </w:p>
              </w:tc>
              <w:tc>
                <w:tcPr>
                  <w:tcW w:w="1080" w:type="pct"/>
                  <w:vMerge w:val="restart"/>
                  <w:noWrap w:val="0"/>
                  <w:vAlign w:val="center"/>
                </w:tcPr>
                <w:p w14:paraId="28940422">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声源控制手段</w:t>
                  </w:r>
                </w:p>
              </w:tc>
              <w:tc>
                <w:tcPr>
                  <w:tcW w:w="587" w:type="pct"/>
                  <w:vMerge w:val="restart"/>
                  <w:noWrap w:val="0"/>
                  <w:vAlign w:val="center"/>
                </w:tcPr>
                <w:p w14:paraId="273508B6">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运行时段</w:t>
                  </w:r>
                </w:p>
              </w:tc>
            </w:tr>
            <w:tr w14:paraId="38429C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282" w:type="pct"/>
                  <w:vMerge w:val="continue"/>
                  <w:noWrap w:val="0"/>
                  <w:vAlign w:val="center"/>
                </w:tcPr>
                <w:p w14:paraId="2945BA26">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rPr>
                  </w:pPr>
                </w:p>
              </w:tc>
              <w:tc>
                <w:tcPr>
                  <w:tcW w:w="822" w:type="pct"/>
                  <w:vMerge w:val="continue"/>
                  <w:noWrap w:val="0"/>
                  <w:vAlign w:val="center"/>
                </w:tcPr>
                <w:p w14:paraId="10BC0458">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rPr>
                  </w:pPr>
                </w:p>
              </w:tc>
              <w:tc>
                <w:tcPr>
                  <w:tcW w:w="436" w:type="pct"/>
                  <w:vMerge w:val="continue"/>
                  <w:noWrap w:val="0"/>
                  <w:vAlign w:val="center"/>
                </w:tcPr>
                <w:p w14:paraId="3FB37A21">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rPr>
                  </w:pPr>
                </w:p>
              </w:tc>
              <w:tc>
                <w:tcPr>
                  <w:tcW w:w="446" w:type="pct"/>
                  <w:noWrap w:val="0"/>
                  <w:vAlign w:val="center"/>
                </w:tcPr>
                <w:p w14:paraId="395DF85E">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X</w:t>
                  </w:r>
                </w:p>
              </w:tc>
              <w:tc>
                <w:tcPr>
                  <w:tcW w:w="444" w:type="pct"/>
                  <w:noWrap w:val="0"/>
                  <w:vAlign w:val="center"/>
                </w:tcPr>
                <w:p w14:paraId="1AE4AC00">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val="en-US" w:eastAsia="zh-CN"/>
                    </w:rPr>
                    <w:t>Y</w:t>
                  </w:r>
                </w:p>
              </w:tc>
              <w:tc>
                <w:tcPr>
                  <w:tcW w:w="292" w:type="pct"/>
                  <w:noWrap w:val="0"/>
                  <w:vAlign w:val="center"/>
                </w:tcPr>
                <w:p w14:paraId="6B412237">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val="en-US" w:eastAsia="zh-CN"/>
                    </w:rPr>
                    <w:t>Z</w:t>
                  </w:r>
                </w:p>
              </w:tc>
              <w:tc>
                <w:tcPr>
                  <w:tcW w:w="606" w:type="pct"/>
                  <w:vMerge w:val="continue"/>
                  <w:noWrap w:val="0"/>
                  <w:vAlign w:val="center"/>
                </w:tcPr>
                <w:p w14:paraId="47A1D25E">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rPr>
                  </w:pPr>
                </w:p>
              </w:tc>
              <w:tc>
                <w:tcPr>
                  <w:tcW w:w="1080" w:type="pct"/>
                  <w:vMerge w:val="continue"/>
                  <w:noWrap w:val="0"/>
                  <w:vAlign w:val="center"/>
                </w:tcPr>
                <w:p w14:paraId="5BF57E70">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rPr>
                  </w:pPr>
                </w:p>
              </w:tc>
              <w:tc>
                <w:tcPr>
                  <w:tcW w:w="587" w:type="pct"/>
                  <w:vMerge w:val="continue"/>
                  <w:noWrap w:val="0"/>
                  <w:vAlign w:val="center"/>
                </w:tcPr>
                <w:p w14:paraId="456596D1">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rPr>
                  </w:pPr>
                </w:p>
              </w:tc>
            </w:tr>
            <w:tr w14:paraId="40D306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282" w:type="pct"/>
                  <w:noWrap w:val="0"/>
                  <w:vAlign w:val="center"/>
                </w:tcPr>
                <w:p w14:paraId="13DDE344">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822" w:type="pct"/>
                  <w:noWrap w:val="0"/>
                  <w:vAlign w:val="center"/>
                </w:tcPr>
                <w:p w14:paraId="3735C411">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冷却塔</w:t>
                  </w:r>
                </w:p>
              </w:tc>
              <w:tc>
                <w:tcPr>
                  <w:tcW w:w="436" w:type="pct"/>
                  <w:noWrap w:val="0"/>
                  <w:vAlign w:val="center"/>
                </w:tcPr>
                <w:p w14:paraId="157B7566">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446" w:type="pct"/>
                  <w:noWrap w:val="0"/>
                  <w:vAlign w:val="center"/>
                </w:tcPr>
                <w:p w14:paraId="26C023DB">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42</w:t>
                  </w:r>
                </w:p>
              </w:tc>
              <w:tc>
                <w:tcPr>
                  <w:tcW w:w="444" w:type="pct"/>
                  <w:noWrap w:val="0"/>
                  <w:vAlign w:val="center"/>
                </w:tcPr>
                <w:p w14:paraId="132131CC">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w:t>
                  </w:r>
                </w:p>
              </w:tc>
              <w:tc>
                <w:tcPr>
                  <w:tcW w:w="292" w:type="pct"/>
                  <w:noWrap w:val="0"/>
                  <w:vAlign w:val="center"/>
                </w:tcPr>
                <w:p w14:paraId="6112664D">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606" w:type="pct"/>
                  <w:noWrap w:val="0"/>
                  <w:vAlign w:val="center"/>
                </w:tcPr>
                <w:p w14:paraId="424506D2">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rPr>
                  </w:pPr>
                  <w:r>
                    <w:rPr>
                      <w:rFonts w:hint="eastAsia" w:cs="Times New Roman"/>
                      <w:color w:val="auto"/>
                      <w:sz w:val="21"/>
                      <w:szCs w:val="21"/>
                      <w:highlight w:val="none"/>
                      <w:lang w:val="en-US" w:eastAsia="zh-CN"/>
                    </w:rPr>
                    <w:t>75</w:t>
                  </w:r>
                </w:p>
              </w:tc>
              <w:tc>
                <w:tcPr>
                  <w:tcW w:w="1080" w:type="pct"/>
                  <w:vMerge w:val="restart"/>
                  <w:noWrap w:val="0"/>
                  <w:vAlign w:val="center"/>
                </w:tcPr>
                <w:p w14:paraId="727F5EA0">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ascii="宋体" w:hAnsi="宋体" w:cs="宋体"/>
                      <w:color w:val="auto"/>
                      <w:spacing w:val="9"/>
                      <w:sz w:val="21"/>
                      <w:szCs w:val="21"/>
                      <w:lang w:val="en-US" w:eastAsia="zh-CN"/>
                    </w:rPr>
                    <w:t>采用</w:t>
                  </w:r>
                  <w:r>
                    <w:rPr>
                      <w:rFonts w:hint="eastAsia" w:ascii="宋体" w:hAnsi="宋体" w:cs="宋体"/>
                      <w:color w:val="auto"/>
                      <w:spacing w:val="9"/>
                      <w:sz w:val="21"/>
                      <w:szCs w:val="21"/>
                      <w:lang w:eastAsia="zh-CN"/>
                    </w:rPr>
                    <w:t>低噪设备、基础减振，</w:t>
                  </w:r>
                  <w:r>
                    <w:rPr>
                      <w:rFonts w:hint="default" w:ascii="Times New Roman" w:hAnsi="Times New Roman" w:cs="Times New Roman"/>
                      <w:color w:val="auto"/>
                      <w:sz w:val="21"/>
                      <w:szCs w:val="21"/>
                      <w:highlight w:val="none"/>
                    </w:rPr>
                    <w:t>距离衰减</w:t>
                  </w:r>
                </w:p>
              </w:tc>
              <w:tc>
                <w:tcPr>
                  <w:tcW w:w="587" w:type="pct"/>
                  <w:noWrap w:val="0"/>
                  <w:vAlign w:val="center"/>
                </w:tcPr>
                <w:p w14:paraId="043C5817">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r>
                    <w:rPr>
                      <w:rFonts w:hint="default" w:ascii="Times New Roman" w:hAnsi="Times New Roman" w:cs="Times New Roman"/>
                      <w:color w:val="auto"/>
                      <w:sz w:val="21"/>
                      <w:szCs w:val="21"/>
                    </w:rPr>
                    <w:t>h/</w:t>
                  </w:r>
                  <w:r>
                    <w:rPr>
                      <w:rFonts w:hint="eastAsia" w:ascii="Times New Roman" w:hAnsi="Times New Roman" w:cs="Times New Roman"/>
                      <w:color w:val="auto"/>
                      <w:sz w:val="21"/>
                      <w:szCs w:val="21"/>
                      <w:lang w:val="en-US" w:eastAsia="zh-CN"/>
                    </w:rPr>
                    <w:t>d</w:t>
                  </w:r>
                </w:p>
              </w:tc>
            </w:tr>
            <w:tr w14:paraId="09AD3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282" w:type="pct"/>
                  <w:noWrap w:val="0"/>
                  <w:vAlign w:val="center"/>
                </w:tcPr>
                <w:p w14:paraId="529478C0">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822" w:type="pct"/>
                  <w:shd w:val="clear" w:color="auto" w:fill="auto"/>
                  <w:noWrap w:val="0"/>
                  <w:vAlign w:val="center"/>
                </w:tcPr>
                <w:p w14:paraId="27DC7238">
                  <w:pPr>
                    <w:pStyle w:val="40"/>
                    <w:bidi w:val="0"/>
                    <w:ind w:left="420" w:leftChars="0" w:hanging="420" w:hangingChars="200"/>
                    <w:rPr>
                      <w:rFonts w:hint="default" w:ascii="宋体" w:hAnsi="Times New Roman" w:eastAsia="Times New Roman" w:cs="Times New Roman"/>
                      <w:color w:val="auto"/>
                      <w:kern w:val="0"/>
                      <w:sz w:val="21"/>
                      <w:szCs w:val="20"/>
                      <w:lang w:val="en-US" w:eastAsia="zh-CN" w:bidi="ar-SA"/>
                    </w:rPr>
                  </w:pPr>
                  <w:r>
                    <w:rPr>
                      <w:rFonts w:hint="eastAsia"/>
                      <w:color w:val="auto"/>
                      <w:lang w:val="en-US" w:eastAsia="zh-CN"/>
                    </w:rPr>
                    <w:t>泵</w:t>
                  </w:r>
                </w:p>
              </w:tc>
              <w:tc>
                <w:tcPr>
                  <w:tcW w:w="436" w:type="pct"/>
                  <w:noWrap w:val="0"/>
                  <w:vAlign w:val="center"/>
                </w:tcPr>
                <w:p w14:paraId="644192F5">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446" w:type="pct"/>
                  <w:noWrap w:val="0"/>
                  <w:vAlign w:val="center"/>
                </w:tcPr>
                <w:p w14:paraId="1A578380">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444" w:type="pct"/>
                  <w:noWrap w:val="0"/>
                  <w:vAlign w:val="center"/>
                </w:tcPr>
                <w:p w14:paraId="62B2FBC6">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292" w:type="pct"/>
                  <w:noWrap w:val="0"/>
                  <w:vAlign w:val="center"/>
                </w:tcPr>
                <w:p w14:paraId="18C7B4EA">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606" w:type="pct"/>
                  <w:noWrap w:val="0"/>
                  <w:vAlign w:val="center"/>
                </w:tcPr>
                <w:p w14:paraId="1B78A856">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1080" w:type="pct"/>
                  <w:vMerge w:val="continue"/>
                  <w:noWrap w:val="0"/>
                  <w:vAlign w:val="center"/>
                </w:tcPr>
                <w:p w14:paraId="66926D9E">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eastAsia" w:ascii="宋体" w:hAnsi="宋体" w:cs="宋体"/>
                      <w:color w:val="auto"/>
                      <w:spacing w:val="9"/>
                      <w:sz w:val="21"/>
                      <w:szCs w:val="21"/>
                      <w:lang w:eastAsia="zh-CN"/>
                    </w:rPr>
                  </w:pPr>
                </w:p>
              </w:tc>
              <w:tc>
                <w:tcPr>
                  <w:tcW w:w="587" w:type="pct"/>
                  <w:noWrap w:val="0"/>
                  <w:vAlign w:val="center"/>
                </w:tcPr>
                <w:p w14:paraId="5178BBA8">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eastAsia" w:cs="Times New Roman"/>
                      <w:color w:val="auto"/>
                      <w:sz w:val="21"/>
                      <w:szCs w:val="21"/>
                      <w:lang w:val="en-US" w:eastAsia="zh-CN"/>
                    </w:rPr>
                  </w:pPr>
                  <w:r>
                    <w:rPr>
                      <w:rFonts w:hint="eastAsia" w:cs="Times New Roman"/>
                      <w:color w:val="auto"/>
                      <w:sz w:val="21"/>
                      <w:szCs w:val="21"/>
                      <w:lang w:val="en-US" w:eastAsia="zh-CN"/>
                    </w:rPr>
                    <w:t>16</w:t>
                  </w:r>
                  <w:r>
                    <w:rPr>
                      <w:rFonts w:hint="default" w:ascii="Times New Roman" w:hAnsi="Times New Roman" w:cs="Times New Roman"/>
                      <w:color w:val="auto"/>
                      <w:sz w:val="21"/>
                      <w:szCs w:val="21"/>
                    </w:rPr>
                    <w:t>h/</w:t>
                  </w:r>
                  <w:r>
                    <w:rPr>
                      <w:rFonts w:hint="eastAsia" w:ascii="Times New Roman" w:hAnsi="Times New Roman" w:cs="Times New Roman"/>
                      <w:color w:val="auto"/>
                      <w:sz w:val="21"/>
                      <w:szCs w:val="21"/>
                      <w:lang w:val="en-US" w:eastAsia="zh-CN"/>
                    </w:rPr>
                    <w:t>d</w:t>
                  </w:r>
                </w:p>
              </w:tc>
            </w:tr>
            <w:tr w14:paraId="7458B0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282" w:type="pct"/>
                  <w:noWrap w:val="0"/>
                  <w:vAlign w:val="center"/>
                </w:tcPr>
                <w:p w14:paraId="52BED884">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822" w:type="pct"/>
                  <w:shd w:val="clear" w:color="auto" w:fill="auto"/>
                  <w:noWrap w:val="0"/>
                  <w:vAlign w:val="center"/>
                </w:tcPr>
                <w:p w14:paraId="36300F47">
                  <w:pPr>
                    <w:pStyle w:val="40"/>
                    <w:bidi w:val="0"/>
                    <w:ind w:left="420" w:leftChars="0" w:hanging="420" w:hangingChars="200"/>
                    <w:rPr>
                      <w:rFonts w:hint="default" w:ascii="宋体" w:hAnsi="Times New Roman" w:eastAsia="Times New Roman" w:cs="Times New Roman"/>
                      <w:color w:val="auto"/>
                      <w:kern w:val="0"/>
                      <w:sz w:val="21"/>
                      <w:szCs w:val="20"/>
                      <w:lang w:val="en-US" w:eastAsia="zh-CN" w:bidi="ar-SA"/>
                    </w:rPr>
                  </w:pPr>
                  <w:r>
                    <w:rPr>
                      <w:rFonts w:hint="eastAsia"/>
                      <w:color w:val="auto"/>
                      <w:lang w:val="en-US" w:eastAsia="zh-CN"/>
                    </w:rPr>
                    <w:t>板框压滤机</w:t>
                  </w:r>
                </w:p>
              </w:tc>
              <w:tc>
                <w:tcPr>
                  <w:tcW w:w="436" w:type="pct"/>
                  <w:noWrap w:val="0"/>
                  <w:vAlign w:val="center"/>
                </w:tcPr>
                <w:p w14:paraId="73A2C638">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446" w:type="pct"/>
                  <w:noWrap w:val="0"/>
                  <w:vAlign w:val="center"/>
                </w:tcPr>
                <w:p w14:paraId="530F00FF">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cs="Times New Roman"/>
                      <w:color w:val="auto"/>
                      <w:sz w:val="21"/>
                      <w:szCs w:val="21"/>
                      <w:lang w:val="en-US" w:eastAsia="zh-CN"/>
                    </w:rPr>
                  </w:pPr>
                  <w:r>
                    <w:rPr>
                      <w:rFonts w:hint="eastAsia" w:cs="Times New Roman"/>
                      <w:color w:val="auto"/>
                      <w:sz w:val="21"/>
                      <w:szCs w:val="21"/>
                      <w:lang w:val="en-US" w:eastAsia="zh-CN"/>
                    </w:rPr>
                    <w:t>32</w:t>
                  </w:r>
                </w:p>
              </w:tc>
              <w:tc>
                <w:tcPr>
                  <w:tcW w:w="444" w:type="pct"/>
                  <w:noWrap w:val="0"/>
                  <w:vAlign w:val="center"/>
                </w:tcPr>
                <w:p w14:paraId="3A7011E3">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292" w:type="pct"/>
                  <w:noWrap w:val="0"/>
                  <w:vAlign w:val="center"/>
                </w:tcPr>
                <w:p w14:paraId="450AA9D9">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606" w:type="pct"/>
                  <w:noWrap w:val="0"/>
                  <w:vAlign w:val="center"/>
                </w:tcPr>
                <w:p w14:paraId="77915D1B">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1080" w:type="pct"/>
                  <w:vMerge w:val="continue"/>
                  <w:noWrap w:val="0"/>
                  <w:vAlign w:val="center"/>
                </w:tcPr>
                <w:p w14:paraId="33BA10BE">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eastAsia" w:ascii="宋体" w:hAnsi="宋体" w:cs="宋体"/>
                      <w:color w:val="auto"/>
                      <w:spacing w:val="9"/>
                      <w:sz w:val="21"/>
                      <w:szCs w:val="21"/>
                      <w:lang w:eastAsia="zh-CN"/>
                    </w:rPr>
                  </w:pPr>
                </w:p>
              </w:tc>
              <w:tc>
                <w:tcPr>
                  <w:tcW w:w="587" w:type="pct"/>
                  <w:noWrap w:val="0"/>
                  <w:vAlign w:val="center"/>
                </w:tcPr>
                <w:p w14:paraId="1E155B14">
                  <w:pPr>
                    <w:pStyle w:val="73"/>
                    <w:keepNext w:val="0"/>
                    <w:keepLines w:val="0"/>
                    <w:pageBreakBefore w:val="0"/>
                    <w:widowControl w:val="0"/>
                    <w:kinsoku/>
                    <w:wordWrap/>
                    <w:overflowPunct/>
                    <w:topLinePunct w:val="0"/>
                    <w:autoSpaceDE w:val="0"/>
                    <w:autoSpaceDN w:val="0"/>
                    <w:bidi w:val="0"/>
                    <w:adjustRightInd w:val="0"/>
                    <w:snapToGrid w:val="0"/>
                    <w:spacing w:before="0" w:beforeLines="0" w:after="0" w:afterLines="0"/>
                    <w:textAlignment w:val="auto"/>
                    <w:rPr>
                      <w:rFonts w:hint="default" w:cs="Times New Roman"/>
                      <w:color w:val="auto"/>
                      <w:sz w:val="21"/>
                      <w:szCs w:val="21"/>
                      <w:lang w:val="en-US" w:eastAsia="zh-CN"/>
                    </w:rPr>
                  </w:pPr>
                  <w:r>
                    <w:rPr>
                      <w:rFonts w:hint="eastAsia" w:cs="Times New Roman"/>
                      <w:color w:val="auto"/>
                      <w:sz w:val="21"/>
                      <w:szCs w:val="21"/>
                      <w:lang w:val="en-US" w:eastAsia="zh-CN"/>
                    </w:rPr>
                    <w:t>8</w:t>
                  </w:r>
                  <w:r>
                    <w:rPr>
                      <w:rFonts w:hint="default" w:ascii="Times New Roman" w:hAnsi="Times New Roman" w:cs="Times New Roman"/>
                      <w:color w:val="auto"/>
                      <w:sz w:val="21"/>
                      <w:szCs w:val="21"/>
                    </w:rPr>
                    <w:t>h/</w:t>
                  </w:r>
                  <w:r>
                    <w:rPr>
                      <w:rFonts w:hint="eastAsia" w:ascii="Times New Roman" w:hAnsi="Times New Roman" w:cs="Times New Roman"/>
                      <w:color w:val="auto"/>
                      <w:sz w:val="21"/>
                      <w:szCs w:val="21"/>
                      <w:lang w:val="en-US" w:eastAsia="zh-CN"/>
                    </w:rPr>
                    <w:t>d</w:t>
                  </w:r>
                </w:p>
              </w:tc>
            </w:tr>
          </w:tbl>
          <w:p w14:paraId="37AD8090">
            <w:pPr>
              <w:pageBreakBefore w:val="0"/>
              <w:numPr>
                <w:ilvl w:val="0"/>
                <w:numId w:val="0"/>
              </w:numPr>
              <w:topLinePunct w:val="0"/>
              <w:bidi w:val="0"/>
              <w:adjustRightInd/>
              <w:snapToGrid/>
              <w:spacing w:beforeAutospacing="0" w:afterAutospacing="0" w:line="240" w:lineRule="auto"/>
              <w:ind w:right="0" w:rightChars="0"/>
              <w:rPr>
                <w:rFonts w:hint="eastAsia" w:ascii="Times New Roman" w:hAnsi="Times New Roman" w:eastAsia="宋体" w:cs="Times New Roman"/>
                <w:b/>
                <w:bCs/>
                <w:color w:val="auto"/>
                <w:sz w:val="18"/>
                <w:szCs w:val="18"/>
                <w:lang w:eastAsia="zh-CN"/>
              </w:rPr>
            </w:pPr>
            <w:r>
              <w:rPr>
                <w:rFonts w:hint="eastAsia" w:ascii="Times New Roman" w:hAnsi="Times New Roman" w:cs="Times New Roman"/>
                <w:b/>
                <w:bCs/>
                <w:color w:val="auto"/>
                <w:sz w:val="18"/>
                <w:szCs w:val="18"/>
                <w:lang w:val="en-US" w:eastAsia="zh-CN"/>
              </w:rPr>
              <w:t>注：</w:t>
            </w:r>
            <w:r>
              <w:rPr>
                <w:rFonts w:hint="default" w:ascii="Times New Roman" w:hAnsi="Times New Roman" w:cs="Times New Roman"/>
                <w:b/>
                <w:bCs/>
                <w:color w:val="auto"/>
                <w:sz w:val="18"/>
                <w:szCs w:val="18"/>
              </w:rPr>
              <w:t>本项目（0，0</w:t>
            </w:r>
            <w:r>
              <w:rPr>
                <w:rFonts w:hint="eastAsia" w:eastAsia="宋体" w:cs="Times New Roman"/>
                <w:b/>
                <w:bCs/>
                <w:color w:val="auto"/>
                <w:sz w:val="18"/>
                <w:szCs w:val="18"/>
                <w:lang w:eastAsia="zh-CN"/>
              </w:rPr>
              <w:t>，</w:t>
            </w:r>
            <w:r>
              <w:rPr>
                <w:rFonts w:hint="eastAsia" w:eastAsia="宋体" w:cs="Times New Roman"/>
                <w:b/>
                <w:bCs/>
                <w:color w:val="auto"/>
                <w:sz w:val="18"/>
                <w:szCs w:val="18"/>
                <w:lang w:val="en-US" w:eastAsia="zh-CN"/>
              </w:rPr>
              <w:t>0</w:t>
            </w:r>
            <w:r>
              <w:rPr>
                <w:rFonts w:hint="default" w:ascii="Times New Roman" w:hAnsi="Times New Roman" w:cs="Times New Roman"/>
                <w:b/>
                <w:bCs/>
                <w:color w:val="auto"/>
                <w:sz w:val="18"/>
                <w:szCs w:val="18"/>
              </w:rPr>
              <w:t>）点坐标位于厂界西南角，“X”代表以正东为正方向的坐标轴，“Y”代表以正北为正方向的坐标轴，“</w:t>
            </w:r>
            <w:r>
              <w:rPr>
                <w:rFonts w:hint="eastAsia" w:eastAsia="宋体" w:cs="Times New Roman"/>
                <w:b/>
                <w:bCs/>
                <w:color w:val="auto"/>
                <w:sz w:val="18"/>
                <w:szCs w:val="18"/>
                <w:lang w:val="en-US" w:eastAsia="zh-CN"/>
              </w:rPr>
              <w:t>Z</w:t>
            </w:r>
            <w:r>
              <w:rPr>
                <w:rFonts w:hint="default" w:ascii="Times New Roman" w:hAnsi="Times New Roman" w:cs="Times New Roman"/>
                <w:b/>
                <w:bCs/>
                <w:color w:val="auto"/>
                <w:sz w:val="18"/>
                <w:szCs w:val="18"/>
              </w:rPr>
              <w:t>”代表垂直于X，Y 向上的坐标轴。</w:t>
            </w:r>
          </w:p>
          <w:p w14:paraId="21AEC318">
            <w:pPr>
              <w:pageBreakBefore w:val="0"/>
              <w:numPr>
                <w:ilvl w:val="0"/>
                <w:numId w:val="0"/>
              </w:numPr>
              <w:topLinePunct w:val="0"/>
              <w:bidi w:val="0"/>
              <w:adjustRightInd/>
              <w:snapToGrid/>
              <w:spacing w:beforeAutospacing="0" w:afterAutospacing="0" w:line="360" w:lineRule="auto"/>
              <w:ind w:leftChars="200" w:right="0" w:rightChars="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预测结果及评价</w:t>
            </w:r>
          </w:p>
          <w:p w14:paraId="65BDA97C">
            <w:pPr>
              <w:pageBreakBefore w:val="0"/>
              <w:topLinePunct w:val="0"/>
              <w:bidi w:val="0"/>
              <w:adjustRightInd/>
              <w:snapToGrid/>
              <w:spacing w:beforeAutospacing="0" w:afterAutospacing="0" w:line="360" w:lineRule="auto"/>
              <w:ind w:left="0" w:leftChars="0" w:right="0" w:rightChars="0" w:firstLine="480" w:firstLineChars="200"/>
              <w:rPr>
                <w:rFonts w:hint="default" w:ascii="Times New Roman" w:hAnsi="Times New Roman" w:cs="Times New Roman"/>
                <w:b/>
                <w:bCs/>
                <w:color w:val="auto"/>
                <w:sz w:val="24"/>
                <w:szCs w:val="24"/>
                <w:lang w:val="zh-CN"/>
              </w:rPr>
            </w:pPr>
            <w:r>
              <w:rPr>
                <w:rFonts w:hint="default" w:ascii="Times New Roman" w:hAnsi="Times New Roman" w:cs="Times New Roman"/>
                <w:color w:val="auto"/>
                <w:sz w:val="24"/>
                <w:szCs w:val="24"/>
              </w:rPr>
              <w:t>为了便于比较厂界噪声水平变化情况，影响预测的各受声点均选择在现状监测的同一位置。此外，车间墙壁的隔声量按同类型厂区实测作为类比，一般为</w:t>
            </w:r>
            <w:r>
              <w:rPr>
                <w:rFonts w:hint="eastAsia" w:eastAsia="宋体" w:cs="Times New Roman"/>
                <w:color w:val="auto"/>
                <w:sz w:val="24"/>
                <w:szCs w:val="24"/>
                <w:lang w:val="en-US" w:eastAsia="zh-CN"/>
              </w:rPr>
              <w:t>15</w:t>
            </w:r>
            <w:r>
              <w:rPr>
                <w:rFonts w:hint="default" w:ascii="Times New Roman" w:hAnsi="Times New Roman" w:cs="Times New Roman"/>
                <w:color w:val="auto"/>
                <w:sz w:val="24"/>
                <w:szCs w:val="24"/>
              </w:rPr>
              <w:t>～</w:t>
            </w:r>
            <w:r>
              <w:rPr>
                <w:rFonts w:hint="eastAsia" w:eastAsia="宋体" w:cs="Times New Roman"/>
                <w:color w:val="auto"/>
                <w:sz w:val="24"/>
                <w:szCs w:val="24"/>
                <w:lang w:val="en-US" w:eastAsia="zh-CN"/>
              </w:rPr>
              <w:t>25</w:t>
            </w:r>
            <w:r>
              <w:rPr>
                <w:rFonts w:hint="default" w:ascii="Times New Roman" w:hAnsi="Times New Roman" w:cs="Times New Roman"/>
                <w:color w:val="auto"/>
                <w:sz w:val="24"/>
                <w:szCs w:val="24"/>
              </w:rPr>
              <w:t>dB</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本评价取2</w:t>
            </w:r>
            <w:r>
              <w:rPr>
                <w:rFonts w:hint="eastAsia" w:cs="Times New Roman"/>
                <w:color w:val="auto"/>
                <w:sz w:val="24"/>
                <w:szCs w:val="24"/>
                <w:lang w:val="en-US" w:eastAsia="zh-CN"/>
              </w:rPr>
              <w:t>0</w:t>
            </w:r>
            <w:r>
              <w:rPr>
                <w:rFonts w:hint="default" w:ascii="Times New Roman" w:hAnsi="Times New Roman" w:cs="Times New Roman"/>
                <w:color w:val="auto"/>
                <w:sz w:val="24"/>
                <w:szCs w:val="24"/>
              </w:rPr>
              <w:t>dB</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，同时考虑到窗户的隔声效果，对比进行一些修正。考虑车间墙体隔声、建筑物隔声和距离衰减等因素的作用，经计算得厂界噪声预测结果见下表所示。</w:t>
            </w:r>
          </w:p>
          <w:p w14:paraId="6B25BC31">
            <w:pPr>
              <w:pStyle w:val="8"/>
              <w:spacing w:before="0" w:beforeLines="0" w:after="0" w:afterLines="0" w:line="240" w:lineRule="auto"/>
              <w:ind w:right="0"/>
              <w:jc w:val="center"/>
              <w:rPr>
                <w:rFonts w:hint="eastAsia"/>
                <w:b/>
                <w:color w:val="auto"/>
                <w:sz w:val="21"/>
                <w:szCs w:val="21"/>
              </w:rPr>
            </w:pPr>
            <w:r>
              <w:rPr>
                <w:rFonts w:hint="eastAsia"/>
                <w:b/>
                <w:color w:val="auto"/>
                <w:sz w:val="21"/>
                <w:szCs w:val="21"/>
              </w:rPr>
              <w:t>表4-</w:t>
            </w:r>
            <w:r>
              <w:rPr>
                <w:rFonts w:hint="eastAsia"/>
                <w:b/>
                <w:color w:val="auto"/>
                <w:sz w:val="21"/>
                <w:szCs w:val="21"/>
                <w:lang w:val="en-US" w:eastAsia="zh-CN"/>
              </w:rPr>
              <w:t>12</w:t>
            </w:r>
            <w:r>
              <w:rPr>
                <w:rFonts w:hint="eastAsia"/>
                <w:b/>
                <w:color w:val="auto"/>
                <w:sz w:val="21"/>
                <w:szCs w:val="21"/>
              </w:rPr>
              <w:t xml:space="preserve">  项目环境噪声预测表  单位：dB（A）</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343"/>
              <w:gridCol w:w="1447"/>
              <w:gridCol w:w="1432"/>
              <w:gridCol w:w="1300"/>
            </w:tblGrid>
            <w:tr w14:paraId="2BC65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292" w:type="dxa"/>
                  <w:tcBorders>
                    <w:tl2br w:val="nil"/>
                    <w:tr2bl w:val="nil"/>
                  </w:tcBorders>
                  <w:noWrap w:val="0"/>
                  <w:vAlign w:val="center"/>
                </w:tcPr>
                <w:p w14:paraId="2ACFEF05">
                  <w:pPr>
                    <w:pStyle w:val="9"/>
                    <w:spacing w:beforeLines="0" w:after="0" w:afterLines="0"/>
                    <w:ind w:left="0" w:leftChars="0"/>
                    <w:jc w:val="center"/>
                    <w:rPr>
                      <w:rFonts w:hint="eastAsia"/>
                      <w:b/>
                      <w:color w:val="auto"/>
                      <w:sz w:val="21"/>
                      <w:szCs w:val="21"/>
                    </w:rPr>
                  </w:pPr>
                  <w:r>
                    <w:rPr>
                      <w:rFonts w:hint="eastAsia"/>
                      <w:b/>
                      <w:color w:val="auto"/>
                      <w:sz w:val="21"/>
                      <w:szCs w:val="21"/>
                    </w:rPr>
                    <w:t>方位编号</w:t>
                  </w:r>
                </w:p>
              </w:tc>
              <w:tc>
                <w:tcPr>
                  <w:tcW w:w="1143" w:type="dxa"/>
                  <w:tcBorders>
                    <w:tl2br w:val="nil"/>
                    <w:tr2bl w:val="nil"/>
                  </w:tcBorders>
                  <w:noWrap w:val="0"/>
                  <w:vAlign w:val="center"/>
                </w:tcPr>
                <w:p w14:paraId="3A7F07F2">
                  <w:pPr>
                    <w:pStyle w:val="9"/>
                    <w:spacing w:beforeLines="0" w:after="0" w:afterLines="0"/>
                    <w:ind w:left="0" w:leftChars="0"/>
                    <w:jc w:val="center"/>
                    <w:rPr>
                      <w:rFonts w:hint="eastAsia"/>
                      <w:b/>
                      <w:color w:val="auto"/>
                      <w:sz w:val="21"/>
                      <w:szCs w:val="21"/>
                    </w:rPr>
                  </w:pPr>
                  <w:r>
                    <w:rPr>
                      <w:rFonts w:hint="eastAsia"/>
                      <w:b/>
                      <w:color w:val="auto"/>
                      <w:sz w:val="21"/>
                      <w:szCs w:val="21"/>
                    </w:rPr>
                    <w:t>东面</w:t>
                  </w:r>
                </w:p>
              </w:tc>
              <w:tc>
                <w:tcPr>
                  <w:tcW w:w="1231" w:type="dxa"/>
                  <w:tcBorders>
                    <w:tl2br w:val="nil"/>
                    <w:tr2bl w:val="nil"/>
                  </w:tcBorders>
                  <w:noWrap w:val="0"/>
                  <w:vAlign w:val="center"/>
                </w:tcPr>
                <w:p w14:paraId="3392244D">
                  <w:pPr>
                    <w:pStyle w:val="9"/>
                    <w:spacing w:beforeLines="0" w:after="0" w:afterLines="0"/>
                    <w:ind w:left="0" w:leftChars="0"/>
                    <w:jc w:val="center"/>
                    <w:rPr>
                      <w:rFonts w:hint="eastAsia"/>
                      <w:b/>
                      <w:color w:val="auto"/>
                      <w:sz w:val="21"/>
                      <w:szCs w:val="21"/>
                    </w:rPr>
                  </w:pPr>
                  <w:r>
                    <w:rPr>
                      <w:rFonts w:hint="eastAsia"/>
                      <w:b/>
                      <w:color w:val="auto"/>
                      <w:sz w:val="21"/>
                      <w:szCs w:val="21"/>
                    </w:rPr>
                    <w:t>南面</w:t>
                  </w:r>
                </w:p>
              </w:tc>
              <w:tc>
                <w:tcPr>
                  <w:tcW w:w="1219" w:type="dxa"/>
                  <w:tcBorders>
                    <w:tl2br w:val="nil"/>
                    <w:tr2bl w:val="nil"/>
                  </w:tcBorders>
                  <w:noWrap w:val="0"/>
                  <w:vAlign w:val="center"/>
                </w:tcPr>
                <w:p w14:paraId="7ADA5EF1">
                  <w:pPr>
                    <w:pStyle w:val="9"/>
                    <w:spacing w:beforeLines="0" w:after="0" w:afterLines="0"/>
                    <w:ind w:left="0" w:leftChars="0"/>
                    <w:jc w:val="center"/>
                    <w:rPr>
                      <w:rFonts w:hint="eastAsia"/>
                      <w:b/>
                      <w:color w:val="auto"/>
                      <w:sz w:val="21"/>
                      <w:szCs w:val="21"/>
                    </w:rPr>
                  </w:pPr>
                  <w:r>
                    <w:rPr>
                      <w:rFonts w:hint="eastAsia"/>
                      <w:b/>
                      <w:color w:val="auto"/>
                      <w:sz w:val="21"/>
                      <w:szCs w:val="21"/>
                    </w:rPr>
                    <w:t>西面</w:t>
                  </w:r>
                </w:p>
              </w:tc>
              <w:tc>
                <w:tcPr>
                  <w:tcW w:w="1106" w:type="dxa"/>
                  <w:tcBorders>
                    <w:tl2br w:val="nil"/>
                    <w:tr2bl w:val="nil"/>
                  </w:tcBorders>
                  <w:noWrap w:val="0"/>
                  <w:vAlign w:val="center"/>
                </w:tcPr>
                <w:p w14:paraId="256F9BAF">
                  <w:pPr>
                    <w:pStyle w:val="9"/>
                    <w:spacing w:beforeLines="0" w:after="0" w:afterLines="0"/>
                    <w:ind w:left="0" w:leftChars="0"/>
                    <w:jc w:val="center"/>
                    <w:rPr>
                      <w:rFonts w:hint="eastAsia"/>
                      <w:b/>
                      <w:color w:val="auto"/>
                      <w:sz w:val="21"/>
                      <w:szCs w:val="21"/>
                    </w:rPr>
                  </w:pPr>
                  <w:r>
                    <w:rPr>
                      <w:rFonts w:hint="eastAsia"/>
                      <w:b/>
                      <w:color w:val="auto"/>
                      <w:sz w:val="21"/>
                      <w:szCs w:val="21"/>
                    </w:rPr>
                    <w:t>北面</w:t>
                  </w:r>
                </w:p>
              </w:tc>
            </w:tr>
            <w:tr w14:paraId="3213E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Borders>
                    <w:tl2br w:val="nil"/>
                    <w:tr2bl w:val="nil"/>
                  </w:tcBorders>
                  <w:noWrap w:val="0"/>
                  <w:vAlign w:val="center"/>
                </w:tcPr>
                <w:p w14:paraId="2BD25EBD">
                  <w:pPr>
                    <w:pStyle w:val="9"/>
                    <w:spacing w:beforeLines="0" w:after="0" w:afterLines="0"/>
                    <w:ind w:left="0" w:leftChars="0"/>
                    <w:jc w:val="center"/>
                    <w:rPr>
                      <w:rFonts w:hint="eastAsia"/>
                      <w:color w:val="auto"/>
                      <w:sz w:val="21"/>
                      <w:szCs w:val="21"/>
                    </w:rPr>
                  </w:pPr>
                  <w:r>
                    <w:rPr>
                      <w:rFonts w:hint="eastAsia"/>
                      <w:color w:val="auto"/>
                      <w:sz w:val="21"/>
                      <w:szCs w:val="21"/>
                    </w:rPr>
                    <w:t>噪声叠加值</w:t>
                  </w:r>
                </w:p>
              </w:tc>
              <w:tc>
                <w:tcPr>
                  <w:tcW w:w="4699" w:type="dxa"/>
                  <w:gridSpan w:val="4"/>
                  <w:tcBorders>
                    <w:tl2br w:val="nil"/>
                    <w:tr2bl w:val="nil"/>
                  </w:tcBorders>
                  <w:noWrap w:val="0"/>
                  <w:vAlign w:val="center"/>
                </w:tcPr>
                <w:p w14:paraId="05A2B247">
                  <w:pPr>
                    <w:pStyle w:val="9"/>
                    <w:spacing w:beforeLines="0" w:after="0" w:afterLines="0"/>
                    <w:ind w:left="0" w:leftChars="0"/>
                    <w:jc w:val="center"/>
                    <w:rPr>
                      <w:rFonts w:hint="default" w:eastAsia="宋体"/>
                      <w:color w:val="auto"/>
                      <w:sz w:val="21"/>
                      <w:szCs w:val="21"/>
                      <w:lang w:val="en-US" w:eastAsia="zh-CN"/>
                    </w:rPr>
                  </w:pPr>
                  <w:r>
                    <w:rPr>
                      <w:rFonts w:hint="eastAsia"/>
                      <w:color w:val="auto"/>
                      <w:sz w:val="21"/>
                      <w:szCs w:val="21"/>
                      <w:lang w:val="en-US" w:eastAsia="zh-CN"/>
                    </w:rPr>
                    <w:t>82.36</w:t>
                  </w:r>
                </w:p>
              </w:tc>
            </w:tr>
            <w:tr w14:paraId="6919C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Borders>
                    <w:tl2br w:val="nil"/>
                    <w:tr2bl w:val="nil"/>
                  </w:tcBorders>
                  <w:noWrap w:val="0"/>
                  <w:vAlign w:val="center"/>
                </w:tcPr>
                <w:p w14:paraId="73194960">
                  <w:pPr>
                    <w:pStyle w:val="9"/>
                    <w:spacing w:beforeLines="0" w:after="0" w:afterLines="0"/>
                    <w:ind w:left="0" w:leftChars="0"/>
                    <w:jc w:val="center"/>
                    <w:rPr>
                      <w:rFonts w:hint="eastAsia"/>
                      <w:color w:val="auto"/>
                      <w:sz w:val="21"/>
                      <w:szCs w:val="21"/>
                    </w:rPr>
                  </w:pPr>
                  <w:r>
                    <w:rPr>
                      <w:rFonts w:hint="eastAsia"/>
                      <w:color w:val="auto"/>
                      <w:sz w:val="21"/>
                      <w:szCs w:val="21"/>
                    </w:rPr>
                    <w:t>车间减震、建筑隔声等</w:t>
                  </w:r>
                </w:p>
              </w:tc>
              <w:tc>
                <w:tcPr>
                  <w:tcW w:w="4699" w:type="dxa"/>
                  <w:gridSpan w:val="4"/>
                  <w:tcBorders>
                    <w:tl2br w:val="nil"/>
                    <w:tr2bl w:val="nil"/>
                  </w:tcBorders>
                  <w:noWrap w:val="0"/>
                  <w:vAlign w:val="center"/>
                </w:tcPr>
                <w:p w14:paraId="1AFF4E97">
                  <w:pPr>
                    <w:pStyle w:val="9"/>
                    <w:spacing w:beforeLines="0" w:after="0" w:afterLines="0"/>
                    <w:ind w:left="0" w:leftChars="0"/>
                    <w:jc w:val="center"/>
                    <w:rPr>
                      <w:rFonts w:hint="eastAsia"/>
                      <w:color w:val="auto"/>
                      <w:sz w:val="21"/>
                      <w:szCs w:val="21"/>
                    </w:rPr>
                  </w:pPr>
                  <w:r>
                    <w:rPr>
                      <w:rFonts w:hint="eastAsia"/>
                      <w:color w:val="auto"/>
                      <w:sz w:val="21"/>
                      <w:szCs w:val="21"/>
                    </w:rPr>
                    <w:t>20</w:t>
                  </w:r>
                </w:p>
              </w:tc>
            </w:tr>
            <w:tr w14:paraId="25B84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Borders>
                    <w:tl2br w:val="nil"/>
                    <w:tr2bl w:val="nil"/>
                  </w:tcBorders>
                  <w:noWrap w:val="0"/>
                  <w:vAlign w:val="center"/>
                </w:tcPr>
                <w:p w14:paraId="5DC98E48">
                  <w:pPr>
                    <w:pStyle w:val="9"/>
                    <w:spacing w:beforeLines="0" w:after="0" w:afterLines="0"/>
                    <w:ind w:left="0" w:leftChars="0"/>
                    <w:jc w:val="center"/>
                    <w:rPr>
                      <w:rFonts w:hint="eastAsia"/>
                      <w:color w:val="auto"/>
                      <w:sz w:val="21"/>
                      <w:szCs w:val="21"/>
                    </w:rPr>
                  </w:pPr>
                  <w:r>
                    <w:rPr>
                      <w:rFonts w:hint="eastAsia"/>
                      <w:color w:val="auto"/>
                      <w:sz w:val="21"/>
                      <w:szCs w:val="21"/>
                    </w:rPr>
                    <w:t>距离</w:t>
                  </w:r>
                </w:p>
              </w:tc>
              <w:tc>
                <w:tcPr>
                  <w:tcW w:w="1143" w:type="dxa"/>
                  <w:tcBorders>
                    <w:tl2br w:val="nil"/>
                    <w:tr2bl w:val="nil"/>
                  </w:tcBorders>
                  <w:noWrap w:val="0"/>
                  <w:vAlign w:val="center"/>
                </w:tcPr>
                <w:p w14:paraId="6A297821">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8</w:t>
                  </w:r>
                </w:p>
              </w:tc>
              <w:tc>
                <w:tcPr>
                  <w:tcW w:w="1231" w:type="dxa"/>
                  <w:tcBorders>
                    <w:tl2br w:val="nil"/>
                    <w:tr2bl w:val="nil"/>
                  </w:tcBorders>
                  <w:noWrap w:val="0"/>
                  <w:vAlign w:val="center"/>
                </w:tcPr>
                <w:p w14:paraId="7D475CA1">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10</w:t>
                  </w:r>
                </w:p>
              </w:tc>
              <w:tc>
                <w:tcPr>
                  <w:tcW w:w="1219" w:type="dxa"/>
                  <w:tcBorders>
                    <w:tl2br w:val="nil"/>
                    <w:tr2bl w:val="nil"/>
                  </w:tcBorders>
                  <w:noWrap w:val="0"/>
                  <w:vAlign w:val="center"/>
                </w:tcPr>
                <w:p w14:paraId="26AF2B51">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9</w:t>
                  </w:r>
                </w:p>
              </w:tc>
              <w:tc>
                <w:tcPr>
                  <w:tcW w:w="1106" w:type="dxa"/>
                  <w:tcBorders>
                    <w:tl2br w:val="nil"/>
                    <w:tr2bl w:val="nil"/>
                  </w:tcBorders>
                  <w:noWrap w:val="0"/>
                  <w:vAlign w:val="center"/>
                </w:tcPr>
                <w:p w14:paraId="7FDB732B">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36</w:t>
                  </w:r>
                </w:p>
              </w:tc>
            </w:tr>
            <w:tr w14:paraId="5A34B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Borders>
                    <w:tl2br w:val="nil"/>
                    <w:tr2bl w:val="nil"/>
                  </w:tcBorders>
                  <w:noWrap w:val="0"/>
                  <w:vAlign w:val="center"/>
                </w:tcPr>
                <w:p w14:paraId="3A3D4E71">
                  <w:pPr>
                    <w:pStyle w:val="9"/>
                    <w:spacing w:beforeLines="0" w:after="0" w:afterLines="0"/>
                    <w:ind w:left="0" w:leftChars="0"/>
                    <w:jc w:val="center"/>
                    <w:rPr>
                      <w:rFonts w:hint="eastAsia"/>
                      <w:color w:val="auto"/>
                      <w:sz w:val="21"/>
                      <w:szCs w:val="21"/>
                    </w:rPr>
                  </w:pPr>
                  <w:r>
                    <w:rPr>
                      <w:rFonts w:hint="eastAsia"/>
                      <w:color w:val="auto"/>
                      <w:sz w:val="21"/>
                      <w:szCs w:val="21"/>
                    </w:rPr>
                    <w:t>厂界噪声贡献值</w:t>
                  </w:r>
                </w:p>
              </w:tc>
              <w:tc>
                <w:tcPr>
                  <w:tcW w:w="1143" w:type="dxa"/>
                  <w:tcBorders>
                    <w:tl2br w:val="nil"/>
                    <w:tr2bl w:val="nil"/>
                  </w:tcBorders>
                  <w:noWrap w:val="0"/>
                  <w:vAlign w:val="center"/>
                </w:tcPr>
                <w:p w14:paraId="7A693CB6">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44.29</w:t>
                  </w:r>
                </w:p>
              </w:tc>
              <w:tc>
                <w:tcPr>
                  <w:tcW w:w="1231" w:type="dxa"/>
                  <w:tcBorders>
                    <w:tl2br w:val="nil"/>
                    <w:tr2bl w:val="nil"/>
                  </w:tcBorders>
                  <w:noWrap w:val="0"/>
                  <w:vAlign w:val="center"/>
                </w:tcPr>
                <w:p w14:paraId="67ECC58E">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42.36</w:t>
                  </w:r>
                </w:p>
              </w:tc>
              <w:tc>
                <w:tcPr>
                  <w:tcW w:w="1219" w:type="dxa"/>
                  <w:tcBorders>
                    <w:tl2br w:val="nil"/>
                    <w:tr2bl w:val="nil"/>
                  </w:tcBorders>
                  <w:noWrap w:val="0"/>
                  <w:vAlign w:val="center"/>
                </w:tcPr>
                <w:p w14:paraId="5843D709">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43.27</w:t>
                  </w:r>
                </w:p>
              </w:tc>
              <w:tc>
                <w:tcPr>
                  <w:tcW w:w="1106" w:type="dxa"/>
                  <w:tcBorders>
                    <w:tl2br w:val="nil"/>
                    <w:tr2bl w:val="nil"/>
                  </w:tcBorders>
                  <w:noWrap w:val="0"/>
                  <w:vAlign w:val="center"/>
                </w:tcPr>
                <w:p w14:paraId="70D00FBC">
                  <w:pPr>
                    <w:pStyle w:val="9"/>
                    <w:spacing w:beforeLines="0" w:after="0" w:afterLines="0"/>
                    <w:ind w:left="0" w:leftChars="0"/>
                    <w:jc w:val="center"/>
                    <w:rPr>
                      <w:rFonts w:hint="default" w:eastAsia="宋体"/>
                      <w:color w:val="auto"/>
                      <w:sz w:val="21"/>
                      <w:szCs w:val="21"/>
                      <w:lang w:val="en-US" w:eastAsia="zh-CN"/>
                    </w:rPr>
                  </w:pPr>
                  <w:r>
                    <w:rPr>
                      <w:rFonts w:hint="eastAsia" w:eastAsia="宋体"/>
                      <w:color w:val="auto"/>
                      <w:sz w:val="21"/>
                      <w:szCs w:val="21"/>
                      <w:lang w:val="en-US" w:eastAsia="zh-CN"/>
                    </w:rPr>
                    <w:t>31.23</w:t>
                  </w:r>
                </w:p>
              </w:tc>
            </w:tr>
            <w:tr w14:paraId="1BAAE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vMerge w:val="restart"/>
                  <w:tcBorders>
                    <w:tl2br w:val="nil"/>
                    <w:tr2bl w:val="nil"/>
                  </w:tcBorders>
                  <w:noWrap w:val="0"/>
                  <w:vAlign w:val="center"/>
                </w:tcPr>
                <w:p w14:paraId="32DE7DF7">
                  <w:pPr>
                    <w:pStyle w:val="9"/>
                    <w:spacing w:beforeLines="0" w:after="0" w:afterLines="0"/>
                    <w:ind w:left="0" w:leftChars="0"/>
                    <w:jc w:val="center"/>
                    <w:rPr>
                      <w:rFonts w:hint="eastAsia" w:eastAsia="宋体"/>
                      <w:color w:val="auto"/>
                      <w:sz w:val="21"/>
                      <w:szCs w:val="21"/>
                      <w:lang w:eastAsia="zh-CN"/>
                    </w:rPr>
                  </w:pPr>
                  <w:r>
                    <w:rPr>
                      <w:rFonts w:hint="eastAsia"/>
                      <w:color w:val="auto"/>
                      <w:sz w:val="21"/>
                      <w:szCs w:val="21"/>
                    </w:rPr>
                    <w:t>标准</w:t>
                  </w:r>
                  <w:r>
                    <w:rPr>
                      <w:rFonts w:hint="eastAsia"/>
                      <w:color w:val="auto"/>
                      <w:sz w:val="21"/>
                      <w:szCs w:val="21"/>
                      <w:lang w:eastAsia="zh-CN"/>
                    </w:rPr>
                    <w:t>值</w:t>
                  </w:r>
                </w:p>
              </w:tc>
              <w:tc>
                <w:tcPr>
                  <w:tcW w:w="4699" w:type="dxa"/>
                  <w:gridSpan w:val="4"/>
                  <w:tcBorders>
                    <w:tl2br w:val="nil"/>
                    <w:tr2bl w:val="nil"/>
                  </w:tcBorders>
                  <w:noWrap w:val="0"/>
                  <w:vAlign w:val="center"/>
                </w:tcPr>
                <w:p w14:paraId="0640593A">
                  <w:pPr>
                    <w:pStyle w:val="9"/>
                    <w:spacing w:beforeLines="0" w:after="0" w:afterLines="0"/>
                    <w:ind w:left="0" w:leftChars="0"/>
                    <w:jc w:val="center"/>
                    <w:rPr>
                      <w:rFonts w:hint="eastAsia"/>
                      <w:color w:val="auto"/>
                      <w:sz w:val="21"/>
                      <w:szCs w:val="21"/>
                    </w:rPr>
                  </w:pPr>
                  <w:r>
                    <w:rPr>
                      <w:rFonts w:hint="eastAsia"/>
                      <w:color w:val="auto"/>
                      <w:sz w:val="21"/>
                      <w:szCs w:val="21"/>
                    </w:rPr>
                    <w:t>3类</w:t>
                  </w:r>
                </w:p>
              </w:tc>
            </w:tr>
            <w:tr w14:paraId="0BCF4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vMerge w:val="continue"/>
                  <w:tcBorders>
                    <w:tl2br w:val="nil"/>
                    <w:tr2bl w:val="nil"/>
                  </w:tcBorders>
                  <w:noWrap w:val="0"/>
                  <w:vAlign w:val="center"/>
                </w:tcPr>
                <w:p w14:paraId="76409EE9">
                  <w:pPr>
                    <w:pStyle w:val="9"/>
                    <w:spacing w:beforeLines="0" w:after="0" w:afterLines="0"/>
                    <w:ind w:left="0" w:leftChars="0"/>
                    <w:jc w:val="center"/>
                    <w:rPr>
                      <w:rFonts w:hint="eastAsia"/>
                      <w:color w:val="auto"/>
                      <w:sz w:val="21"/>
                      <w:szCs w:val="21"/>
                    </w:rPr>
                  </w:pPr>
                </w:p>
              </w:tc>
              <w:tc>
                <w:tcPr>
                  <w:tcW w:w="4699" w:type="dxa"/>
                  <w:gridSpan w:val="4"/>
                  <w:tcBorders>
                    <w:tl2br w:val="nil"/>
                    <w:tr2bl w:val="nil"/>
                  </w:tcBorders>
                  <w:noWrap w:val="0"/>
                  <w:vAlign w:val="center"/>
                </w:tcPr>
                <w:p w14:paraId="23D1DF87">
                  <w:pPr>
                    <w:pStyle w:val="9"/>
                    <w:spacing w:beforeLines="0" w:after="0" w:afterLines="0"/>
                    <w:ind w:left="0" w:leftChars="0"/>
                    <w:jc w:val="center"/>
                    <w:rPr>
                      <w:rFonts w:hint="eastAsia"/>
                      <w:color w:val="auto"/>
                      <w:sz w:val="21"/>
                      <w:szCs w:val="21"/>
                    </w:rPr>
                  </w:pPr>
                  <w:r>
                    <w:rPr>
                      <w:rFonts w:hint="eastAsia"/>
                      <w:color w:val="auto"/>
                      <w:sz w:val="21"/>
                      <w:szCs w:val="21"/>
                    </w:rPr>
                    <w:t>昼间：≤65dB（A），夜间：≤55dB（A）</w:t>
                  </w:r>
                </w:p>
              </w:tc>
            </w:tr>
          </w:tbl>
          <w:p w14:paraId="5ED0D8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w:t>
            </w:r>
            <w:r>
              <w:rPr>
                <w:rFonts w:hint="default" w:ascii="Times New Roman" w:hAnsi="Times New Roman" w:cs="Times New Roman"/>
                <w:color w:val="auto"/>
                <w:sz w:val="24"/>
                <w:szCs w:val="24"/>
                <w:lang w:eastAsia="zh-CN"/>
              </w:rPr>
              <w:t>上</w:t>
            </w:r>
            <w:r>
              <w:rPr>
                <w:rFonts w:hint="default" w:ascii="Times New Roman" w:hAnsi="Times New Roman" w:cs="Times New Roman"/>
                <w:color w:val="auto"/>
                <w:sz w:val="24"/>
                <w:szCs w:val="24"/>
              </w:rPr>
              <w:t>表可知，项目噪声经建筑物隔声及距离衰减后，传至项目厂界均能满足《工业企业厂界噪声排放标准》（GB12348-2008）中</w:t>
            </w:r>
            <w:r>
              <w:rPr>
                <w:rFonts w:hint="eastAsia" w:cs="Times New Roman"/>
                <w:color w:val="auto"/>
                <w:sz w:val="24"/>
                <w:szCs w:val="24"/>
                <w:lang w:val="en-US" w:eastAsia="zh-CN"/>
              </w:rPr>
              <w:t>3</w:t>
            </w:r>
            <w:r>
              <w:rPr>
                <w:rFonts w:hint="default" w:ascii="Times New Roman" w:hAnsi="Times New Roman" w:cs="Times New Roman"/>
                <w:color w:val="auto"/>
                <w:sz w:val="24"/>
                <w:szCs w:val="24"/>
              </w:rPr>
              <w:t>类标准要求（夜间不营业）</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所以项目噪声对周围环境影响很小</w:t>
            </w:r>
            <w:r>
              <w:rPr>
                <w:rFonts w:hint="eastAsia" w:cs="Times New Roman"/>
                <w:color w:val="auto"/>
                <w:sz w:val="24"/>
                <w:szCs w:val="24"/>
                <w:lang w:eastAsia="zh-CN"/>
              </w:rPr>
              <w:t>，</w:t>
            </w:r>
            <w:r>
              <w:rPr>
                <w:rFonts w:hint="default" w:ascii="Times New Roman" w:hAnsi="Times New Roman" w:cs="Times New Roman"/>
                <w:color w:val="auto"/>
                <w:sz w:val="24"/>
                <w:szCs w:val="24"/>
                <w:lang w:eastAsia="zh-CN"/>
              </w:rPr>
              <w:t>本项目对周围环境及环境保护目标不会产生不利影响。</w:t>
            </w:r>
          </w:p>
          <w:p w14:paraId="708AEC82">
            <w:pPr>
              <w:spacing w:beforeLines="0" w:afterLines="0" w:line="360" w:lineRule="auto"/>
              <w:ind w:firstLine="480" w:firstLineChars="200"/>
              <w:rPr>
                <w:rFonts w:hint="eastAsia" w:ascii="宋体" w:eastAsia="宋体"/>
                <w:color w:val="auto"/>
                <w:kern w:val="0"/>
                <w:sz w:val="24"/>
                <w:szCs w:val="24"/>
              </w:rPr>
            </w:pPr>
            <w:r>
              <w:rPr>
                <w:rFonts w:hint="eastAsia" w:ascii="宋体" w:eastAsia="宋体"/>
                <w:color w:val="auto"/>
                <w:sz w:val="24"/>
                <w:szCs w:val="24"/>
              </w:rPr>
              <w:t>为使本项目对周边声环境影响降到最低，本环评</w:t>
            </w:r>
            <w:r>
              <w:rPr>
                <w:rFonts w:hint="eastAsia" w:ascii="宋体" w:eastAsia="宋体"/>
                <w:color w:val="auto"/>
                <w:kern w:val="0"/>
                <w:sz w:val="24"/>
                <w:szCs w:val="24"/>
              </w:rPr>
              <w:t>要求建设单位对该项目的噪声源采取隔声降噪措施。具体措施如下：</w:t>
            </w:r>
          </w:p>
          <w:p w14:paraId="3BBA1E4C">
            <w:pPr>
              <w:pStyle w:val="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Cs w:val="24"/>
                <w:lang w:val="en-US"/>
              </w:rPr>
            </w:pPr>
            <w:r>
              <w:rPr>
                <w:rFonts w:cs="Times New Roman"/>
                <w:color w:val="auto"/>
                <w:szCs w:val="24"/>
                <w:lang w:val="en-US"/>
              </w:rPr>
              <w:t>（1）从声源上控制，选择低噪声和符合国家噪声标准的设备</w:t>
            </w:r>
            <w:r>
              <w:rPr>
                <w:rFonts w:hint="eastAsia" w:cs="Times New Roman"/>
                <w:color w:val="auto"/>
                <w:szCs w:val="24"/>
                <w:lang w:val="en-US"/>
              </w:rPr>
              <w:t>。</w:t>
            </w:r>
          </w:p>
          <w:p w14:paraId="4DB1D16F">
            <w:pPr>
              <w:pStyle w:val="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Cs w:val="24"/>
                <w:lang w:val="en-US"/>
              </w:rPr>
            </w:pPr>
            <w:r>
              <w:rPr>
                <w:rFonts w:cs="Times New Roman"/>
                <w:color w:val="auto"/>
                <w:szCs w:val="24"/>
                <w:lang w:val="en-US"/>
              </w:rPr>
              <w:t>（</w:t>
            </w:r>
            <w:r>
              <w:rPr>
                <w:rFonts w:hint="eastAsia" w:cs="Times New Roman"/>
                <w:color w:val="auto"/>
                <w:szCs w:val="24"/>
                <w:lang w:val="en-US"/>
              </w:rPr>
              <w:t>2</w:t>
            </w:r>
            <w:r>
              <w:rPr>
                <w:rFonts w:cs="Times New Roman"/>
                <w:color w:val="auto"/>
                <w:szCs w:val="24"/>
                <w:lang w:val="en-US"/>
              </w:rPr>
              <w:t>）采用隔声降噪。对各生产加工环节中噪声较为突出的，且又难以对声源进行降噪可能的设备装置，应安装适宜的隔声罩、</w:t>
            </w:r>
            <w:r>
              <w:rPr>
                <w:rFonts w:hint="eastAsia" w:cs="Times New Roman"/>
                <w:color w:val="auto"/>
                <w:szCs w:val="24"/>
                <w:lang w:val="en-US"/>
              </w:rPr>
              <w:t>消声器</w:t>
            </w:r>
            <w:r>
              <w:rPr>
                <w:rFonts w:cs="Times New Roman"/>
                <w:color w:val="auto"/>
                <w:szCs w:val="24"/>
                <w:lang w:val="en-US"/>
              </w:rPr>
              <w:t>等设施。对于产噪较大的独立设备，可采用固定或密封式隔声罩以及局部隔声罩，将噪声影响控制在较小范围内。</w:t>
            </w:r>
          </w:p>
          <w:p w14:paraId="290CE469">
            <w:pPr>
              <w:pStyle w:val="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Cs w:val="24"/>
                <w:lang w:val="en-US"/>
              </w:rPr>
            </w:pPr>
            <w:r>
              <w:rPr>
                <w:rFonts w:cs="Times New Roman"/>
                <w:color w:val="auto"/>
                <w:szCs w:val="24"/>
                <w:lang w:val="en-US"/>
              </w:rPr>
              <w:t>（</w:t>
            </w:r>
            <w:r>
              <w:rPr>
                <w:rFonts w:hint="eastAsia" w:cs="Times New Roman"/>
                <w:color w:val="auto"/>
                <w:szCs w:val="24"/>
                <w:lang w:val="en-US"/>
              </w:rPr>
              <w:t>3</w:t>
            </w:r>
            <w:r>
              <w:rPr>
                <w:rFonts w:cs="Times New Roman"/>
                <w:color w:val="auto"/>
                <w:szCs w:val="24"/>
                <w:lang w:val="en-US"/>
              </w:rPr>
              <w:t>）降低振动噪声。采用弹性支承或弹性连接以减少振动。采用动力消振装置或设置隔振屏。</w:t>
            </w:r>
          </w:p>
          <w:p w14:paraId="020B157A">
            <w:pPr>
              <w:pStyle w:val="3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Cs w:val="24"/>
                <w:lang w:val="en-US"/>
              </w:rPr>
            </w:pPr>
            <w:r>
              <w:rPr>
                <w:rFonts w:hint="eastAsia" w:cs="Times New Roman"/>
                <w:color w:val="auto"/>
                <w:szCs w:val="24"/>
                <w:lang w:val="en-US"/>
              </w:rPr>
              <w:t>（4）加强厂区绿化，</w:t>
            </w:r>
            <w:r>
              <w:rPr>
                <w:rFonts w:hint="eastAsia"/>
                <w:color w:val="auto"/>
                <w:kern w:val="0"/>
                <w:lang w:bidi="ar"/>
              </w:rPr>
              <w:t>厂房和敏感目标之间设置绿化隔离带，绿化隔离带应满足遮阴、防尘、降低噪音、保证交通运输安全等要求。</w:t>
            </w:r>
          </w:p>
          <w:p w14:paraId="0594FE74">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sz w:val="24"/>
                <w:szCs w:val="24"/>
              </w:rPr>
            </w:pPr>
            <w:r>
              <w:rPr>
                <w:rFonts w:hint="eastAsia" w:ascii="宋体" w:eastAsia="宋体"/>
                <w:color w:val="auto"/>
                <w:sz w:val="24"/>
                <w:szCs w:val="24"/>
              </w:rPr>
              <w:t>以上噪声治理措施容易实施，技术成熟可靠，投资费用较少，在经济上是可行的。从总体上来说企业在切实落实本评价所提各项目措施，可以认为本项目产生噪声对外环境影响较小</w:t>
            </w:r>
            <w:r>
              <w:rPr>
                <w:rFonts w:hint="default" w:ascii="Times New Roman" w:hAnsi="Times New Roman" w:cs="Times New Roman"/>
                <w:color w:val="auto"/>
                <w:sz w:val="24"/>
                <w:szCs w:val="24"/>
              </w:rPr>
              <w:t>。</w:t>
            </w:r>
          </w:p>
          <w:p w14:paraId="42F68F80">
            <w:pPr>
              <w:numPr>
                <w:ilvl w:val="0"/>
                <w:numId w:val="0"/>
              </w:numPr>
              <w:adjustRightInd w:val="0"/>
              <w:spacing w:beforeLines="0" w:afterLines="0"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四、固体废物</w:t>
            </w:r>
          </w:p>
          <w:p w14:paraId="44AADA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eastAsia="zh-CN"/>
              </w:rPr>
              <w:t>运营期产生的</w:t>
            </w:r>
            <w:r>
              <w:rPr>
                <w:rFonts w:hint="eastAsia" w:ascii="宋体" w:hAnsi="宋体" w:eastAsia="宋体" w:cs="宋体"/>
                <w:color w:val="auto"/>
                <w:sz w:val="24"/>
                <w:szCs w:val="24"/>
              </w:rPr>
              <w:t>固体废物主要</w:t>
            </w:r>
            <w:r>
              <w:rPr>
                <w:rFonts w:hint="eastAsia" w:ascii="宋体" w:hAnsi="宋体" w:eastAsia="宋体" w:cs="宋体"/>
                <w:color w:val="auto"/>
                <w:sz w:val="24"/>
                <w:szCs w:val="24"/>
                <w:lang w:eastAsia="zh-CN"/>
              </w:rPr>
              <w:t>包括</w:t>
            </w:r>
            <w:r>
              <w:rPr>
                <w:rFonts w:hint="eastAsia" w:ascii="宋体" w:hAnsi="宋体" w:eastAsia="宋体" w:cs="宋体"/>
                <w:color w:val="auto"/>
                <w:sz w:val="24"/>
                <w:szCs w:val="24"/>
                <w:lang w:val="en-US" w:eastAsia="zh-CN"/>
              </w:rPr>
              <w:t>生活垃圾、</w:t>
            </w:r>
            <w:r>
              <w:rPr>
                <w:rFonts w:hint="eastAsia" w:ascii="宋体" w:hAnsi="宋体" w:eastAsia="宋体" w:cs="宋体"/>
                <w:color w:val="auto"/>
                <w:sz w:val="24"/>
                <w:szCs w:val="24"/>
                <w:lang w:eastAsia="zh-CN"/>
              </w:rPr>
              <w:t>一般工业固废、危险废物</w:t>
            </w:r>
            <w:r>
              <w:rPr>
                <w:rFonts w:hint="eastAsia" w:ascii="宋体" w:hAnsi="宋体" w:eastAsia="宋体" w:cs="宋体"/>
                <w:color w:val="auto"/>
                <w:sz w:val="24"/>
                <w:szCs w:val="24"/>
              </w:rPr>
              <w:t>。</w:t>
            </w:r>
          </w:p>
          <w:p w14:paraId="56F79346">
            <w:pPr>
              <w:pStyle w:val="11"/>
              <w:keepNext w:val="0"/>
              <w:keepLines w:val="0"/>
              <w:pageBreakBefore w:val="0"/>
              <w:widowControl w:val="0"/>
              <w:numPr>
                <w:ilvl w:val="0"/>
                <w:numId w:val="15"/>
              </w:numPr>
              <w:kinsoku/>
              <w:wordWrap/>
              <w:overflowPunct/>
              <w:topLinePunct w:val="0"/>
              <w:bidi w:val="0"/>
              <w:adjustRightInd/>
              <w:spacing w:line="360" w:lineRule="auto"/>
              <w:ind w:left="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生活垃圾</w:t>
            </w:r>
          </w:p>
          <w:p w14:paraId="3CB69C9E">
            <w:pPr>
              <w:pStyle w:val="94"/>
              <w:spacing w:line="360" w:lineRule="auto"/>
              <w:ind w:firstLine="480"/>
              <w:jc w:val="both"/>
              <w:rPr>
                <w:rFonts w:hint="eastAsia" w:cs="宋体"/>
                <w:b w:val="0"/>
                <w:color w:val="auto"/>
                <w:kern w:val="0"/>
                <w:sz w:val="24"/>
                <w:lang w:bidi="ar"/>
              </w:rPr>
            </w:pPr>
            <w:r>
              <w:rPr>
                <w:rFonts w:hint="eastAsia" w:cs="宋体"/>
                <w:b w:val="0"/>
                <w:color w:val="auto"/>
                <w:kern w:val="0"/>
                <w:sz w:val="24"/>
                <w:lang w:bidi="ar"/>
              </w:rPr>
              <w:t>本项目运营期间总人数为10人，垃圾产生量按</w:t>
            </w:r>
            <w:r>
              <w:rPr>
                <w:rFonts w:hint="eastAsia" w:cs="宋体"/>
                <w:b w:val="0"/>
                <w:color w:val="auto"/>
                <w:kern w:val="0"/>
                <w:sz w:val="24"/>
                <w:lang w:val="en-US" w:eastAsia="zh-CN" w:bidi="ar"/>
              </w:rPr>
              <w:t>1</w:t>
            </w:r>
            <w:r>
              <w:rPr>
                <w:rFonts w:cs="宋体"/>
                <w:b w:val="0"/>
                <w:color w:val="auto"/>
                <w:kern w:val="0"/>
                <w:sz w:val="24"/>
                <w:lang w:bidi="ar"/>
              </w:rPr>
              <w:t>kg/</w:t>
            </w:r>
            <w:r>
              <w:rPr>
                <w:rFonts w:hint="eastAsia" w:cs="宋体"/>
                <w:b w:val="0"/>
                <w:color w:val="auto"/>
                <w:kern w:val="0"/>
                <w:sz w:val="24"/>
                <w:lang w:bidi="ar"/>
              </w:rPr>
              <w:t>人</w:t>
            </w:r>
            <w:r>
              <w:rPr>
                <w:rFonts w:cs="宋体"/>
                <w:b w:val="0"/>
                <w:color w:val="auto"/>
                <w:kern w:val="0"/>
                <w:sz w:val="24"/>
                <w:lang w:bidi="ar"/>
              </w:rPr>
              <w:t>·</w:t>
            </w:r>
            <w:r>
              <w:rPr>
                <w:rFonts w:hint="eastAsia" w:cs="宋体"/>
                <w:b w:val="0"/>
                <w:color w:val="auto"/>
                <w:kern w:val="0"/>
                <w:sz w:val="24"/>
                <w:lang w:val="en-US" w:eastAsia="zh-CN" w:bidi="ar"/>
              </w:rPr>
              <w:t>天</w:t>
            </w:r>
            <w:r>
              <w:rPr>
                <w:rFonts w:hint="eastAsia" w:cs="宋体"/>
                <w:b w:val="0"/>
                <w:color w:val="auto"/>
                <w:kern w:val="0"/>
                <w:sz w:val="24"/>
                <w:lang w:bidi="ar"/>
              </w:rPr>
              <w:t>计，</w:t>
            </w:r>
            <w:r>
              <w:rPr>
                <w:rFonts w:cs="宋体"/>
                <w:b w:val="0"/>
                <w:color w:val="auto"/>
                <w:kern w:val="0"/>
                <w:sz w:val="24"/>
                <w:lang w:bidi="ar"/>
              </w:rPr>
              <w:t>年工作日</w:t>
            </w:r>
            <w:r>
              <w:rPr>
                <w:rFonts w:hint="eastAsia" w:cs="宋体"/>
                <w:b w:val="0"/>
                <w:color w:val="auto"/>
                <w:kern w:val="0"/>
                <w:sz w:val="24"/>
                <w:lang w:bidi="ar"/>
              </w:rPr>
              <w:t>300</w:t>
            </w:r>
            <w:r>
              <w:rPr>
                <w:rFonts w:cs="宋体"/>
                <w:b w:val="0"/>
                <w:color w:val="auto"/>
                <w:kern w:val="0"/>
                <w:sz w:val="24"/>
                <w:lang w:bidi="ar"/>
              </w:rPr>
              <w:t>天</w:t>
            </w:r>
            <w:r>
              <w:rPr>
                <w:rFonts w:hint="eastAsia" w:cs="宋体"/>
                <w:b w:val="0"/>
                <w:color w:val="auto"/>
                <w:kern w:val="0"/>
                <w:sz w:val="24"/>
                <w:lang w:bidi="ar"/>
              </w:rPr>
              <w:t>，则项目生活垃圾产生量约为</w:t>
            </w:r>
            <w:r>
              <w:rPr>
                <w:rFonts w:hint="eastAsia" w:cs="宋体"/>
                <w:b w:val="0"/>
                <w:color w:val="auto"/>
                <w:kern w:val="0"/>
                <w:sz w:val="24"/>
                <w:lang w:val="en-US" w:eastAsia="zh-CN" w:bidi="ar"/>
              </w:rPr>
              <w:t>3</w:t>
            </w:r>
            <w:r>
              <w:rPr>
                <w:rFonts w:hint="eastAsia" w:cs="宋体"/>
                <w:b w:val="0"/>
                <w:color w:val="auto"/>
                <w:kern w:val="0"/>
                <w:sz w:val="24"/>
                <w:lang w:bidi="ar"/>
              </w:rPr>
              <w:t>t/a，生活垃圾分类收集后，</w:t>
            </w:r>
            <w:r>
              <w:rPr>
                <w:rFonts w:cs="宋体"/>
                <w:b w:val="0"/>
                <w:color w:val="auto"/>
                <w:kern w:val="0"/>
                <w:sz w:val="24"/>
                <w:lang w:bidi="ar"/>
              </w:rPr>
              <w:t>委托当地环卫部门定期清运。</w:t>
            </w:r>
          </w:p>
          <w:p w14:paraId="7541D8BA">
            <w:pPr>
              <w:pStyle w:val="11"/>
              <w:keepNext w:val="0"/>
              <w:keepLines w:val="0"/>
              <w:pageBreakBefore w:val="0"/>
              <w:widowControl w:val="0"/>
              <w:numPr>
                <w:ilvl w:val="0"/>
                <w:numId w:val="0"/>
              </w:numPr>
              <w:kinsoku/>
              <w:wordWrap/>
              <w:overflowPunct/>
              <w:topLinePunct w:val="0"/>
              <w:bidi w:val="0"/>
              <w:adjustRightInd/>
              <w:spacing w:line="360" w:lineRule="auto"/>
              <w:ind w:left="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（2）一般固体废物</w:t>
            </w:r>
          </w:p>
          <w:p w14:paraId="22E2C8A8">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lang w:val="en-US" w:eastAsia="zh-CN"/>
              </w:rPr>
            </w:pPr>
            <w:r>
              <w:rPr>
                <w:rFonts w:hint="eastAsia" w:ascii="宋体" w:hAnsi="宋体" w:eastAsia="宋体" w:cs="宋体"/>
                <w:color w:val="auto"/>
                <w:sz w:val="24"/>
                <w:szCs w:val="24"/>
              </w:rPr>
              <w:t>①</w:t>
            </w:r>
            <w:r>
              <w:rPr>
                <w:rFonts w:hint="eastAsia" w:ascii="宋体" w:hAnsi="宋体" w:eastAsia="宋体" w:cs="宋体"/>
                <w:color w:val="auto"/>
                <w:sz w:val="24"/>
                <w:szCs w:val="24"/>
                <w:lang w:val="en-US" w:eastAsia="zh-CN"/>
              </w:rPr>
              <w:t>分拣杂物：</w:t>
            </w:r>
            <w:r>
              <w:rPr>
                <w:rFonts w:hint="eastAsia" w:cs="宋体"/>
                <w:color w:val="auto"/>
                <w:kern w:val="0"/>
                <w:sz w:val="24"/>
                <w:szCs w:val="21"/>
                <w:lang w:bidi="ar"/>
              </w:rPr>
              <w:t>废塑料在分</w:t>
            </w:r>
            <w:r>
              <w:rPr>
                <w:rFonts w:hint="eastAsia" w:eastAsia="宋体" w:cs="宋体"/>
                <w:color w:val="auto"/>
                <w:kern w:val="0"/>
                <w:sz w:val="24"/>
                <w:szCs w:val="21"/>
                <w:lang w:val="en-US" w:eastAsia="zh-CN" w:bidi="ar"/>
              </w:rPr>
              <w:t>选</w:t>
            </w:r>
            <w:r>
              <w:rPr>
                <w:rFonts w:hint="eastAsia" w:cs="宋体"/>
                <w:color w:val="auto"/>
                <w:kern w:val="0"/>
                <w:sz w:val="24"/>
                <w:szCs w:val="21"/>
                <w:lang w:bidi="ar"/>
              </w:rPr>
              <w:t>和分类过程中产生一定量的杂物，如废金属、废橡胶等，</w:t>
            </w:r>
            <w:r>
              <w:rPr>
                <w:rFonts w:ascii="Times New Roman"/>
                <w:bCs/>
                <w:color w:val="auto"/>
              </w:rPr>
              <w:t>根据业主提供的资料</w:t>
            </w:r>
            <w:r>
              <w:rPr>
                <w:rFonts w:hint="eastAsia" w:cs="宋体"/>
                <w:color w:val="auto"/>
                <w:kern w:val="0"/>
                <w:sz w:val="24"/>
                <w:szCs w:val="21"/>
                <w:lang w:bidi="ar"/>
              </w:rPr>
              <w:t>，</w:t>
            </w:r>
            <w:r>
              <w:rPr>
                <w:rFonts w:hint="eastAsia" w:eastAsia="宋体" w:cs="宋体"/>
                <w:color w:val="auto"/>
                <w:kern w:val="0"/>
                <w:sz w:val="24"/>
                <w:szCs w:val="21"/>
                <w:lang w:val="en-US" w:eastAsia="zh-CN" w:bidi="ar"/>
              </w:rPr>
              <w:t>产生量</w:t>
            </w:r>
            <w:r>
              <w:rPr>
                <w:rFonts w:hint="eastAsia" w:cs="宋体"/>
                <w:color w:val="auto"/>
                <w:kern w:val="0"/>
                <w:sz w:val="24"/>
                <w:szCs w:val="21"/>
                <w:lang w:bidi="ar"/>
              </w:rPr>
              <w:t>约</w:t>
            </w:r>
            <w:r>
              <w:rPr>
                <w:rFonts w:hint="eastAsia" w:eastAsia="宋体" w:cs="宋体"/>
                <w:color w:val="auto"/>
                <w:kern w:val="0"/>
                <w:sz w:val="24"/>
                <w:szCs w:val="21"/>
                <w:lang w:val="en-US" w:eastAsia="zh-CN" w:bidi="ar"/>
              </w:rPr>
              <w:t>100</w:t>
            </w:r>
            <w:r>
              <w:rPr>
                <w:rFonts w:hint="eastAsia" w:cs="宋体"/>
                <w:color w:val="auto"/>
                <w:kern w:val="0"/>
                <w:sz w:val="24"/>
                <w:szCs w:val="21"/>
                <w:lang w:bidi="ar"/>
              </w:rPr>
              <w:t>t/a，分类集中收集后统一由废品回收公司处理。</w:t>
            </w:r>
          </w:p>
          <w:p w14:paraId="35F9BA87">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w:t>
            </w:r>
            <w:r>
              <w:rPr>
                <w:rFonts w:ascii="Times New Roman"/>
                <w:bCs/>
                <w:color w:val="auto"/>
              </w:rPr>
              <w:t>不可利用固体废物</w:t>
            </w:r>
            <w:r>
              <w:rPr>
                <w:rFonts w:hint="eastAsia" w:ascii="宋体" w:hAnsi="宋体" w:eastAsia="宋体" w:cs="宋体"/>
                <w:color w:val="auto"/>
                <w:sz w:val="24"/>
                <w:szCs w:val="24"/>
                <w:lang w:val="en-US" w:eastAsia="zh-CN"/>
              </w:rPr>
              <w:t>：</w:t>
            </w:r>
            <w:r>
              <w:rPr>
                <w:rFonts w:ascii="Times New Roman"/>
                <w:bCs/>
                <w:color w:val="auto"/>
              </w:rPr>
              <w:t>废塑料有可能混有废木片、砂石、织物、废纸板等夹带物</w:t>
            </w:r>
            <w:r>
              <w:rPr>
                <w:rFonts w:hint="eastAsia" w:cs="宋体"/>
                <w:color w:val="auto"/>
                <w:kern w:val="0"/>
                <w:sz w:val="24"/>
                <w:szCs w:val="21"/>
                <w:lang w:bidi="ar"/>
              </w:rPr>
              <w:t>，</w:t>
            </w:r>
            <w:r>
              <w:rPr>
                <w:rFonts w:hint="eastAsia" w:eastAsia="宋体" w:cs="宋体"/>
                <w:color w:val="auto"/>
                <w:kern w:val="0"/>
                <w:sz w:val="24"/>
                <w:szCs w:val="21"/>
                <w:lang w:val="en-US" w:eastAsia="zh-CN" w:bidi="ar"/>
              </w:rPr>
              <w:t>类比企业现有工程</w:t>
            </w:r>
            <w:r>
              <w:rPr>
                <w:rFonts w:ascii="Times New Roman"/>
                <w:bCs/>
                <w:color w:val="auto"/>
              </w:rPr>
              <w:t>，产生量约</w:t>
            </w:r>
            <w:r>
              <w:rPr>
                <w:rFonts w:hint="eastAsia" w:ascii="Times New Roman" w:eastAsia="宋体"/>
                <w:color w:val="auto"/>
                <w:lang w:val="en-US" w:eastAsia="zh-CN"/>
              </w:rPr>
              <w:t>2195.831</w:t>
            </w:r>
            <w:r>
              <w:rPr>
                <w:rFonts w:ascii="Times New Roman"/>
                <w:bCs/>
                <w:color w:val="auto"/>
              </w:rPr>
              <w:t>t/a，</w:t>
            </w:r>
            <w:r>
              <w:rPr>
                <w:rFonts w:hint="eastAsia" w:cs="宋体"/>
                <w:color w:val="auto"/>
                <w:kern w:val="0"/>
                <w:sz w:val="24"/>
                <w:szCs w:val="21"/>
                <w:lang w:bidi="ar"/>
              </w:rPr>
              <w:t>集中收集后由环卫部门定期清运处置</w:t>
            </w:r>
            <w:r>
              <w:rPr>
                <w:rFonts w:hint="eastAsia"/>
                <w:color w:val="auto"/>
                <w:lang w:val="en-US" w:eastAsia="zh-CN"/>
              </w:rPr>
              <w:t>。</w:t>
            </w:r>
          </w:p>
          <w:p w14:paraId="51552F4A">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lang w:val="en-US" w:eastAsia="zh-CN"/>
              </w:rPr>
            </w:pPr>
            <w:r>
              <w:rPr>
                <w:rFonts w:hint="eastAsia" w:ascii="宋体" w:hAnsi="宋体" w:eastAsia="宋体" w:cs="宋体"/>
                <w:color w:val="auto"/>
                <w:sz w:val="24"/>
                <w:szCs w:val="24"/>
              </w:rPr>
              <w:t>③</w:t>
            </w:r>
            <w:r>
              <w:rPr>
                <w:rFonts w:hint="eastAsia" w:ascii="Times New Roman" w:eastAsia="宋体"/>
                <w:bCs/>
                <w:color w:val="auto"/>
                <w:lang w:val="en-US" w:eastAsia="zh-CN"/>
              </w:rPr>
              <w:t>沉淀</w:t>
            </w:r>
            <w:r>
              <w:rPr>
                <w:rFonts w:ascii="Times New Roman"/>
                <w:bCs/>
                <w:color w:val="auto"/>
              </w:rPr>
              <w:t>池产生的泥渣：项目在循环水池处理过程会产生一定的泥渣，产生量约为8t/a，为一般固废，</w:t>
            </w:r>
            <w:r>
              <w:rPr>
                <w:rFonts w:hint="eastAsia" w:cs="宋体"/>
                <w:b w:val="0"/>
                <w:bCs/>
                <w:color w:val="auto"/>
                <w:kern w:val="0"/>
                <w:sz w:val="24"/>
                <w:lang w:bidi="ar"/>
              </w:rPr>
              <w:t>集中收集后，运至交由环卫部门运送至垃圾处理场安全填埋</w:t>
            </w:r>
            <w:r>
              <w:rPr>
                <w:rFonts w:hint="eastAsia"/>
                <w:color w:val="auto"/>
                <w:lang w:val="en-US" w:eastAsia="zh-CN"/>
              </w:rPr>
              <w:t>。</w:t>
            </w:r>
          </w:p>
          <w:p w14:paraId="381098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lang w:val="zh-CN"/>
              </w:rPr>
            </w:pPr>
            <w:r>
              <w:rPr>
                <w:rFonts w:hint="eastAsia" w:ascii="宋体" w:hAnsi="宋体" w:eastAsia="宋体" w:cs="宋体"/>
                <w:color w:val="auto"/>
                <w:sz w:val="24"/>
                <w:szCs w:val="24"/>
              </w:rPr>
              <w:t>④废滤网：塑料熔融拉丝造粒过程中，一般在螺杆出口设有一个过滤网，该过滤网需要定期更换，会产生废滤网（材质为废铁），</w:t>
            </w:r>
            <w:r>
              <w:rPr>
                <w:rStyle w:val="95"/>
                <w:rFonts w:hint="eastAsia"/>
                <w:color w:val="auto"/>
              </w:rPr>
              <w:t>类比企业现有工程，本项目废滤网年产生</w:t>
            </w:r>
            <w:r>
              <w:rPr>
                <w:rFonts w:hint="eastAsia"/>
                <w:color w:val="auto"/>
                <w:sz w:val="24"/>
                <w:lang w:val="zh-CN"/>
              </w:rPr>
              <w:t>量约</w:t>
            </w:r>
            <w:r>
              <w:rPr>
                <w:rFonts w:hint="eastAsia" w:eastAsia="宋体"/>
                <w:color w:val="auto"/>
                <w:sz w:val="24"/>
                <w:lang w:val="en-US" w:eastAsia="zh-CN"/>
              </w:rPr>
              <w:t>1</w:t>
            </w:r>
            <w:r>
              <w:rPr>
                <w:rFonts w:hint="eastAsia"/>
                <w:color w:val="auto"/>
                <w:sz w:val="24"/>
                <w:lang w:val="zh-CN"/>
              </w:rPr>
              <w:t>t。根据《废塑料加工利用污染防治管理规定》，废滤网杂质应定期委托有处理能力且符合环保要求的企业进行处理。评价提出，废滤网收集至一般固废暂存间暂存后，定期委托有处理能力且符合环保要求的企业进行处理</w:t>
            </w:r>
            <w:r>
              <w:rPr>
                <w:color w:val="auto"/>
                <w:sz w:val="24"/>
                <w:lang w:val="zh-CN"/>
              </w:rPr>
              <w:t>。</w:t>
            </w:r>
          </w:p>
          <w:p w14:paraId="0BD48459">
            <w:pPr>
              <w:pStyle w:val="27"/>
              <w:rPr>
                <w:rFonts w:hint="eastAsia" w:ascii="Times New Roman"/>
                <w:bCs/>
                <w:color w:val="auto"/>
                <w:lang w:eastAsia="zh-CN"/>
              </w:rPr>
            </w:pPr>
            <w:r>
              <w:rPr>
                <w:rFonts w:hint="eastAsia" w:ascii="Times New Roman"/>
                <w:bCs/>
                <w:color w:val="auto"/>
              </w:rPr>
              <w:t>⑤</w:t>
            </w:r>
            <w:r>
              <w:rPr>
                <w:rFonts w:ascii="Times New Roman"/>
                <w:bCs/>
                <w:color w:val="auto"/>
              </w:rPr>
              <w:t>废塑料造粒生产产生的不合格产品及边角料：项目造粒生产在造粒、切粒过程中不可避免地会产生一定量不可利用或处理失败的不合格产品及边角料，产生量约为244t/a，该部分固废回用于生产</w:t>
            </w:r>
            <w:r>
              <w:rPr>
                <w:rFonts w:hint="eastAsia" w:ascii="Times New Roman"/>
                <w:bCs/>
                <w:color w:val="auto"/>
                <w:lang w:eastAsia="zh-CN"/>
              </w:rPr>
              <w:t>。</w:t>
            </w:r>
          </w:p>
          <w:p w14:paraId="65D12C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bCs/>
                <w:color w:val="auto"/>
                <w:sz w:val="24"/>
              </w:rPr>
              <w:t>⑥废包装材料：项目造粒生产时包装工序会产生废包装垃圾，产生量约为3.</w:t>
            </w:r>
            <w:r>
              <w:rPr>
                <w:rFonts w:hint="eastAsia" w:eastAsia="宋体"/>
                <w:bCs/>
                <w:color w:val="auto"/>
                <w:sz w:val="24"/>
                <w:lang w:val="en-US" w:eastAsia="zh-CN"/>
              </w:rPr>
              <w:t>3</w:t>
            </w:r>
            <w:r>
              <w:rPr>
                <w:rFonts w:hint="eastAsia"/>
                <w:bCs/>
                <w:color w:val="auto"/>
                <w:sz w:val="24"/>
              </w:rPr>
              <w:t>t/a，属于一般工业固废，交由厂家回收利用处理；</w:t>
            </w:r>
          </w:p>
          <w:p w14:paraId="631B389E">
            <w:pPr>
              <w:pStyle w:val="2"/>
              <w:keepNext w:val="0"/>
              <w:keepLines w:val="0"/>
              <w:pageBreakBefore w:val="0"/>
              <w:widowControl w:val="0"/>
              <w:numPr>
                <w:ilvl w:val="0"/>
                <w:numId w:val="0"/>
              </w:numPr>
              <w:kinsoku/>
              <w:wordWrap/>
              <w:overflowPunct/>
              <w:topLinePunct w:val="0"/>
              <w:bidi w:val="0"/>
              <w:adjustRightInd/>
              <w:spacing w:line="360" w:lineRule="auto"/>
              <w:ind w:firstLine="480" w:firstLineChars="200"/>
              <w:textAlignment w:val="auto"/>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（2）危险废物</w:t>
            </w:r>
          </w:p>
          <w:p w14:paraId="606A4632">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color w:val="auto"/>
                <w:sz w:val="24"/>
                <w:szCs w:val="24"/>
              </w:rPr>
            </w:pPr>
            <w:r>
              <w:rPr>
                <w:rFonts w:hint="eastAsia" w:ascii="宋体" w:hAnsi="宋体" w:eastAsia="宋体" w:cs="宋体"/>
                <w:color w:val="auto"/>
                <w:sz w:val="24"/>
                <w:szCs w:val="24"/>
              </w:rPr>
              <w:t>①废活性炭：活性炭处理装置需定期更换废活性炭，根据《现代涂装手册》（化学工业出版社，陈治良主编），活性炭吸附容量一般为25%，即1t活性炭可吸附有机废气0.25t。本项目VOCs产生量</w:t>
            </w:r>
            <w:r>
              <w:rPr>
                <w:rFonts w:hint="eastAsia" w:ascii="宋体" w:hAnsi="宋体" w:eastAsia="宋体" w:cs="宋体"/>
                <w:color w:val="auto"/>
                <w:sz w:val="24"/>
                <w:szCs w:val="24"/>
                <w:lang w:val="en-US" w:eastAsia="zh-CN"/>
              </w:rPr>
              <w:t>5.164</w:t>
            </w:r>
            <w:r>
              <w:rPr>
                <w:rFonts w:hint="eastAsia" w:ascii="宋体" w:hAnsi="宋体" w:eastAsia="宋体" w:cs="宋体"/>
                <w:color w:val="auto"/>
                <w:sz w:val="24"/>
                <w:szCs w:val="24"/>
              </w:rPr>
              <w:t>t，</w:t>
            </w:r>
            <w:r>
              <w:rPr>
                <w:rFonts w:hint="eastAsia" w:ascii="宋体" w:hAnsi="宋体" w:eastAsia="宋体" w:cs="宋体"/>
                <w:color w:val="auto"/>
                <w:sz w:val="24"/>
                <w:szCs w:val="24"/>
                <w:lang w:val="en-US" w:eastAsia="zh-CN"/>
              </w:rPr>
              <w:t>活性炭</w:t>
            </w:r>
            <w:r>
              <w:rPr>
                <w:rFonts w:hint="eastAsia" w:ascii="宋体" w:hAnsi="宋体" w:eastAsia="宋体" w:cs="宋体"/>
                <w:color w:val="auto"/>
                <w:sz w:val="24"/>
                <w:szCs w:val="24"/>
              </w:rPr>
              <w:t>的处理效率为</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%，则活性炭需吸附的废气量约为2.</w:t>
            </w:r>
            <w:r>
              <w:rPr>
                <w:rFonts w:hint="eastAsia" w:ascii="宋体" w:hAnsi="宋体" w:eastAsia="宋体" w:cs="宋体"/>
                <w:color w:val="auto"/>
                <w:sz w:val="24"/>
                <w:szCs w:val="24"/>
                <w:lang w:val="en-US" w:eastAsia="zh-CN"/>
              </w:rPr>
              <w:t>556</w:t>
            </w:r>
            <w:r>
              <w:rPr>
                <w:rFonts w:hint="eastAsia" w:ascii="宋体" w:hAnsi="宋体" w:eastAsia="宋体" w:cs="宋体"/>
                <w:color w:val="auto"/>
                <w:sz w:val="24"/>
                <w:szCs w:val="24"/>
              </w:rPr>
              <w:t>t/a，则废活性炭产生量约</w:t>
            </w:r>
            <w:r>
              <w:rPr>
                <w:rFonts w:hint="eastAsia" w:ascii="宋体" w:hAnsi="宋体" w:eastAsia="宋体" w:cs="宋体"/>
                <w:color w:val="auto"/>
                <w:sz w:val="24"/>
                <w:szCs w:val="24"/>
                <w:lang w:val="en-US" w:eastAsia="zh-CN"/>
              </w:rPr>
              <w:t>12.78</w:t>
            </w:r>
            <w:r>
              <w:rPr>
                <w:rFonts w:hint="eastAsia" w:ascii="宋体" w:hAnsi="宋体" w:eastAsia="宋体" w:cs="宋体"/>
                <w:color w:val="auto"/>
                <w:sz w:val="24"/>
                <w:szCs w:val="24"/>
              </w:rPr>
              <w:t>t/a</w:t>
            </w:r>
            <w:r>
              <w:rPr>
                <w:rFonts w:hint="eastAsia" w:ascii="宋体" w:hAnsi="宋体" w:eastAsia="宋体" w:cs="宋体"/>
                <w:color w:val="auto"/>
                <w:sz w:val="24"/>
                <w:szCs w:val="24"/>
                <w:lang w:eastAsia="zh-CN"/>
              </w:rPr>
              <w:t>，</w:t>
            </w:r>
            <w:r>
              <w:rPr>
                <w:rFonts w:hint="default" w:ascii="Times New Roman" w:hAnsi="Times New Roman" w:eastAsia="宋体" w:cs="Times New Roman"/>
                <w:bCs/>
                <w:color w:val="auto"/>
                <w:sz w:val="24"/>
                <w:szCs w:val="24"/>
                <w:highlight w:val="none"/>
              </w:rPr>
              <w:t>项目废活性炭属于“危废编号HW49”废物类别中代码为900-039-49的危险废物，集中收集妥善暂存，</w:t>
            </w:r>
            <w:r>
              <w:rPr>
                <w:rFonts w:hint="eastAsia" w:ascii="宋体" w:hAnsi="宋体" w:eastAsia="宋体" w:cs="宋体"/>
                <w:color w:val="auto"/>
                <w:sz w:val="24"/>
                <w:szCs w:val="24"/>
                <w:lang w:val="en-US" w:eastAsia="zh-CN"/>
              </w:rPr>
              <w:t>定期</w:t>
            </w:r>
            <w:r>
              <w:rPr>
                <w:rFonts w:hint="eastAsia" w:ascii="宋体" w:hAnsi="宋体" w:eastAsia="宋体" w:cs="宋体"/>
                <w:color w:val="auto"/>
                <w:sz w:val="24"/>
                <w:szCs w:val="24"/>
              </w:rPr>
              <w:t>交由有危险废物处置资质单位进行处理。</w:t>
            </w:r>
          </w:p>
          <w:p w14:paraId="1FB03DA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w:t>
            </w:r>
            <w:r>
              <w:rPr>
                <w:rFonts w:hint="eastAsia"/>
                <w:bCs/>
                <w:color w:val="auto"/>
                <w:kern w:val="0"/>
                <w:sz w:val="24"/>
              </w:rPr>
              <w:t>废机油和含油废抹布：项目造粒、燃料棒生产过程中由于机器护理等会产生废机油和含油废抹布，废机油产生量约为</w:t>
            </w:r>
            <w:r>
              <w:rPr>
                <w:bCs/>
                <w:color w:val="auto"/>
                <w:kern w:val="0"/>
                <w:sz w:val="24"/>
              </w:rPr>
              <w:t>0.0</w:t>
            </w:r>
            <w:r>
              <w:rPr>
                <w:rFonts w:hint="eastAsia"/>
                <w:bCs/>
                <w:color w:val="auto"/>
                <w:kern w:val="0"/>
                <w:sz w:val="24"/>
              </w:rPr>
              <w:t>2</w:t>
            </w:r>
            <w:r>
              <w:rPr>
                <w:bCs/>
                <w:color w:val="auto"/>
                <w:kern w:val="0"/>
                <w:sz w:val="24"/>
              </w:rPr>
              <w:t>t/a</w:t>
            </w:r>
            <w:r>
              <w:rPr>
                <w:rFonts w:hint="eastAsia"/>
                <w:bCs/>
                <w:color w:val="auto"/>
                <w:kern w:val="0"/>
                <w:sz w:val="24"/>
              </w:rPr>
              <w:t>，含油废抹布产生量约为</w:t>
            </w:r>
            <w:r>
              <w:rPr>
                <w:bCs/>
                <w:color w:val="auto"/>
                <w:kern w:val="0"/>
                <w:sz w:val="24"/>
              </w:rPr>
              <w:t>0.0</w:t>
            </w:r>
            <w:r>
              <w:rPr>
                <w:rFonts w:hint="eastAsia"/>
                <w:bCs/>
                <w:color w:val="auto"/>
                <w:kern w:val="0"/>
                <w:sz w:val="24"/>
              </w:rPr>
              <w:t>2</w:t>
            </w:r>
            <w:r>
              <w:rPr>
                <w:bCs/>
                <w:color w:val="auto"/>
                <w:kern w:val="0"/>
                <w:sz w:val="24"/>
              </w:rPr>
              <w:t>t/a</w:t>
            </w:r>
            <w:r>
              <w:rPr>
                <w:rFonts w:hint="eastAsia"/>
                <w:bCs/>
                <w:color w:val="auto"/>
                <w:kern w:val="0"/>
                <w:sz w:val="24"/>
              </w:rPr>
              <w:t>，</w:t>
            </w:r>
            <w:r>
              <w:rPr>
                <w:rFonts w:hint="default"/>
                <w:color w:val="auto"/>
                <w:sz w:val="24"/>
                <w:szCs w:val="24"/>
                <w:lang w:val="en-US" w:eastAsia="zh-CN"/>
              </w:rPr>
              <w:t>对照《国家危险废物名录》（2021年版），废机油属于危险废物，危废类别为HW08（</w:t>
            </w:r>
            <w:r>
              <w:rPr>
                <w:rFonts w:hint="eastAsia"/>
                <w:color w:val="auto"/>
              </w:rPr>
              <w:t>900-217-0</w:t>
            </w:r>
            <w:r>
              <w:rPr>
                <w:rFonts w:hint="eastAsia"/>
                <w:color w:val="auto"/>
                <w:lang w:val="en-US" w:eastAsia="zh-CN"/>
              </w:rPr>
              <w:t>8</w:t>
            </w:r>
            <w:r>
              <w:rPr>
                <w:rFonts w:hint="default"/>
                <w:color w:val="auto"/>
                <w:sz w:val="24"/>
                <w:szCs w:val="24"/>
                <w:lang w:val="en-US" w:eastAsia="zh-CN"/>
              </w:rPr>
              <w:t>）</w:t>
            </w:r>
            <w:r>
              <w:rPr>
                <w:rFonts w:hint="eastAsia"/>
                <w:color w:val="auto"/>
                <w:sz w:val="24"/>
                <w:szCs w:val="24"/>
                <w:lang w:val="en-US" w:eastAsia="zh-CN"/>
              </w:rPr>
              <w:t>，</w:t>
            </w:r>
            <w:r>
              <w:rPr>
                <w:rFonts w:hint="eastAsia" w:cs="宋体"/>
                <w:b w:val="0"/>
                <w:color w:val="auto"/>
                <w:kern w:val="0"/>
                <w:sz w:val="24"/>
                <w:lang w:bidi="ar"/>
              </w:rPr>
              <w:t>含油抹布属于危险废物</w:t>
            </w:r>
            <w:r>
              <w:rPr>
                <w:rFonts w:hint="eastAsia" w:cs="宋体"/>
                <w:b w:val="0"/>
                <w:color w:val="auto"/>
                <w:kern w:val="0"/>
                <w:sz w:val="24"/>
                <w:lang w:eastAsia="zh-CN" w:bidi="ar"/>
              </w:rPr>
              <w:t>，</w:t>
            </w:r>
            <w:r>
              <w:rPr>
                <w:rFonts w:hint="default"/>
                <w:color w:val="auto"/>
                <w:sz w:val="24"/>
                <w:szCs w:val="24"/>
                <w:lang w:val="en-US" w:eastAsia="zh-CN"/>
              </w:rPr>
              <w:t>危废类别为</w:t>
            </w:r>
            <w:r>
              <w:rPr>
                <w:rFonts w:hint="eastAsia" w:cs="宋体"/>
                <w:b w:val="0"/>
                <w:color w:val="auto"/>
                <w:kern w:val="0"/>
                <w:sz w:val="24"/>
                <w:lang w:bidi="ar"/>
              </w:rPr>
              <w:t>HW49（900-041-49）</w:t>
            </w:r>
            <w:r>
              <w:rPr>
                <w:rFonts w:hint="default"/>
                <w:color w:val="auto"/>
                <w:sz w:val="24"/>
                <w:szCs w:val="24"/>
                <w:lang w:val="en-US" w:eastAsia="zh-CN"/>
              </w:rPr>
              <w:t>，集中收集后委托有危险废物处置资质的单位处置</w:t>
            </w:r>
            <w:r>
              <w:rPr>
                <w:rFonts w:hint="eastAsia" w:ascii="宋体" w:hAnsi="宋体" w:eastAsia="宋体" w:cs="宋体"/>
                <w:color w:val="auto"/>
                <w:sz w:val="24"/>
                <w:szCs w:val="24"/>
              </w:rPr>
              <w:t>。</w:t>
            </w:r>
          </w:p>
          <w:p w14:paraId="3193D54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ascii="宋体" w:hAnsi="宋体" w:eastAsia="宋体" w:cs="宋体"/>
                <w:color w:val="auto"/>
                <w:sz w:val="24"/>
                <w:szCs w:val="24"/>
              </w:rPr>
              <w:t>③</w:t>
            </w:r>
            <w:r>
              <w:rPr>
                <w:color w:val="auto"/>
                <w:sz w:val="24"/>
              </w:rPr>
              <w:t>废</w:t>
            </w:r>
            <w:r>
              <w:rPr>
                <w:rFonts w:hint="eastAsia"/>
                <w:color w:val="auto"/>
                <w:sz w:val="24"/>
              </w:rPr>
              <w:t>油桶：根据业主提供资料，废油桶产生量为</w:t>
            </w:r>
            <w:r>
              <w:rPr>
                <w:rFonts w:hint="eastAsia" w:eastAsia="宋体"/>
                <w:color w:val="auto"/>
                <w:sz w:val="24"/>
                <w:lang w:val="en-US" w:eastAsia="zh-CN"/>
              </w:rPr>
              <w:t>0.7</w:t>
            </w:r>
            <w:r>
              <w:rPr>
                <w:rFonts w:hint="eastAsia"/>
                <w:color w:val="auto"/>
                <w:sz w:val="24"/>
              </w:rPr>
              <w:t>t/a</w:t>
            </w:r>
            <w:r>
              <w:rPr>
                <w:color w:val="auto"/>
                <w:sz w:val="24"/>
              </w:rPr>
              <w:t>，属于危险废物，</w:t>
            </w:r>
            <w:r>
              <w:rPr>
                <w:rFonts w:hint="eastAsia"/>
                <w:color w:val="auto"/>
                <w:sz w:val="24"/>
              </w:rPr>
              <w:t>对照</w:t>
            </w:r>
            <w:r>
              <w:rPr>
                <w:color w:val="auto"/>
                <w:sz w:val="24"/>
              </w:rPr>
              <w:t>《国家危险废物名录》（2021年版），</w:t>
            </w:r>
            <w:r>
              <w:rPr>
                <w:rFonts w:hint="eastAsia"/>
                <w:color w:val="auto"/>
                <w:sz w:val="24"/>
              </w:rPr>
              <w:t>废物类别为</w:t>
            </w:r>
            <w:r>
              <w:rPr>
                <w:color w:val="auto"/>
                <w:sz w:val="24"/>
              </w:rPr>
              <w:t>HW</w:t>
            </w:r>
            <w:r>
              <w:rPr>
                <w:rFonts w:hint="eastAsia"/>
                <w:color w:val="auto"/>
                <w:sz w:val="24"/>
              </w:rPr>
              <w:t>08，代码900-249-08</w:t>
            </w:r>
            <w:r>
              <w:rPr>
                <w:color w:val="auto"/>
                <w:sz w:val="24"/>
              </w:rPr>
              <w:t>，</w:t>
            </w:r>
            <w:r>
              <w:rPr>
                <w:rFonts w:hint="eastAsia"/>
                <w:color w:val="auto"/>
                <w:sz w:val="24"/>
              </w:rPr>
              <w:t>需</w:t>
            </w:r>
            <w:r>
              <w:rPr>
                <w:color w:val="auto"/>
                <w:sz w:val="24"/>
              </w:rPr>
              <w:t>委托有危险废物处置资质的单位处置</w:t>
            </w:r>
            <w:r>
              <w:rPr>
                <w:rFonts w:hint="eastAsia"/>
                <w:color w:val="auto"/>
                <w:sz w:val="24"/>
              </w:rPr>
              <w:t>。</w:t>
            </w:r>
          </w:p>
          <w:p w14:paraId="3495420B">
            <w:pPr>
              <w:pStyle w:val="15"/>
              <w:keepNext w:val="0"/>
              <w:keepLines w:val="0"/>
              <w:pageBreakBefore w:val="0"/>
              <w:widowControl/>
              <w:kinsoku/>
              <w:overflowPunct/>
              <w:topLinePunct w:val="0"/>
              <w:autoSpaceDE/>
              <w:autoSpaceDN/>
              <w:bidi w:val="0"/>
              <w:adjustRightInd/>
              <w:snapToGrid/>
              <w:spacing w:beforeAutospacing="0" w:afterAutospacing="0" w:line="360" w:lineRule="auto"/>
              <w:ind w:left="0" w:firstLine="480" w:firstLineChars="20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color w:val="auto"/>
                <w:sz w:val="24"/>
                <w:szCs w:val="24"/>
                <w:lang w:val="en-US" w:eastAsia="zh-CN"/>
              </w:rPr>
              <w:t>固体废物分析结果汇总：</w:t>
            </w:r>
          </w:p>
          <w:p w14:paraId="754BCD0E">
            <w:pPr>
              <w:pStyle w:val="76"/>
              <w:adjustRightInd w:val="0"/>
              <w:snapToGrid w:val="0"/>
              <w:ind w:firstLine="0" w:firstLineChars="0"/>
              <w:jc w:val="center"/>
              <w:rPr>
                <w:rFonts w:hint="eastAsia"/>
                <w:b/>
                <w:bCs/>
                <w:color w:val="auto"/>
                <w:sz w:val="24"/>
              </w:rPr>
            </w:pPr>
            <w:r>
              <w:rPr>
                <w:b/>
                <w:bCs/>
                <w:color w:val="auto"/>
                <w:szCs w:val="21"/>
              </w:rPr>
              <w:t>表4-</w:t>
            </w:r>
            <w:r>
              <w:rPr>
                <w:rFonts w:hint="eastAsia"/>
                <w:b/>
                <w:bCs/>
                <w:color w:val="auto"/>
                <w:szCs w:val="21"/>
              </w:rPr>
              <w:t>1</w:t>
            </w:r>
            <w:r>
              <w:rPr>
                <w:rFonts w:hint="eastAsia" w:eastAsia="宋体"/>
                <w:b/>
                <w:bCs/>
                <w:color w:val="auto"/>
                <w:szCs w:val="21"/>
                <w:lang w:val="en-US" w:eastAsia="zh-CN"/>
              </w:rPr>
              <w:t>3</w:t>
            </w:r>
            <w:r>
              <w:rPr>
                <w:b/>
                <w:bCs/>
                <w:color w:val="auto"/>
                <w:szCs w:val="21"/>
              </w:rPr>
              <w:t xml:space="preserve">  </w:t>
            </w:r>
            <w:r>
              <w:rPr>
                <w:rFonts w:hint="eastAsia" w:eastAsia="宋体"/>
                <w:b/>
                <w:bCs/>
                <w:color w:val="auto"/>
                <w:szCs w:val="21"/>
                <w:lang w:val="en-US" w:eastAsia="zh-CN"/>
              </w:rPr>
              <w:t>技改后</w:t>
            </w:r>
            <w:r>
              <w:rPr>
                <w:rFonts w:hint="eastAsia"/>
                <w:b/>
                <w:bCs/>
                <w:color w:val="auto"/>
                <w:szCs w:val="21"/>
              </w:rPr>
              <w:t>项目固体废物产生、排放情况一览表</w:t>
            </w:r>
          </w:p>
          <w:tbl>
            <w:tblPr>
              <w:tblStyle w:val="2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93"/>
              <w:gridCol w:w="997"/>
              <w:gridCol w:w="746"/>
              <w:gridCol w:w="746"/>
              <w:gridCol w:w="746"/>
              <w:gridCol w:w="746"/>
              <w:gridCol w:w="596"/>
              <w:gridCol w:w="632"/>
              <w:gridCol w:w="619"/>
              <w:gridCol w:w="711"/>
              <w:gridCol w:w="1173"/>
            </w:tblGrid>
            <w:tr w14:paraId="46AB0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7F517172">
                  <w:pPr>
                    <w:adjustRightInd w:val="0"/>
                    <w:snapToGrid w:val="0"/>
                    <w:jc w:val="center"/>
                    <w:rPr>
                      <w:b/>
                      <w:bCs/>
                      <w:color w:val="auto"/>
                      <w:sz w:val="21"/>
                      <w:szCs w:val="21"/>
                      <w:lang w:bidi="ar"/>
                    </w:rPr>
                  </w:pPr>
                  <w:r>
                    <w:rPr>
                      <w:b/>
                      <w:bCs/>
                      <w:color w:val="auto"/>
                      <w:sz w:val="21"/>
                      <w:szCs w:val="21"/>
                      <w:lang w:bidi="ar"/>
                    </w:rPr>
                    <w:t>序号</w:t>
                  </w:r>
                </w:p>
              </w:tc>
              <w:tc>
                <w:tcPr>
                  <w:tcW w:w="607" w:type="pct"/>
                  <w:noWrap w:val="0"/>
                  <w:tcMar>
                    <w:left w:w="28" w:type="dxa"/>
                    <w:right w:w="28" w:type="dxa"/>
                  </w:tcMar>
                  <w:vAlign w:val="center"/>
                </w:tcPr>
                <w:p w14:paraId="43F0493F">
                  <w:pPr>
                    <w:adjustRightInd w:val="0"/>
                    <w:snapToGrid w:val="0"/>
                    <w:jc w:val="center"/>
                    <w:rPr>
                      <w:b/>
                      <w:bCs/>
                      <w:color w:val="auto"/>
                      <w:sz w:val="21"/>
                      <w:szCs w:val="21"/>
                      <w:lang w:bidi="ar"/>
                    </w:rPr>
                  </w:pPr>
                  <w:r>
                    <w:rPr>
                      <w:b/>
                      <w:bCs/>
                      <w:color w:val="auto"/>
                      <w:sz w:val="21"/>
                      <w:szCs w:val="21"/>
                      <w:lang w:bidi="ar"/>
                    </w:rPr>
                    <w:t>产生环节</w:t>
                  </w:r>
                </w:p>
              </w:tc>
              <w:tc>
                <w:tcPr>
                  <w:tcW w:w="454" w:type="pct"/>
                  <w:noWrap w:val="0"/>
                  <w:vAlign w:val="center"/>
                </w:tcPr>
                <w:p w14:paraId="06F176D1">
                  <w:pPr>
                    <w:adjustRightInd w:val="0"/>
                    <w:snapToGrid w:val="0"/>
                    <w:jc w:val="center"/>
                    <w:rPr>
                      <w:b/>
                      <w:bCs/>
                      <w:color w:val="auto"/>
                      <w:sz w:val="21"/>
                      <w:szCs w:val="21"/>
                      <w:lang w:bidi="ar"/>
                    </w:rPr>
                  </w:pPr>
                  <w:r>
                    <w:rPr>
                      <w:b/>
                      <w:bCs/>
                      <w:color w:val="auto"/>
                      <w:sz w:val="21"/>
                      <w:szCs w:val="21"/>
                      <w:lang w:bidi="ar"/>
                    </w:rPr>
                    <w:t>废物名称</w:t>
                  </w:r>
                </w:p>
              </w:tc>
              <w:tc>
                <w:tcPr>
                  <w:tcW w:w="454" w:type="pct"/>
                  <w:noWrap w:val="0"/>
                  <w:tcMar>
                    <w:top w:w="0" w:type="dxa"/>
                    <w:left w:w="0" w:type="dxa"/>
                    <w:bottom w:w="0" w:type="dxa"/>
                    <w:right w:w="0" w:type="dxa"/>
                  </w:tcMar>
                  <w:vAlign w:val="center"/>
                </w:tcPr>
                <w:p w14:paraId="6F18D46E">
                  <w:pPr>
                    <w:adjustRightInd w:val="0"/>
                    <w:snapToGrid w:val="0"/>
                    <w:jc w:val="center"/>
                    <w:rPr>
                      <w:b/>
                      <w:bCs/>
                      <w:color w:val="auto"/>
                      <w:sz w:val="21"/>
                      <w:szCs w:val="21"/>
                      <w:lang w:bidi="ar"/>
                    </w:rPr>
                  </w:pPr>
                  <w:r>
                    <w:rPr>
                      <w:b/>
                      <w:bCs/>
                      <w:color w:val="auto"/>
                      <w:sz w:val="21"/>
                      <w:szCs w:val="21"/>
                      <w:lang w:bidi="ar"/>
                    </w:rPr>
                    <w:t>属性</w:t>
                  </w:r>
                </w:p>
              </w:tc>
              <w:tc>
                <w:tcPr>
                  <w:tcW w:w="454" w:type="pct"/>
                  <w:noWrap w:val="0"/>
                  <w:tcMar>
                    <w:left w:w="0" w:type="dxa"/>
                    <w:right w:w="0" w:type="dxa"/>
                  </w:tcMar>
                  <w:vAlign w:val="center"/>
                </w:tcPr>
                <w:p w14:paraId="05BF7D6F">
                  <w:pPr>
                    <w:adjustRightInd w:val="0"/>
                    <w:snapToGrid w:val="0"/>
                    <w:jc w:val="center"/>
                    <w:rPr>
                      <w:b/>
                      <w:bCs/>
                      <w:color w:val="auto"/>
                      <w:sz w:val="21"/>
                      <w:szCs w:val="21"/>
                      <w:lang w:bidi="ar"/>
                    </w:rPr>
                  </w:pPr>
                  <w:r>
                    <w:rPr>
                      <w:b/>
                      <w:bCs/>
                      <w:color w:val="auto"/>
                      <w:sz w:val="21"/>
                      <w:szCs w:val="21"/>
                      <w:lang w:bidi="ar"/>
                    </w:rPr>
                    <w:t>废物类别</w:t>
                  </w:r>
                </w:p>
              </w:tc>
              <w:tc>
                <w:tcPr>
                  <w:tcW w:w="454" w:type="pct"/>
                  <w:noWrap w:val="0"/>
                  <w:vAlign w:val="center"/>
                </w:tcPr>
                <w:p w14:paraId="18016593">
                  <w:pPr>
                    <w:adjustRightInd w:val="0"/>
                    <w:snapToGrid w:val="0"/>
                    <w:jc w:val="center"/>
                    <w:rPr>
                      <w:b/>
                      <w:bCs/>
                      <w:color w:val="auto"/>
                      <w:sz w:val="21"/>
                      <w:szCs w:val="21"/>
                      <w:lang w:bidi="ar"/>
                    </w:rPr>
                  </w:pPr>
                  <w:r>
                    <w:rPr>
                      <w:b/>
                      <w:bCs/>
                      <w:color w:val="auto"/>
                      <w:sz w:val="21"/>
                      <w:szCs w:val="21"/>
                      <w:lang w:bidi="ar"/>
                    </w:rPr>
                    <w:t>废物代码</w:t>
                  </w:r>
                </w:p>
              </w:tc>
              <w:tc>
                <w:tcPr>
                  <w:tcW w:w="363" w:type="pct"/>
                  <w:noWrap w:val="0"/>
                  <w:vAlign w:val="center"/>
                </w:tcPr>
                <w:p w14:paraId="520DF246">
                  <w:pPr>
                    <w:widowControl/>
                    <w:adjustRightInd w:val="0"/>
                    <w:snapToGrid w:val="0"/>
                    <w:jc w:val="center"/>
                    <w:rPr>
                      <w:b/>
                      <w:bCs/>
                      <w:color w:val="auto"/>
                      <w:sz w:val="21"/>
                      <w:szCs w:val="21"/>
                      <w:lang w:bidi="ar"/>
                    </w:rPr>
                  </w:pPr>
                  <w:r>
                    <w:rPr>
                      <w:b/>
                      <w:bCs/>
                      <w:color w:val="auto"/>
                      <w:sz w:val="21"/>
                      <w:szCs w:val="21"/>
                      <w:lang w:bidi="ar"/>
                    </w:rPr>
                    <w:t>有害成分</w:t>
                  </w:r>
                </w:p>
              </w:tc>
              <w:tc>
                <w:tcPr>
                  <w:tcW w:w="385" w:type="pct"/>
                  <w:noWrap w:val="0"/>
                  <w:tcMar>
                    <w:left w:w="0" w:type="dxa"/>
                    <w:right w:w="0" w:type="dxa"/>
                  </w:tcMar>
                  <w:vAlign w:val="center"/>
                </w:tcPr>
                <w:p w14:paraId="51B0EE74">
                  <w:pPr>
                    <w:widowControl/>
                    <w:adjustRightInd w:val="0"/>
                    <w:snapToGrid w:val="0"/>
                    <w:jc w:val="center"/>
                    <w:rPr>
                      <w:b/>
                      <w:bCs/>
                      <w:color w:val="auto"/>
                      <w:sz w:val="21"/>
                      <w:szCs w:val="21"/>
                      <w:lang w:bidi="ar"/>
                    </w:rPr>
                  </w:pPr>
                  <w:r>
                    <w:rPr>
                      <w:b/>
                      <w:bCs/>
                      <w:color w:val="auto"/>
                      <w:sz w:val="21"/>
                      <w:szCs w:val="21"/>
                      <w:lang w:bidi="ar"/>
                    </w:rPr>
                    <w:t>物理</w:t>
                  </w:r>
                </w:p>
                <w:p w14:paraId="762BBC90">
                  <w:pPr>
                    <w:widowControl/>
                    <w:adjustRightInd w:val="0"/>
                    <w:snapToGrid w:val="0"/>
                    <w:jc w:val="center"/>
                    <w:rPr>
                      <w:b/>
                      <w:bCs/>
                      <w:color w:val="auto"/>
                      <w:sz w:val="21"/>
                      <w:szCs w:val="21"/>
                      <w:lang w:bidi="ar"/>
                    </w:rPr>
                  </w:pPr>
                  <w:r>
                    <w:rPr>
                      <w:b/>
                      <w:bCs/>
                      <w:color w:val="auto"/>
                      <w:sz w:val="21"/>
                      <w:szCs w:val="21"/>
                      <w:lang w:bidi="ar"/>
                    </w:rPr>
                    <w:t>性状</w:t>
                  </w:r>
                </w:p>
              </w:tc>
              <w:tc>
                <w:tcPr>
                  <w:tcW w:w="377" w:type="pct"/>
                  <w:noWrap w:val="0"/>
                  <w:vAlign w:val="center"/>
                </w:tcPr>
                <w:p w14:paraId="30721BCF">
                  <w:pPr>
                    <w:topLinePunct/>
                    <w:adjustRightInd w:val="0"/>
                    <w:snapToGrid w:val="0"/>
                    <w:jc w:val="center"/>
                    <w:rPr>
                      <w:b/>
                      <w:bCs/>
                      <w:color w:val="auto"/>
                      <w:sz w:val="21"/>
                      <w:szCs w:val="21"/>
                      <w:lang w:bidi="ar"/>
                    </w:rPr>
                  </w:pPr>
                  <w:r>
                    <w:rPr>
                      <w:b/>
                      <w:bCs/>
                      <w:color w:val="auto"/>
                      <w:sz w:val="21"/>
                      <w:szCs w:val="21"/>
                      <w:lang w:bidi="ar"/>
                    </w:rPr>
                    <w:t>危险</w:t>
                  </w:r>
                </w:p>
                <w:p w14:paraId="75E2A8C6">
                  <w:pPr>
                    <w:adjustRightInd w:val="0"/>
                    <w:snapToGrid w:val="0"/>
                    <w:jc w:val="center"/>
                    <w:rPr>
                      <w:b/>
                      <w:bCs/>
                      <w:color w:val="auto"/>
                      <w:sz w:val="21"/>
                      <w:szCs w:val="21"/>
                      <w:lang w:bidi="ar"/>
                    </w:rPr>
                  </w:pPr>
                  <w:r>
                    <w:rPr>
                      <w:b/>
                      <w:bCs/>
                      <w:color w:val="auto"/>
                      <w:sz w:val="21"/>
                      <w:szCs w:val="21"/>
                      <w:lang w:bidi="ar"/>
                    </w:rPr>
                    <w:t>特性</w:t>
                  </w:r>
                </w:p>
              </w:tc>
              <w:tc>
                <w:tcPr>
                  <w:tcW w:w="433" w:type="pct"/>
                  <w:noWrap w:val="0"/>
                  <w:tcMar>
                    <w:left w:w="0" w:type="dxa"/>
                    <w:right w:w="0" w:type="dxa"/>
                  </w:tcMar>
                  <w:vAlign w:val="center"/>
                </w:tcPr>
                <w:p w14:paraId="10154C9C">
                  <w:pPr>
                    <w:adjustRightInd w:val="0"/>
                    <w:snapToGrid w:val="0"/>
                    <w:jc w:val="center"/>
                    <w:rPr>
                      <w:b/>
                      <w:bCs/>
                      <w:color w:val="auto"/>
                      <w:sz w:val="21"/>
                      <w:szCs w:val="21"/>
                      <w:lang w:bidi="ar"/>
                    </w:rPr>
                  </w:pPr>
                  <w:r>
                    <w:rPr>
                      <w:b/>
                      <w:bCs/>
                      <w:color w:val="auto"/>
                      <w:sz w:val="21"/>
                      <w:szCs w:val="21"/>
                      <w:lang w:bidi="ar"/>
                    </w:rPr>
                    <w:t>产生量</w:t>
                  </w:r>
                </w:p>
                <w:p w14:paraId="23FC17C7">
                  <w:pPr>
                    <w:adjustRightInd w:val="0"/>
                    <w:snapToGrid w:val="0"/>
                    <w:jc w:val="center"/>
                    <w:rPr>
                      <w:b/>
                      <w:bCs/>
                      <w:color w:val="auto"/>
                      <w:sz w:val="21"/>
                      <w:szCs w:val="21"/>
                      <w:lang w:bidi="ar"/>
                    </w:rPr>
                  </w:pPr>
                  <w:r>
                    <w:rPr>
                      <w:b/>
                      <w:bCs/>
                      <w:color w:val="auto"/>
                      <w:sz w:val="21"/>
                      <w:szCs w:val="21"/>
                      <w:lang w:bidi="ar"/>
                    </w:rPr>
                    <w:t>(t/a)</w:t>
                  </w:r>
                </w:p>
              </w:tc>
              <w:tc>
                <w:tcPr>
                  <w:tcW w:w="714" w:type="pct"/>
                  <w:noWrap w:val="0"/>
                  <w:vAlign w:val="center"/>
                </w:tcPr>
                <w:p w14:paraId="204D173D">
                  <w:pPr>
                    <w:adjustRightInd w:val="0"/>
                    <w:snapToGrid w:val="0"/>
                    <w:jc w:val="center"/>
                    <w:rPr>
                      <w:b/>
                      <w:bCs/>
                      <w:color w:val="auto"/>
                      <w:sz w:val="21"/>
                      <w:szCs w:val="21"/>
                      <w:lang w:bidi="ar"/>
                    </w:rPr>
                  </w:pPr>
                  <w:r>
                    <w:rPr>
                      <w:b/>
                      <w:bCs/>
                      <w:color w:val="auto"/>
                      <w:sz w:val="21"/>
                      <w:szCs w:val="21"/>
                      <w:lang w:bidi="ar"/>
                    </w:rPr>
                    <w:t>处置方式</w:t>
                  </w:r>
                </w:p>
              </w:tc>
            </w:tr>
            <w:tr w14:paraId="1FEB0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1BF8C895">
                  <w:pPr>
                    <w:adjustRightInd w:val="0"/>
                    <w:snapToGrid w:val="0"/>
                    <w:jc w:val="center"/>
                    <w:rPr>
                      <w:color w:val="auto"/>
                      <w:sz w:val="21"/>
                      <w:szCs w:val="21"/>
                      <w:lang w:bidi="ar"/>
                    </w:rPr>
                  </w:pPr>
                  <w:r>
                    <w:rPr>
                      <w:color w:val="auto"/>
                      <w:sz w:val="21"/>
                      <w:szCs w:val="21"/>
                      <w:lang w:bidi="ar"/>
                    </w:rPr>
                    <w:t>1</w:t>
                  </w:r>
                </w:p>
              </w:tc>
              <w:tc>
                <w:tcPr>
                  <w:tcW w:w="607" w:type="pct"/>
                  <w:noWrap w:val="0"/>
                  <w:tcMar>
                    <w:left w:w="28" w:type="dxa"/>
                    <w:right w:w="28" w:type="dxa"/>
                  </w:tcMar>
                  <w:vAlign w:val="center"/>
                </w:tcPr>
                <w:p w14:paraId="11406EB8">
                  <w:pPr>
                    <w:adjustRightInd w:val="0"/>
                    <w:snapToGrid w:val="0"/>
                    <w:jc w:val="center"/>
                    <w:rPr>
                      <w:color w:val="auto"/>
                      <w:sz w:val="21"/>
                      <w:szCs w:val="21"/>
                      <w:lang w:bidi="ar"/>
                    </w:rPr>
                  </w:pPr>
                  <w:r>
                    <w:rPr>
                      <w:color w:val="auto"/>
                      <w:sz w:val="21"/>
                      <w:szCs w:val="21"/>
                      <w:lang w:bidi="ar"/>
                    </w:rPr>
                    <w:t>员工生活</w:t>
                  </w:r>
                </w:p>
              </w:tc>
              <w:tc>
                <w:tcPr>
                  <w:tcW w:w="454" w:type="pct"/>
                  <w:noWrap w:val="0"/>
                  <w:vAlign w:val="center"/>
                </w:tcPr>
                <w:p w14:paraId="304F6B7E">
                  <w:pPr>
                    <w:adjustRightInd w:val="0"/>
                    <w:snapToGrid w:val="0"/>
                    <w:jc w:val="center"/>
                    <w:rPr>
                      <w:color w:val="auto"/>
                      <w:sz w:val="21"/>
                      <w:szCs w:val="21"/>
                      <w:lang w:bidi="ar"/>
                    </w:rPr>
                  </w:pPr>
                  <w:r>
                    <w:rPr>
                      <w:color w:val="auto"/>
                      <w:sz w:val="21"/>
                      <w:szCs w:val="21"/>
                      <w:lang w:bidi="ar"/>
                    </w:rPr>
                    <w:t>生活垃圾</w:t>
                  </w:r>
                </w:p>
              </w:tc>
              <w:tc>
                <w:tcPr>
                  <w:tcW w:w="454" w:type="pct"/>
                  <w:noWrap w:val="0"/>
                  <w:tcMar>
                    <w:top w:w="0" w:type="dxa"/>
                    <w:left w:w="0" w:type="dxa"/>
                    <w:bottom w:w="0" w:type="dxa"/>
                    <w:right w:w="0" w:type="dxa"/>
                  </w:tcMar>
                  <w:vAlign w:val="center"/>
                </w:tcPr>
                <w:p w14:paraId="58A77C46">
                  <w:pPr>
                    <w:adjustRightInd w:val="0"/>
                    <w:snapToGrid w:val="0"/>
                    <w:jc w:val="center"/>
                    <w:rPr>
                      <w:rFonts w:hint="eastAsia"/>
                      <w:color w:val="auto"/>
                      <w:sz w:val="21"/>
                      <w:szCs w:val="21"/>
                      <w:lang w:bidi="ar"/>
                    </w:rPr>
                  </w:pPr>
                  <w:r>
                    <w:rPr>
                      <w:rFonts w:hint="eastAsia"/>
                      <w:color w:val="auto"/>
                      <w:sz w:val="21"/>
                      <w:szCs w:val="21"/>
                      <w:lang w:bidi="ar"/>
                    </w:rPr>
                    <w:t>/</w:t>
                  </w:r>
                </w:p>
              </w:tc>
              <w:tc>
                <w:tcPr>
                  <w:tcW w:w="454" w:type="pct"/>
                  <w:noWrap w:val="0"/>
                  <w:tcMar>
                    <w:left w:w="0" w:type="dxa"/>
                    <w:right w:w="0" w:type="dxa"/>
                  </w:tcMar>
                  <w:vAlign w:val="center"/>
                </w:tcPr>
                <w:p w14:paraId="577FEA2B">
                  <w:pPr>
                    <w:adjustRightInd w:val="0"/>
                    <w:snapToGrid w:val="0"/>
                    <w:jc w:val="center"/>
                    <w:rPr>
                      <w:color w:val="auto"/>
                      <w:sz w:val="21"/>
                      <w:szCs w:val="21"/>
                      <w:lang w:bidi="ar"/>
                    </w:rPr>
                  </w:pPr>
                  <w:r>
                    <w:rPr>
                      <w:color w:val="auto"/>
                      <w:sz w:val="21"/>
                      <w:szCs w:val="21"/>
                      <w:lang w:bidi="ar"/>
                    </w:rPr>
                    <w:t>-</w:t>
                  </w:r>
                </w:p>
              </w:tc>
              <w:tc>
                <w:tcPr>
                  <w:tcW w:w="454" w:type="pct"/>
                  <w:noWrap w:val="0"/>
                  <w:vAlign w:val="center"/>
                </w:tcPr>
                <w:p w14:paraId="24699733">
                  <w:pPr>
                    <w:adjustRightInd w:val="0"/>
                    <w:snapToGrid w:val="0"/>
                    <w:jc w:val="center"/>
                    <w:rPr>
                      <w:color w:val="auto"/>
                      <w:sz w:val="21"/>
                      <w:szCs w:val="21"/>
                      <w:lang w:bidi="ar"/>
                    </w:rPr>
                  </w:pPr>
                  <w:r>
                    <w:rPr>
                      <w:rFonts w:hint="eastAsia"/>
                      <w:color w:val="auto"/>
                      <w:sz w:val="21"/>
                      <w:szCs w:val="21"/>
                    </w:rPr>
                    <w:t>900-099-S64</w:t>
                  </w:r>
                </w:p>
              </w:tc>
              <w:tc>
                <w:tcPr>
                  <w:tcW w:w="363" w:type="pct"/>
                  <w:noWrap w:val="0"/>
                  <w:vAlign w:val="center"/>
                </w:tcPr>
                <w:p w14:paraId="5738701D">
                  <w:pPr>
                    <w:adjustRightInd w:val="0"/>
                    <w:snapToGrid w:val="0"/>
                    <w:jc w:val="center"/>
                    <w:rPr>
                      <w:color w:val="auto"/>
                      <w:sz w:val="21"/>
                      <w:szCs w:val="21"/>
                      <w:lang w:bidi="ar"/>
                    </w:rPr>
                  </w:pPr>
                  <w:r>
                    <w:rPr>
                      <w:color w:val="auto"/>
                      <w:sz w:val="21"/>
                      <w:szCs w:val="21"/>
                      <w:lang w:bidi="ar"/>
                    </w:rPr>
                    <w:t>-</w:t>
                  </w:r>
                </w:p>
              </w:tc>
              <w:tc>
                <w:tcPr>
                  <w:tcW w:w="385" w:type="pct"/>
                  <w:noWrap w:val="0"/>
                  <w:vAlign w:val="center"/>
                </w:tcPr>
                <w:p w14:paraId="3A4519BD">
                  <w:pPr>
                    <w:adjustRightInd w:val="0"/>
                    <w:snapToGrid w:val="0"/>
                    <w:jc w:val="center"/>
                    <w:rPr>
                      <w:color w:val="auto"/>
                      <w:sz w:val="21"/>
                      <w:szCs w:val="21"/>
                      <w:lang w:bidi="ar"/>
                    </w:rPr>
                  </w:pPr>
                  <w:r>
                    <w:rPr>
                      <w:color w:val="auto"/>
                      <w:sz w:val="21"/>
                      <w:szCs w:val="21"/>
                      <w:lang w:bidi="ar"/>
                    </w:rPr>
                    <w:t>固态</w:t>
                  </w:r>
                </w:p>
              </w:tc>
              <w:tc>
                <w:tcPr>
                  <w:tcW w:w="377" w:type="pct"/>
                  <w:noWrap w:val="0"/>
                  <w:vAlign w:val="center"/>
                </w:tcPr>
                <w:p w14:paraId="2602138F">
                  <w:pPr>
                    <w:adjustRightInd w:val="0"/>
                    <w:snapToGrid w:val="0"/>
                    <w:jc w:val="center"/>
                    <w:rPr>
                      <w:color w:val="auto"/>
                      <w:sz w:val="21"/>
                      <w:szCs w:val="21"/>
                      <w:lang w:bidi="ar"/>
                    </w:rPr>
                  </w:pPr>
                  <w:r>
                    <w:rPr>
                      <w:color w:val="auto"/>
                      <w:sz w:val="21"/>
                      <w:szCs w:val="21"/>
                      <w:lang w:bidi="ar"/>
                    </w:rPr>
                    <w:t>-</w:t>
                  </w:r>
                </w:p>
              </w:tc>
              <w:tc>
                <w:tcPr>
                  <w:tcW w:w="433" w:type="pct"/>
                  <w:noWrap w:val="0"/>
                  <w:tcMar>
                    <w:left w:w="0" w:type="dxa"/>
                    <w:right w:w="0" w:type="dxa"/>
                  </w:tcMar>
                  <w:vAlign w:val="center"/>
                </w:tcPr>
                <w:p w14:paraId="1EE62DB8">
                  <w:pPr>
                    <w:adjustRightInd w:val="0"/>
                    <w:snapToGrid w:val="0"/>
                    <w:jc w:val="center"/>
                    <w:rPr>
                      <w:rFonts w:hint="eastAsia" w:eastAsia="宋体"/>
                      <w:color w:val="auto"/>
                      <w:sz w:val="21"/>
                      <w:szCs w:val="21"/>
                      <w:lang w:val="en-US" w:eastAsia="zh-CN" w:bidi="ar"/>
                    </w:rPr>
                  </w:pPr>
                  <w:r>
                    <w:rPr>
                      <w:rFonts w:hint="eastAsia" w:eastAsia="宋体"/>
                      <w:color w:val="auto"/>
                      <w:sz w:val="21"/>
                      <w:szCs w:val="21"/>
                      <w:lang w:val="en-US" w:eastAsia="zh-CN" w:bidi="ar"/>
                    </w:rPr>
                    <w:t>3</w:t>
                  </w:r>
                </w:p>
              </w:tc>
              <w:tc>
                <w:tcPr>
                  <w:tcW w:w="714" w:type="pct"/>
                  <w:vMerge w:val="restart"/>
                  <w:noWrap w:val="0"/>
                  <w:vAlign w:val="center"/>
                </w:tcPr>
                <w:p w14:paraId="1625B436">
                  <w:pPr>
                    <w:adjustRightInd w:val="0"/>
                    <w:snapToGrid w:val="0"/>
                    <w:jc w:val="center"/>
                    <w:rPr>
                      <w:color w:val="auto"/>
                      <w:sz w:val="21"/>
                      <w:szCs w:val="21"/>
                      <w:lang w:bidi="ar"/>
                    </w:rPr>
                  </w:pPr>
                  <w:r>
                    <w:rPr>
                      <w:color w:val="auto"/>
                      <w:sz w:val="21"/>
                      <w:szCs w:val="21"/>
                      <w:lang w:bidi="ar"/>
                    </w:rPr>
                    <w:t>环卫部门清运</w:t>
                  </w:r>
                </w:p>
              </w:tc>
            </w:tr>
            <w:tr w14:paraId="33955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4F162E67">
                  <w:pPr>
                    <w:adjustRightInd w:val="0"/>
                    <w:snapToGrid w:val="0"/>
                    <w:jc w:val="center"/>
                    <w:rPr>
                      <w:rFonts w:hint="eastAsia" w:eastAsia="宋体"/>
                      <w:color w:val="auto"/>
                      <w:sz w:val="21"/>
                      <w:szCs w:val="21"/>
                      <w:lang w:val="en-US" w:eastAsia="zh-CN" w:bidi="ar"/>
                    </w:rPr>
                  </w:pPr>
                  <w:r>
                    <w:rPr>
                      <w:rFonts w:hint="eastAsia" w:eastAsia="宋体"/>
                      <w:color w:val="auto"/>
                      <w:sz w:val="21"/>
                      <w:szCs w:val="21"/>
                      <w:lang w:val="en-US" w:eastAsia="zh-CN" w:bidi="ar"/>
                    </w:rPr>
                    <w:t>2</w:t>
                  </w:r>
                </w:p>
              </w:tc>
              <w:tc>
                <w:tcPr>
                  <w:tcW w:w="607" w:type="pct"/>
                  <w:shd w:val="clear" w:color="auto" w:fill="auto"/>
                  <w:noWrap w:val="0"/>
                  <w:tcMar>
                    <w:left w:w="28" w:type="dxa"/>
                    <w:right w:w="28" w:type="dxa"/>
                  </w:tcMar>
                  <w:vAlign w:val="center"/>
                </w:tcPr>
                <w:p w14:paraId="4EF0B18D">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栅渣</w:t>
                  </w:r>
                </w:p>
              </w:tc>
              <w:tc>
                <w:tcPr>
                  <w:tcW w:w="454" w:type="pct"/>
                  <w:shd w:val="clear" w:color="auto" w:fill="auto"/>
                  <w:noWrap w:val="0"/>
                  <w:vAlign w:val="center"/>
                </w:tcPr>
                <w:p w14:paraId="3E92E294">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bCs/>
                      <w:color w:val="auto"/>
                      <w:szCs w:val="21"/>
                    </w:rPr>
                    <w:t>不可利用固体废物</w:t>
                  </w:r>
                </w:p>
              </w:tc>
              <w:tc>
                <w:tcPr>
                  <w:tcW w:w="454" w:type="pct"/>
                  <w:shd w:val="clear" w:color="auto" w:fill="auto"/>
                  <w:noWrap w:val="0"/>
                  <w:tcMar>
                    <w:top w:w="0" w:type="dxa"/>
                    <w:left w:w="0" w:type="dxa"/>
                    <w:bottom w:w="0" w:type="dxa"/>
                    <w:right w:w="0" w:type="dxa"/>
                  </w:tcMar>
                  <w:vAlign w:val="center"/>
                </w:tcPr>
                <w:p w14:paraId="4DD12C9C">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一般固废</w:t>
                  </w:r>
                </w:p>
              </w:tc>
              <w:tc>
                <w:tcPr>
                  <w:tcW w:w="454" w:type="pct"/>
                  <w:shd w:val="clear" w:color="auto" w:fill="auto"/>
                  <w:noWrap w:val="0"/>
                  <w:tcMar>
                    <w:left w:w="0" w:type="dxa"/>
                    <w:right w:w="0" w:type="dxa"/>
                  </w:tcMar>
                  <w:vAlign w:val="center"/>
                </w:tcPr>
                <w:p w14:paraId="4E0DF2D3">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SW59</w:t>
                  </w:r>
                </w:p>
              </w:tc>
              <w:tc>
                <w:tcPr>
                  <w:tcW w:w="454" w:type="pct"/>
                  <w:shd w:val="clear" w:color="auto" w:fill="auto"/>
                  <w:noWrap w:val="0"/>
                  <w:vAlign w:val="center"/>
                </w:tcPr>
                <w:p w14:paraId="238C4CBA">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900-009-S59</w:t>
                  </w:r>
                </w:p>
              </w:tc>
              <w:tc>
                <w:tcPr>
                  <w:tcW w:w="363" w:type="pct"/>
                  <w:shd w:val="clear" w:color="auto" w:fill="auto"/>
                  <w:noWrap w:val="0"/>
                  <w:vAlign w:val="center"/>
                </w:tcPr>
                <w:p w14:paraId="63F1FE07">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w:t>
                  </w:r>
                </w:p>
              </w:tc>
              <w:tc>
                <w:tcPr>
                  <w:tcW w:w="385" w:type="pct"/>
                  <w:shd w:val="clear" w:color="auto" w:fill="auto"/>
                  <w:noWrap w:val="0"/>
                  <w:vAlign w:val="center"/>
                </w:tcPr>
                <w:p w14:paraId="1D75DA0B">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color w:val="auto"/>
                      <w:sz w:val="21"/>
                      <w:szCs w:val="21"/>
                      <w:lang w:bidi="ar"/>
                    </w:rPr>
                    <w:t>固态</w:t>
                  </w:r>
                </w:p>
              </w:tc>
              <w:tc>
                <w:tcPr>
                  <w:tcW w:w="377" w:type="pct"/>
                  <w:shd w:val="clear" w:color="auto" w:fill="auto"/>
                  <w:noWrap w:val="0"/>
                  <w:vAlign w:val="center"/>
                </w:tcPr>
                <w:p w14:paraId="3E0B43EE">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w:t>
                  </w:r>
                </w:p>
              </w:tc>
              <w:tc>
                <w:tcPr>
                  <w:tcW w:w="433" w:type="pct"/>
                  <w:shd w:val="clear" w:color="auto" w:fill="auto"/>
                  <w:noWrap w:val="0"/>
                  <w:tcMar>
                    <w:left w:w="0" w:type="dxa"/>
                    <w:right w:w="0" w:type="dxa"/>
                  </w:tcMar>
                  <w:vAlign w:val="center"/>
                </w:tcPr>
                <w:p w14:paraId="3077D635">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ascii="Times New Roman" w:eastAsia="宋体"/>
                      <w:color w:val="auto"/>
                      <w:sz w:val="21"/>
                      <w:szCs w:val="21"/>
                      <w:lang w:val="en-US" w:eastAsia="zh-CN"/>
                    </w:rPr>
                    <w:t>2195.831</w:t>
                  </w:r>
                </w:p>
              </w:tc>
              <w:tc>
                <w:tcPr>
                  <w:tcW w:w="714" w:type="pct"/>
                  <w:vMerge w:val="continue"/>
                  <w:noWrap w:val="0"/>
                  <w:vAlign w:val="center"/>
                </w:tcPr>
                <w:p w14:paraId="34802F63">
                  <w:pPr>
                    <w:adjustRightInd w:val="0"/>
                    <w:snapToGrid w:val="0"/>
                    <w:jc w:val="center"/>
                    <w:rPr>
                      <w:color w:val="auto"/>
                      <w:sz w:val="21"/>
                      <w:szCs w:val="21"/>
                      <w:lang w:bidi="ar"/>
                    </w:rPr>
                  </w:pPr>
                </w:p>
              </w:tc>
            </w:tr>
            <w:tr w14:paraId="2B415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37" w:hRule="atLeast"/>
                <w:jc w:val="center"/>
              </w:trPr>
              <w:tc>
                <w:tcPr>
                  <w:tcW w:w="300" w:type="pct"/>
                  <w:noWrap w:val="0"/>
                  <w:tcMar>
                    <w:left w:w="28" w:type="dxa"/>
                    <w:right w:w="28" w:type="dxa"/>
                  </w:tcMar>
                  <w:vAlign w:val="center"/>
                </w:tcPr>
                <w:p w14:paraId="59B0D723">
                  <w:pPr>
                    <w:adjustRightInd w:val="0"/>
                    <w:snapToGrid w:val="0"/>
                    <w:jc w:val="center"/>
                    <w:rPr>
                      <w:rFonts w:hint="eastAsia" w:eastAsia="宋体"/>
                      <w:color w:val="auto"/>
                      <w:sz w:val="21"/>
                      <w:szCs w:val="21"/>
                      <w:lang w:eastAsia="zh-CN" w:bidi="ar"/>
                    </w:rPr>
                  </w:pPr>
                  <w:r>
                    <w:rPr>
                      <w:rFonts w:hint="eastAsia" w:eastAsia="宋体"/>
                      <w:color w:val="auto"/>
                      <w:sz w:val="21"/>
                      <w:szCs w:val="21"/>
                      <w:lang w:val="en-US" w:eastAsia="zh-CN" w:bidi="ar"/>
                    </w:rPr>
                    <w:t>3</w:t>
                  </w:r>
                </w:p>
              </w:tc>
              <w:tc>
                <w:tcPr>
                  <w:tcW w:w="607" w:type="pct"/>
                  <w:noWrap w:val="0"/>
                  <w:tcMar>
                    <w:left w:w="0" w:type="dxa"/>
                    <w:right w:w="0" w:type="dxa"/>
                  </w:tcMar>
                  <w:vAlign w:val="center"/>
                </w:tcPr>
                <w:p w14:paraId="34AB9AD7">
                  <w:pPr>
                    <w:adjustRightInd w:val="0"/>
                    <w:snapToGrid w:val="0"/>
                    <w:jc w:val="center"/>
                    <w:rPr>
                      <w:rFonts w:hint="eastAsia" w:eastAsia="宋体"/>
                      <w:color w:val="auto"/>
                      <w:sz w:val="21"/>
                      <w:szCs w:val="21"/>
                      <w:lang w:val="en-US" w:eastAsia="zh-CN" w:bidi="ar"/>
                    </w:rPr>
                  </w:pPr>
                  <w:r>
                    <w:rPr>
                      <w:rFonts w:hint="eastAsia"/>
                      <w:color w:val="auto"/>
                      <w:sz w:val="21"/>
                      <w:szCs w:val="21"/>
                      <w:lang w:bidi="ar"/>
                    </w:rPr>
                    <w:t>分</w:t>
                  </w:r>
                  <w:r>
                    <w:rPr>
                      <w:rFonts w:hint="eastAsia" w:eastAsia="宋体"/>
                      <w:color w:val="auto"/>
                      <w:sz w:val="21"/>
                      <w:szCs w:val="21"/>
                      <w:lang w:val="en-US" w:eastAsia="zh-CN" w:bidi="ar"/>
                    </w:rPr>
                    <w:t>选</w:t>
                  </w:r>
                </w:p>
              </w:tc>
              <w:tc>
                <w:tcPr>
                  <w:tcW w:w="454" w:type="pct"/>
                  <w:noWrap w:val="0"/>
                  <w:tcMar>
                    <w:left w:w="0" w:type="dxa"/>
                    <w:right w:w="0" w:type="dxa"/>
                  </w:tcMar>
                  <w:vAlign w:val="center"/>
                </w:tcPr>
                <w:p w14:paraId="482FFB3B">
                  <w:pPr>
                    <w:adjustRightInd w:val="0"/>
                    <w:snapToGrid w:val="0"/>
                    <w:jc w:val="center"/>
                    <w:rPr>
                      <w:color w:val="auto"/>
                      <w:sz w:val="21"/>
                      <w:szCs w:val="21"/>
                      <w:lang w:bidi="ar"/>
                    </w:rPr>
                  </w:pPr>
                  <w:r>
                    <w:rPr>
                      <w:rFonts w:hint="eastAsia"/>
                      <w:color w:val="auto"/>
                      <w:sz w:val="21"/>
                      <w:szCs w:val="21"/>
                      <w:lang w:bidi="ar"/>
                    </w:rPr>
                    <w:t>分</w:t>
                  </w:r>
                  <w:r>
                    <w:rPr>
                      <w:rFonts w:hint="eastAsia" w:eastAsia="宋体"/>
                      <w:color w:val="auto"/>
                      <w:sz w:val="21"/>
                      <w:szCs w:val="21"/>
                      <w:lang w:val="en-US" w:eastAsia="zh-CN" w:bidi="ar"/>
                    </w:rPr>
                    <w:t>选</w:t>
                  </w:r>
                  <w:r>
                    <w:rPr>
                      <w:rFonts w:hint="eastAsia"/>
                      <w:color w:val="auto"/>
                      <w:sz w:val="21"/>
                      <w:szCs w:val="21"/>
                      <w:lang w:bidi="ar"/>
                    </w:rPr>
                    <w:t>杂物</w:t>
                  </w:r>
                </w:p>
              </w:tc>
              <w:tc>
                <w:tcPr>
                  <w:tcW w:w="454" w:type="pct"/>
                  <w:noWrap w:val="0"/>
                  <w:tcMar>
                    <w:top w:w="0" w:type="dxa"/>
                    <w:left w:w="0" w:type="dxa"/>
                    <w:bottom w:w="0" w:type="dxa"/>
                    <w:right w:w="0" w:type="dxa"/>
                  </w:tcMar>
                  <w:vAlign w:val="center"/>
                </w:tcPr>
                <w:p w14:paraId="3DA2E1D3">
                  <w:pPr>
                    <w:adjustRightInd w:val="0"/>
                    <w:snapToGrid w:val="0"/>
                    <w:jc w:val="center"/>
                    <w:rPr>
                      <w:color w:val="auto"/>
                      <w:sz w:val="21"/>
                      <w:szCs w:val="21"/>
                      <w:lang w:bidi="ar"/>
                    </w:rPr>
                  </w:pPr>
                  <w:r>
                    <w:rPr>
                      <w:rFonts w:hint="eastAsia"/>
                      <w:color w:val="auto"/>
                      <w:sz w:val="21"/>
                      <w:szCs w:val="21"/>
                      <w:lang w:bidi="ar"/>
                    </w:rPr>
                    <w:t>一般固废</w:t>
                  </w:r>
                </w:p>
              </w:tc>
              <w:tc>
                <w:tcPr>
                  <w:tcW w:w="454" w:type="pct"/>
                  <w:noWrap w:val="0"/>
                  <w:tcMar>
                    <w:left w:w="0" w:type="dxa"/>
                    <w:right w:w="0" w:type="dxa"/>
                  </w:tcMar>
                  <w:vAlign w:val="center"/>
                </w:tcPr>
                <w:p w14:paraId="2EBB0A8A">
                  <w:pPr>
                    <w:adjustRightInd w:val="0"/>
                    <w:snapToGrid w:val="0"/>
                    <w:jc w:val="center"/>
                    <w:rPr>
                      <w:color w:val="auto"/>
                      <w:sz w:val="21"/>
                      <w:szCs w:val="21"/>
                      <w:lang w:bidi="ar"/>
                    </w:rPr>
                  </w:pPr>
                  <w:r>
                    <w:rPr>
                      <w:rFonts w:hint="eastAsia"/>
                      <w:color w:val="auto"/>
                      <w:sz w:val="21"/>
                      <w:szCs w:val="21"/>
                      <w:lang w:bidi="ar"/>
                    </w:rPr>
                    <w:t>SW59</w:t>
                  </w:r>
                </w:p>
              </w:tc>
              <w:tc>
                <w:tcPr>
                  <w:tcW w:w="454" w:type="pct"/>
                  <w:noWrap w:val="0"/>
                  <w:vAlign w:val="center"/>
                </w:tcPr>
                <w:p w14:paraId="3F1409FF">
                  <w:pPr>
                    <w:adjustRightInd w:val="0"/>
                    <w:snapToGrid w:val="0"/>
                    <w:jc w:val="center"/>
                    <w:rPr>
                      <w:color w:val="auto"/>
                      <w:sz w:val="21"/>
                      <w:szCs w:val="21"/>
                      <w:lang w:bidi="ar"/>
                    </w:rPr>
                  </w:pPr>
                  <w:r>
                    <w:rPr>
                      <w:rFonts w:hint="eastAsia"/>
                      <w:color w:val="auto"/>
                      <w:sz w:val="21"/>
                      <w:szCs w:val="21"/>
                      <w:lang w:bidi="ar"/>
                    </w:rPr>
                    <w:t>900-009-S59</w:t>
                  </w:r>
                </w:p>
              </w:tc>
              <w:tc>
                <w:tcPr>
                  <w:tcW w:w="363" w:type="pct"/>
                  <w:noWrap w:val="0"/>
                  <w:vAlign w:val="center"/>
                </w:tcPr>
                <w:p w14:paraId="478097BB">
                  <w:pPr>
                    <w:adjustRightInd w:val="0"/>
                    <w:snapToGrid w:val="0"/>
                    <w:jc w:val="center"/>
                    <w:rPr>
                      <w:rFonts w:hint="eastAsia"/>
                      <w:color w:val="auto"/>
                      <w:sz w:val="21"/>
                      <w:szCs w:val="21"/>
                      <w:lang w:bidi="ar"/>
                    </w:rPr>
                  </w:pPr>
                  <w:r>
                    <w:rPr>
                      <w:rFonts w:hint="eastAsia"/>
                      <w:color w:val="auto"/>
                      <w:sz w:val="21"/>
                      <w:szCs w:val="21"/>
                      <w:lang w:bidi="ar"/>
                    </w:rPr>
                    <w:t>-</w:t>
                  </w:r>
                </w:p>
              </w:tc>
              <w:tc>
                <w:tcPr>
                  <w:tcW w:w="385" w:type="pct"/>
                  <w:noWrap w:val="0"/>
                  <w:vAlign w:val="center"/>
                </w:tcPr>
                <w:p w14:paraId="1DDCAD5E">
                  <w:pPr>
                    <w:adjustRightInd w:val="0"/>
                    <w:snapToGrid w:val="0"/>
                    <w:jc w:val="center"/>
                    <w:rPr>
                      <w:color w:val="auto"/>
                      <w:sz w:val="21"/>
                      <w:szCs w:val="21"/>
                      <w:lang w:bidi="ar"/>
                    </w:rPr>
                  </w:pPr>
                  <w:r>
                    <w:rPr>
                      <w:color w:val="auto"/>
                      <w:sz w:val="21"/>
                      <w:szCs w:val="21"/>
                      <w:lang w:bidi="ar"/>
                    </w:rPr>
                    <w:t>固态</w:t>
                  </w:r>
                </w:p>
              </w:tc>
              <w:tc>
                <w:tcPr>
                  <w:tcW w:w="377" w:type="pct"/>
                  <w:noWrap w:val="0"/>
                  <w:vAlign w:val="center"/>
                </w:tcPr>
                <w:p w14:paraId="6E15F9AD">
                  <w:pPr>
                    <w:adjustRightInd w:val="0"/>
                    <w:snapToGrid w:val="0"/>
                    <w:jc w:val="center"/>
                    <w:rPr>
                      <w:rFonts w:hint="eastAsia"/>
                      <w:color w:val="auto"/>
                      <w:sz w:val="21"/>
                      <w:szCs w:val="21"/>
                      <w:lang w:bidi="ar"/>
                    </w:rPr>
                  </w:pPr>
                  <w:r>
                    <w:rPr>
                      <w:rFonts w:hint="eastAsia"/>
                      <w:color w:val="auto"/>
                      <w:sz w:val="21"/>
                      <w:szCs w:val="21"/>
                      <w:lang w:bidi="ar"/>
                    </w:rPr>
                    <w:t>-</w:t>
                  </w:r>
                </w:p>
              </w:tc>
              <w:tc>
                <w:tcPr>
                  <w:tcW w:w="433" w:type="pct"/>
                  <w:noWrap w:val="0"/>
                  <w:tcMar>
                    <w:left w:w="0" w:type="dxa"/>
                    <w:right w:w="0" w:type="dxa"/>
                  </w:tcMar>
                  <w:vAlign w:val="center"/>
                </w:tcPr>
                <w:p w14:paraId="2D202910">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100</w:t>
                  </w:r>
                </w:p>
              </w:tc>
              <w:tc>
                <w:tcPr>
                  <w:tcW w:w="714" w:type="pct"/>
                  <w:noWrap w:val="0"/>
                  <w:tcMar>
                    <w:left w:w="28" w:type="dxa"/>
                    <w:right w:w="28" w:type="dxa"/>
                  </w:tcMar>
                  <w:vAlign w:val="center"/>
                </w:tcPr>
                <w:p w14:paraId="3E2629E0">
                  <w:pPr>
                    <w:adjustRightInd w:val="0"/>
                    <w:snapToGrid w:val="0"/>
                    <w:jc w:val="center"/>
                    <w:rPr>
                      <w:color w:val="auto"/>
                      <w:sz w:val="21"/>
                      <w:szCs w:val="21"/>
                      <w:lang w:bidi="ar"/>
                    </w:rPr>
                  </w:pPr>
                  <w:r>
                    <w:rPr>
                      <w:color w:val="auto"/>
                      <w:sz w:val="21"/>
                      <w:szCs w:val="21"/>
                      <w:lang w:bidi="ar"/>
                    </w:rPr>
                    <w:t>收集后统一由废品回收公司处理</w:t>
                  </w:r>
                </w:p>
              </w:tc>
            </w:tr>
            <w:tr w14:paraId="1070F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32" w:hRule="atLeast"/>
                <w:jc w:val="center"/>
              </w:trPr>
              <w:tc>
                <w:tcPr>
                  <w:tcW w:w="300" w:type="pct"/>
                  <w:noWrap w:val="0"/>
                  <w:tcMar>
                    <w:left w:w="28" w:type="dxa"/>
                    <w:right w:w="28" w:type="dxa"/>
                  </w:tcMar>
                  <w:vAlign w:val="center"/>
                </w:tcPr>
                <w:p w14:paraId="0F276B34">
                  <w:pPr>
                    <w:adjustRightInd w:val="0"/>
                    <w:snapToGrid w:val="0"/>
                    <w:jc w:val="center"/>
                    <w:rPr>
                      <w:rFonts w:hint="eastAsia" w:eastAsia="宋体"/>
                      <w:color w:val="auto"/>
                      <w:sz w:val="21"/>
                      <w:szCs w:val="21"/>
                      <w:lang w:eastAsia="zh-CN" w:bidi="ar"/>
                    </w:rPr>
                  </w:pPr>
                  <w:r>
                    <w:rPr>
                      <w:rFonts w:hint="eastAsia" w:eastAsia="宋体"/>
                      <w:color w:val="auto"/>
                      <w:sz w:val="21"/>
                      <w:szCs w:val="21"/>
                      <w:lang w:val="en-US" w:eastAsia="zh-CN" w:bidi="ar"/>
                    </w:rPr>
                    <w:t>4</w:t>
                  </w:r>
                </w:p>
              </w:tc>
              <w:tc>
                <w:tcPr>
                  <w:tcW w:w="607" w:type="pct"/>
                  <w:shd w:val="clear" w:color="auto" w:fill="auto"/>
                  <w:noWrap w:val="0"/>
                  <w:tcMar>
                    <w:left w:w="0" w:type="dxa"/>
                    <w:right w:w="0" w:type="dxa"/>
                  </w:tcMar>
                  <w:vAlign w:val="center"/>
                </w:tcPr>
                <w:p w14:paraId="7872D18B">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熔融挤出</w:t>
                  </w:r>
                </w:p>
              </w:tc>
              <w:tc>
                <w:tcPr>
                  <w:tcW w:w="454" w:type="pct"/>
                  <w:shd w:val="clear" w:color="auto" w:fill="auto"/>
                  <w:noWrap w:val="0"/>
                  <w:tcMar>
                    <w:left w:w="0" w:type="dxa"/>
                    <w:right w:w="0" w:type="dxa"/>
                  </w:tcMar>
                  <w:vAlign w:val="center"/>
                </w:tcPr>
                <w:p w14:paraId="11BDC501">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eastAsia="宋体"/>
                      <w:color w:val="auto"/>
                      <w:sz w:val="21"/>
                      <w:szCs w:val="21"/>
                      <w:lang w:val="en-US" w:eastAsia="zh-CN" w:bidi="ar"/>
                    </w:rPr>
                    <w:t>废滤网</w:t>
                  </w:r>
                </w:p>
              </w:tc>
              <w:tc>
                <w:tcPr>
                  <w:tcW w:w="454" w:type="pct"/>
                  <w:shd w:val="clear" w:color="auto" w:fill="auto"/>
                  <w:noWrap w:val="0"/>
                  <w:tcMar>
                    <w:top w:w="0" w:type="dxa"/>
                    <w:left w:w="0" w:type="dxa"/>
                    <w:bottom w:w="0" w:type="dxa"/>
                    <w:right w:w="0" w:type="dxa"/>
                  </w:tcMar>
                  <w:vAlign w:val="center"/>
                </w:tcPr>
                <w:p w14:paraId="371CD5DD">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一般固废</w:t>
                  </w:r>
                </w:p>
              </w:tc>
              <w:tc>
                <w:tcPr>
                  <w:tcW w:w="454" w:type="pct"/>
                  <w:shd w:val="clear" w:color="auto" w:fill="auto"/>
                  <w:noWrap w:val="0"/>
                  <w:tcMar>
                    <w:left w:w="0" w:type="dxa"/>
                    <w:right w:w="0" w:type="dxa"/>
                  </w:tcMar>
                  <w:vAlign w:val="center"/>
                </w:tcPr>
                <w:p w14:paraId="33EB9354">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SW59</w:t>
                  </w:r>
                </w:p>
              </w:tc>
              <w:tc>
                <w:tcPr>
                  <w:tcW w:w="454" w:type="pct"/>
                  <w:shd w:val="clear" w:color="auto" w:fill="auto"/>
                  <w:noWrap w:val="0"/>
                  <w:vAlign w:val="center"/>
                </w:tcPr>
                <w:p w14:paraId="15C320CA">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900-099-S59</w:t>
                  </w:r>
                </w:p>
              </w:tc>
              <w:tc>
                <w:tcPr>
                  <w:tcW w:w="363" w:type="pct"/>
                  <w:shd w:val="clear" w:color="auto" w:fill="auto"/>
                  <w:noWrap w:val="0"/>
                  <w:vAlign w:val="center"/>
                </w:tcPr>
                <w:p w14:paraId="7423940A">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w:t>
                  </w:r>
                </w:p>
              </w:tc>
              <w:tc>
                <w:tcPr>
                  <w:tcW w:w="385" w:type="pct"/>
                  <w:shd w:val="clear" w:color="auto" w:fill="auto"/>
                  <w:noWrap w:val="0"/>
                  <w:vAlign w:val="center"/>
                </w:tcPr>
                <w:p w14:paraId="69CD13FA">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color w:val="auto"/>
                      <w:sz w:val="21"/>
                      <w:szCs w:val="21"/>
                      <w:lang w:bidi="ar"/>
                    </w:rPr>
                    <w:t>固态</w:t>
                  </w:r>
                </w:p>
              </w:tc>
              <w:tc>
                <w:tcPr>
                  <w:tcW w:w="377" w:type="pct"/>
                  <w:shd w:val="clear" w:color="auto" w:fill="auto"/>
                  <w:noWrap w:val="0"/>
                  <w:vAlign w:val="center"/>
                </w:tcPr>
                <w:p w14:paraId="07E96506">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w:t>
                  </w:r>
                </w:p>
              </w:tc>
              <w:tc>
                <w:tcPr>
                  <w:tcW w:w="433" w:type="pct"/>
                  <w:shd w:val="clear" w:color="auto" w:fill="auto"/>
                  <w:noWrap w:val="0"/>
                  <w:tcMar>
                    <w:left w:w="0" w:type="dxa"/>
                    <w:right w:w="0" w:type="dxa"/>
                  </w:tcMar>
                  <w:vAlign w:val="center"/>
                </w:tcPr>
                <w:p w14:paraId="1BC4FC6E">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1</w:t>
                  </w:r>
                </w:p>
              </w:tc>
              <w:tc>
                <w:tcPr>
                  <w:tcW w:w="714" w:type="pct"/>
                  <w:shd w:val="clear" w:color="auto" w:fill="auto"/>
                  <w:noWrap w:val="0"/>
                  <w:tcMar>
                    <w:left w:w="28" w:type="dxa"/>
                    <w:right w:w="28" w:type="dxa"/>
                  </w:tcMar>
                  <w:vAlign w:val="center"/>
                </w:tcPr>
                <w:p w14:paraId="05908375">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rPr>
                    <w:t>委托相应单位进行清运处置</w:t>
                  </w:r>
                </w:p>
              </w:tc>
            </w:tr>
            <w:tr w14:paraId="1BD76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088AAD8C">
                  <w:pPr>
                    <w:adjustRightInd w:val="0"/>
                    <w:snapToGrid w:val="0"/>
                    <w:jc w:val="center"/>
                    <w:rPr>
                      <w:rFonts w:hint="eastAsia" w:eastAsia="宋体"/>
                      <w:color w:val="auto"/>
                      <w:sz w:val="21"/>
                      <w:szCs w:val="21"/>
                      <w:lang w:eastAsia="zh-CN" w:bidi="ar"/>
                    </w:rPr>
                  </w:pPr>
                  <w:r>
                    <w:rPr>
                      <w:rFonts w:hint="eastAsia" w:eastAsia="宋体"/>
                      <w:color w:val="auto"/>
                      <w:sz w:val="21"/>
                      <w:szCs w:val="21"/>
                      <w:lang w:val="en-US" w:eastAsia="zh-CN" w:bidi="ar"/>
                    </w:rPr>
                    <w:t>5</w:t>
                  </w:r>
                </w:p>
              </w:tc>
              <w:tc>
                <w:tcPr>
                  <w:tcW w:w="607" w:type="pct"/>
                  <w:shd w:val="clear" w:color="auto" w:fill="auto"/>
                  <w:noWrap w:val="0"/>
                  <w:tcMar>
                    <w:left w:w="0" w:type="dxa"/>
                    <w:right w:w="0" w:type="dxa"/>
                  </w:tcMar>
                  <w:vAlign w:val="center"/>
                </w:tcPr>
                <w:p w14:paraId="6856B762">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造粒</w:t>
                  </w:r>
                </w:p>
              </w:tc>
              <w:tc>
                <w:tcPr>
                  <w:tcW w:w="454" w:type="pct"/>
                  <w:shd w:val="clear" w:color="auto" w:fill="auto"/>
                  <w:noWrap w:val="0"/>
                  <w:tcMar>
                    <w:left w:w="0" w:type="dxa"/>
                    <w:right w:w="0" w:type="dxa"/>
                  </w:tcMar>
                  <w:vAlign w:val="center"/>
                </w:tcPr>
                <w:p w14:paraId="5C2DF3A5">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ascii="Times New Roman"/>
                      <w:bCs/>
                      <w:color w:val="auto"/>
                      <w:sz w:val="21"/>
                      <w:szCs w:val="21"/>
                    </w:rPr>
                    <w:t>不合格产品及边角料</w:t>
                  </w:r>
                </w:p>
              </w:tc>
              <w:tc>
                <w:tcPr>
                  <w:tcW w:w="454" w:type="pct"/>
                  <w:shd w:val="clear" w:color="auto" w:fill="auto"/>
                  <w:noWrap w:val="0"/>
                  <w:tcMar>
                    <w:top w:w="0" w:type="dxa"/>
                    <w:left w:w="0" w:type="dxa"/>
                    <w:bottom w:w="0" w:type="dxa"/>
                    <w:right w:w="0" w:type="dxa"/>
                  </w:tcMar>
                  <w:vAlign w:val="center"/>
                </w:tcPr>
                <w:p w14:paraId="584C9057">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一般固废</w:t>
                  </w:r>
                </w:p>
              </w:tc>
              <w:tc>
                <w:tcPr>
                  <w:tcW w:w="454" w:type="pct"/>
                  <w:shd w:val="clear" w:color="auto" w:fill="auto"/>
                  <w:noWrap w:val="0"/>
                  <w:tcMar>
                    <w:left w:w="0" w:type="dxa"/>
                    <w:right w:w="0" w:type="dxa"/>
                  </w:tcMar>
                  <w:vAlign w:val="center"/>
                </w:tcPr>
                <w:p w14:paraId="623797D9">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SW16</w:t>
                  </w:r>
                </w:p>
              </w:tc>
              <w:tc>
                <w:tcPr>
                  <w:tcW w:w="454" w:type="pct"/>
                  <w:shd w:val="clear" w:color="auto" w:fill="auto"/>
                  <w:noWrap w:val="0"/>
                  <w:vAlign w:val="center"/>
                </w:tcPr>
                <w:p w14:paraId="6EE62174">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265-002-S16</w:t>
                  </w:r>
                </w:p>
              </w:tc>
              <w:tc>
                <w:tcPr>
                  <w:tcW w:w="363" w:type="pct"/>
                  <w:shd w:val="clear" w:color="auto" w:fill="auto"/>
                  <w:noWrap w:val="0"/>
                  <w:vAlign w:val="center"/>
                </w:tcPr>
                <w:p w14:paraId="134AFB67">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w:t>
                  </w:r>
                </w:p>
              </w:tc>
              <w:tc>
                <w:tcPr>
                  <w:tcW w:w="385" w:type="pct"/>
                  <w:shd w:val="clear" w:color="auto" w:fill="auto"/>
                  <w:noWrap w:val="0"/>
                  <w:vAlign w:val="center"/>
                </w:tcPr>
                <w:p w14:paraId="1002E5ED">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color w:val="auto"/>
                      <w:sz w:val="21"/>
                      <w:szCs w:val="21"/>
                      <w:lang w:bidi="ar"/>
                    </w:rPr>
                    <w:t>固态</w:t>
                  </w:r>
                </w:p>
              </w:tc>
              <w:tc>
                <w:tcPr>
                  <w:tcW w:w="377" w:type="pct"/>
                  <w:shd w:val="clear" w:color="auto" w:fill="auto"/>
                  <w:noWrap w:val="0"/>
                  <w:vAlign w:val="center"/>
                </w:tcPr>
                <w:p w14:paraId="6FC47759">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w:t>
                  </w:r>
                </w:p>
              </w:tc>
              <w:tc>
                <w:tcPr>
                  <w:tcW w:w="433" w:type="pct"/>
                  <w:shd w:val="clear" w:color="auto" w:fill="auto"/>
                  <w:noWrap w:val="0"/>
                  <w:tcMar>
                    <w:left w:w="0" w:type="dxa"/>
                    <w:right w:w="0" w:type="dxa"/>
                  </w:tcMar>
                  <w:vAlign w:val="center"/>
                </w:tcPr>
                <w:p w14:paraId="084D4677">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244</w:t>
                  </w:r>
                </w:p>
              </w:tc>
              <w:tc>
                <w:tcPr>
                  <w:tcW w:w="714" w:type="pct"/>
                  <w:shd w:val="clear" w:color="auto" w:fill="auto"/>
                  <w:noWrap w:val="0"/>
                  <w:tcMar>
                    <w:left w:w="28" w:type="dxa"/>
                    <w:right w:w="28" w:type="dxa"/>
                  </w:tcMar>
                  <w:vAlign w:val="center"/>
                </w:tcPr>
                <w:p w14:paraId="794FFFA2">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color w:val="auto"/>
                      <w:sz w:val="21"/>
                      <w:szCs w:val="21"/>
                    </w:rPr>
                    <w:t>回用于挤出造粒工序</w:t>
                  </w:r>
                </w:p>
              </w:tc>
            </w:tr>
            <w:tr w14:paraId="778DB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67F93F9E">
                  <w:pPr>
                    <w:adjustRightInd w:val="0"/>
                    <w:snapToGrid w:val="0"/>
                    <w:jc w:val="center"/>
                    <w:rPr>
                      <w:rFonts w:hint="eastAsia" w:eastAsia="宋体"/>
                      <w:color w:val="auto"/>
                      <w:sz w:val="21"/>
                      <w:szCs w:val="21"/>
                      <w:lang w:val="en-US" w:eastAsia="zh-CN" w:bidi="ar"/>
                    </w:rPr>
                  </w:pPr>
                  <w:r>
                    <w:rPr>
                      <w:rFonts w:hint="eastAsia" w:eastAsia="宋体"/>
                      <w:color w:val="auto"/>
                      <w:sz w:val="21"/>
                      <w:szCs w:val="21"/>
                      <w:lang w:val="en-US" w:eastAsia="zh-CN" w:bidi="ar"/>
                    </w:rPr>
                    <w:t>6</w:t>
                  </w:r>
                </w:p>
              </w:tc>
              <w:tc>
                <w:tcPr>
                  <w:tcW w:w="607" w:type="pct"/>
                  <w:noWrap w:val="0"/>
                  <w:tcMar>
                    <w:left w:w="0" w:type="dxa"/>
                    <w:right w:w="0" w:type="dxa"/>
                  </w:tcMar>
                  <w:vAlign w:val="center"/>
                </w:tcPr>
                <w:p w14:paraId="14674F98">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包装</w:t>
                  </w:r>
                </w:p>
              </w:tc>
              <w:tc>
                <w:tcPr>
                  <w:tcW w:w="454" w:type="pct"/>
                  <w:noWrap w:val="0"/>
                  <w:tcMar>
                    <w:left w:w="0" w:type="dxa"/>
                    <w:right w:w="0" w:type="dxa"/>
                  </w:tcMar>
                  <w:vAlign w:val="center"/>
                </w:tcPr>
                <w:p w14:paraId="19151D18">
                  <w:pPr>
                    <w:adjustRightInd w:val="0"/>
                    <w:snapToGrid w:val="0"/>
                    <w:jc w:val="center"/>
                    <w:rPr>
                      <w:rFonts w:hint="eastAsia" w:eastAsia="宋体"/>
                      <w:color w:val="auto"/>
                      <w:sz w:val="21"/>
                      <w:szCs w:val="21"/>
                      <w:lang w:val="en-US" w:eastAsia="zh-CN" w:bidi="ar"/>
                    </w:rPr>
                  </w:pPr>
                  <w:r>
                    <w:rPr>
                      <w:rFonts w:hint="default" w:eastAsia="宋体"/>
                      <w:color w:val="auto"/>
                      <w:sz w:val="21"/>
                      <w:szCs w:val="21"/>
                      <w:lang w:val="en-US" w:eastAsia="zh-CN" w:bidi="ar"/>
                    </w:rPr>
                    <w:t>废包装材料</w:t>
                  </w:r>
                </w:p>
              </w:tc>
              <w:tc>
                <w:tcPr>
                  <w:tcW w:w="454" w:type="pct"/>
                  <w:shd w:val="clear" w:color="auto" w:fill="auto"/>
                  <w:noWrap w:val="0"/>
                  <w:tcMar>
                    <w:top w:w="0" w:type="dxa"/>
                    <w:left w:w="0" w:type="dxa"/>
                    <w:bottom w:w="0" w:type="dxa"/>
                    <w:right w:w="0" w:type="dxa"/>
                  </w:tcMar>
                  <w:vAlign w:val="center"/>
                </w:tcPr>
                <w:p w14:paraId="58C017C4">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一般固废</w:t>
                  </w:r>
                </w:p>
              </w:tc>
              <w:tc>
                <w:tcPr>
                  <w:tcW w:w="454" w:type="pct"/>
                  <w:shd w:val="clear" w:color="auto" w:fill="auto"/>
                  <w:noWrap w:val="0"/>
                  <w:tcMar>
                    <w:left w:w="0" w:type="dxa"/>
                    <w:right w:w="0" w:type="dxa"/>
                  </w:tcMar>
                  <w:vAlign w:val="center"/>
                </w:tcPr>
                <w:p w14:paraId="16F45628">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color w:val="auto"/>
                      <w:sz w:val="21"/>
                      <w:szCs w:val="21"/>
                      <w:lang w:bidi="ar"/>
                    </w:rPr>
                    <w:t>SW59</w:t>
                  </w:r>
                </w:p>
              </w:tc>
              <w:tc>
                <w:tcPr>
                  <w:tcW w:w="454" w:type="pct"/>
                  <w:shd w:val="clear" w:color="auto" w:fill="auto"/>
                  <w:noWrap w:val="0"/>
                  <w:vAlign w:val="center"/>
                </w:tcPr>
                <w:p w14:paraId="2E0821F7">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900-099-S59</w:t>
                  </w:r>
                </w:p>
              </w:tc>
              <w:tc>
                <w:tcPr>
                  <w:tcW w:w="363" w:type="pct"/>
                  <w:shd w:val="clear" w:color="auto" w:fill="auto"/>
                  <w:noWrap w:val="0"/>
                  <w:vAlign w:val="center"/>
                </w:tcPr>
                <w:p w14:paraId="01CE9DCA">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w:t>
                  </w:r>
                </w:p>
              </w:tc>
              <w:tc>
                <w:tcPr>
                  <w:tcW w:w="385" w:type="pct"/>
                  <w:shd w:val="clear" w:color="auto" w:fill="auto"/>
                  <w:noWrap w:val="0"/>
                  <w:vAlign w:val="center"/>
                </w:tcPr>
                <w:p w14:paraId="008248B5">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color w:val="auto"/>
                      <w:sz w:val="21"/>
                      <w:szCs w:val="21"/>
                      <w:lang w:bidi="ar"/>
                    </w:rPr>
                    <w:t>固态</w:t>
                  </w:r>
                </w:p>
              </w:tc>
              <w:tc>
                <w:tcPr>
                  <w:tcW w:w="377" w:type="pct"/>
                  <w:shd w:val="clear" w:color="auto" w:fill="auto"/>
                  <w:noWrap w:val="0"/>
                  <w:vAlign w:val="center"/>
                </w:tcPr>
                <w:p w14:paraId="77929D8A">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w:t>
                  </w:r>
                </w:p>
              </w:tc>
              <w:tc>
                <w:tcPr>
                  <w:tcW w:w="433" w:type="pct"/>
                  <w:shd w:val="clear" w:color="auto" w:fill="auto"/>
                  <w:noWrap w:val="0"/>
                  <w:tcMar>
                    <w:left w:w="0" w:type="dxa"/>
                    <w:right w:w="0" w:type="dxa"/>
                  </w:tcMar>
                  <w:vAlign w:val="center"/>
                </w:tcPr>
                <w:p w14:paraId="75597773">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3.3</w:t>
                  </w:r>
                </w:p>
              </w:tc>
              <w:tc>
                <w:tcPr>
                  <w:tcW w:w="714" w:type="pct"/>
                  <w:shd w:val="clear" w:color="auto" w:fill="auto"/>
                  <w:noWrap w:val="0"/>
                  <w:tcMar>
                    <w:left w:w="28" w:type="dxa"/>
                    <w:right w:w="28" w:type="dxa"/>
                  </w:tcMar>
                  <w:vAlign w:val="center"/>
                </w:tcPr>
                <w:p w14:paraId="11E46B2B">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ascii="Times New Roman" w:hAnsi="Times New Roman" w:eastAsia="Times New Roman" w:cs="Times New Roman"/>
                      <w:color w:val="auto"/>
                      <w:kern w:val="2"/>
                      <w:sz w:val="21"/>
                      <w:szCs w:val="21"/>
                      <w:lang w:val="en-US" w:eastAsia="zh-CN" w:bidi="ar"/>
                    </w:rPr>
                    <w:t>交由厂家回收利用处理</w:t>
                  </w:r>
                </w:p>
              </w:tc>
            </w:tr>
            <w:tr w14:paraId="02747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3AD7236C">
                  <w:pPr>
                    <w:adjustRightInd w:val="0"/>
                    <w:snapToGrid w:val="0"/>
                    <w:jc w:val="center"/>
                    <w:rPr>
                      <w:rFonts w:hint="eastAsia" w:eastAsia="宋体"/>
                      <w:color w:val="auto"/>
                      <w:sz w:val="21"/>
                      <w:szCs w:val="21"/>
                      <w:lang w:eastAsia="zh-CN" w:bidi="ar"/>
                    </w:rPr>
                  </w:pPr>
                  <w:r>
                    <w:rPr>
                      <w:rFonts w:hint="eastAsia" w:eastAsia="宋体"/>
                      <w:color w:val="auto"/>
                      <w:sz w:val="21"/>
                      <w:szCs w:val="21"/>
                      <w:lang w:val="en-US" w:eastAsia="zh-CN" w:bidi="ar"/>
                    </w:rPr>
                    <w:t>7</w:t>
                  </w:r>
                </w:p>
              </w:tc>
              <w:tc>
                <w:tcPr>
                  <w:tcW w:w="607" w:type="pct"/>
                  <w:noWrap w:val="0"/>
                  <w:tcMar>
                    <w:left w:w="0" w:type="dxa"/>
                    <w:right w:w="0" w:type="dxa"/>
                  </w:tcMar>
                  <w:vAlign w:val="center"/>
                </w:tcPr>
                <w:p w14:paraId="22F3D563">
                  <w:pPr>
                    <w:adjustRightInd w:val="0"/>
                    <w:snapToGrid w:val="0"/>
                    <w:jc w:val="center"/>
                    <w:rPr>
                      <w:color w:val="auto"/>
                      <w:sz w:val="21"/>
                      <w:szCs w:val="21"/>
                      <w:lang w:bidi="ar"/>
                    </w:rPr>
                  </w:pPr>
                  <w:r>
                    <w:rPr>
                      <w:rFonts w:hint="eastAsia"/>
                      <w:color w:val="auto"/>
                      <w:sz w:val="21"/>
                      <w:szCs w:val="21"/>
                      <w:lang w:bidi="ar"/>
                    </w:rPr>
                    <w:t>废水处理</w:t>
                  </w:r>
                </w:p>
              </w:tc>
              <w:tc>
                <w:tcPr>
                  <w:tcW w:w="454" w:type="pct"/>
                  <w:noWrap w:val="0"/>
                  <w:tcMar>
                    <w:left w:w="0" w:type="dxa"/>
                    <w:right w:w="0" w:type="dxa"/>
                  </w:tcMar>
                  <w:vAlign w:val="center"/>
                </w:tcPr>
                <w:p w14:paraId="32A7E576">
                  <w:pPr>
                    <w:adjustRightInd w:val="0"/>
                    <w:snapToGrid w:val="0"/>
                    <w:jc w:val="center"/>
                    <w:rPr>
                      <w:color w:val="auto"/>
                      <w:sz w:val="21"/>
                      <w:szCs w:val="21"/>
                      <w:lang w:bidi="ar"/>
                    </w:rPr>
                  </w:pPr>
                  <w:r>
                    <w:rPr>
                      <w:color w:val="auto"/>
                      <w:sz w:val="21"/>
                      <w:szCs w:val="21"/>
                      <w:lang w:bidi="ar"/>
                    </w:rPr>
                    <w:t>沉淀池污泥</w:t>
                  </w:r>
                </w:p>
              </w:tc>
              <w:tc>
                <w:tcPr>
                  <w:tcW w:w="454" w:type="pct"/>
                  <w:noWrap w:val="0"/>
                  <w:tcMar>
                    <w:top w:w="0" w:type="dxa"/>
                    <w:left w:w="0" w:type="dxa"/>
                    <w:bottom w:w="0" w:type="dxa"/>
                    <w:right w:w="0" w:type="dxa"/>
                  </w:tcMar>
                  <w:vAlign w:val="center"/>
                </w:tcPr>
                <w:p w14:paraId="67BCBAE5">
                  <w:pPr>
                    <w:adjustRightInd w:val="0"/>
                    <w:snapToGrid w:val="0"/>
                    <w:jc w:val="center"/>
                    <w:rPr>
                      <w:rFonts w:hint="eastAsia"/>
                      <w:color w:val="auto"/>
                      <w:sz w:val="21"/>
                      <w:szCs w:val="21"/>
                      <w:lang w:bidi="ar"/>
                    </w:rPr>
                  </w:pPr>
                  <w:r>
                    <w:rPr>
                      <w:rFonts w:hint="eastAsia"/>
                      <w:color w:val="auto"/>
                      <w:sz w:val="21"/>
                      <w:szCs w:val="21"/>
                      <w:lang w:bidi="ar"/>
                    </w:rPr>
                    <w:t>一般固废</w:t>
                  </w:r>
                </w:p>
              </w:tc>
              <w:tc>
                <w:tcPr>
                  <w:tcW w:w="454" w:type="pct"/>
                  <w:noWrap w:val="0"/>
                  <w:tcMar>
                    <w:left w:w="0" w:type="dxa"/>
                    <w:right w:w="0" w:type="dxa"/>
                  </w:tcMar>
                  <w:vAlign w:val="center"/>
                </w:tcPr>
                <w:p w14:paraId="67AB132A">
                  <w:pPr>
                    <w:adjustRightInd w:val="0"/>
                    <w:snapToGrid w:val="0"/>
                    <w:jc w:val="center"/>
                    <w:rPr>
                      <w:color w:val="auto"/>
                      <w:sz w:val="21"/>
                      <w:szCs w:val="21"/>
                      <w:lang w:bidi="ar"/>
                    </w:rPr>
                  </w:pPr>
                  <w:r>
                    <w:rPr>
                      <w:rFonts w:hint="eastAsia"/>
                      <w:color w:val="auto"/>
                      <w:sz w:val="21"/>
                      <w:szCs w:val="21"/>
                      <w:lang w:bidi="ar"/>
                    </w:rPr>
                    <w:t>SW07</w:t>
                  </w:r>
                </w:p>
              </w:tc>
              <w:tc>
                <w:tcPr>
                  <w:tcW w:w="454" w:type="pct"/>
                  <w:noWrap w:val="0"/>
                  <w:vAlign w:val="center"/>
                </w:tcPr>
                <w:p w14:paraId="2E029916">
                  <w:pPr>
                    <w:adjustRightInd w:val="0"/>
                    <w:snapToGrid w:val="0"/>
                    <w:jc w:val="center"/>
                    <w:rPr>
                      <w:color w:val="auto"/>
                      <w:sz w:val="21"/>
                      <w:szCs w:val="21"/>
                      <w:lang w:bidi="ar"/>
                    </w:rPr>
                  </w:pPr>
                  <w:r>
                    <w:rPr>
                      <w:rFonts w:hint="eastAsia"/>
                      <w:color w:val="auto"/>
                      <w:sz w:val="21"/>
                      <w:szCs w:val="21"/>
                      <w:lang w:bidi="ar"/>
                    </w:rPr>
                    <w:t>900-099-S07</w:t>
                  </w:r>
                </w:p>
              </w:tc>
              <w:tc>
                <w:tcPr>
                  <w:tcW w:w="363" w:type="pct"/>
                  <w:noWrap w:val="0"/>
                  <w:vAlign w:val="center"/>
                </w:tcPr>
                <w:p w14:paraId="35510A70">
                  <w:pPr>
                    <w:adjustRightInd w:val="0"/>
                    <w:snapToGrid w:val="0"/>
                    <w:jc w:val="center"/>
                    <w:rPr>
                      <w:color w:val="auto"/>
                      <w:sz w:val="21"/>
                      <w:szCs w:val="21"/>
                      <w:lang w:bidi="ar"/>
                    </w:rPr>
                  </w:pPr>
                  <w:r>
                    <w:rPr>
                      <w:rFonts w:hint="eastAsia"/>
                      <w:color w:val="auto"/>
                      <w:sz w:val="21"/>
                      <w:szCs w:val="21"/>
                      <w:lang w:bidi="ar"/>
                    </w:rPr>
                    <w:t>-</w:t>
                  </w:r>
                </w:p>
              </w:tc>
              <w:tc>
                <w:tcPr>
                  <w:tcW w:w="385" w:type="pct"/>
                  <w:noWrap w:val="0"/>
                  <w:vAlign w:val="center"/>
                </w:tcPr>
                <w:p w14:paraId="75521F84">
                  <w:pPr>
                    <w:adjustRightInd w:val="0"/>
                    <w:snapToGrid w:val="0"/>
                    <w:jc w:val="center"/>
                    <w:rPr>
                      <w:rFonts w:hint="eastAsia"/>
                      <w:color w:val="auto"/>
                      <w:sz w:val="21"/>
                      <w:szCs w:val="21"/>
                      <w:lang w:bidi="ar"/>
                    </w:rPr>
                  </w:pPr>
                  <w:r>
                    <w:rPr>
                      <w:rFonts w:hint="eastAsia"/>
                      <w:color w:val="auto"/>
                      <w:sz w:val="21"/>
                      <w:szCs w:val="21"/>
                      <w:lang w:bidi="ar"/>
                    </w:rPr>
                    <w:t>固态</w:t>
                  </w:r>
                </w:p>
              </w:tc>
              <w:tc>
                <w:tcPr>
                  <w:tcW w:w="377" w:type="pct"/>
                  <w:noWrap w:val="0"/>
                  <w:vAlign w:val="center"/>
                </w:tcPr>
                <w:p w14:paraId="4BBA5523">
                  <w:pPr>
                    <w:adjustRightInd w:val="0"/>
                    <w:snapToGrid w:val="0"/>
                    <w:jc w:val="center"/>
                    <w:rPr>
                      <w:color w:val="auto"/>
                      <w:sz w:val="21"/>
                      <w:szCs w:val="21"/>
                      <w:lang w:bidi="ar"/>
                    </w:rPr>
                  </w:pPr>
                  <w:r>
                    <w:rPr>
                      <w:rFonts w:hint="eastAsia"/>
                      <w:color w:val="auto"/>
                      <w:sz w:val="21"/>
                      <w:szCs w:val="21"/>
                      <w:lang w:bidi="ar"/>
                    </w:rPr>
                    <w:t>-</w:t>
                  </w:r>
                </w:p>
              </w:tc>
              <w:tc>
                <w:tcPr>
                  <w:tcW w:w="433" w:type="pct"/>
                  <w:noWrap w:val="0"/>
                  <w:tcMar>
                    <w:left w:w="0" w:type="dxa"/>
                    <w:right w:w="0" w:type="dxa"/>
                  </w:tcMar>
                  <w:vAlign w:val="center"/>
                </w:tcPr>
                <w:p w14:paraId="53A05545">
                  <w:pPr>
                    <w:adjustRightInd w:val="0"/>
                    <w:snapToGrid w:val="0"/>
                    <w:jc w:val="center"/>
                    <w:rPr>
                      <w:rFonts w:hint="eastAsia" w:eastAsia="宋体"/>
                      <w:color w:val="auto"/>
                      <w:sz w:val="21"/>
                      <w:szCs w:val="21"/>
                      <w:lang w:val="en-US" w:eastAsia="zh-CN" w:bidi="ar"/>
                    </w:rPr>
                  </w:pPr>
                  <w:r>
                    <w:rPr>
                      <w:rFonts w:hint="eastAsia" w:eastAsia="宋体"/>
                      <w:color w:val="auto"/>
                      <w:sz w:val="21"/>
                      <w:szCs w:val="21"/>
                      <w:lang w:val="en-US" w:eastAsia="zh-CN" w:bidi="ar"/>
                    </w:rPr>
                    <w:t>8</w:t>
                  </w:r>
                </w:p>
              </w:tc>
              <w:tc>
                <w:tcPr>
                  <w:tcW w:w="714" w:type="pct"/>
                  <w:noWrap w:val="0"/>
                  <w:tcMar>
                    <w:left w:w="28" w:type="dxa"/>
                    <w:right w:w="28" w:type="dxa"/>
                  </w:tcMar>
                  <w:vAlign w:val="center"/>
                </w:tcPr>
                <w:p w14:paraId="1C0786B6">
                  <w:pPr>
                    <w:adjustRightInd w:val="0"/>
                    <w:snapToGrid w:val="0"/>
                    <w:jc w:val="center"/>
                    <w:rPr>
                      <w:color w:val="auto"/>
                      <w:sz w:val="21"/>
                      <w:szCs w:val="21"/>
                      <w:lang w:bidi="ar"/>
                    </w:rPr>
                  </w:pPr>
                  <w:r>
                    <w:rPr>
                      <w:rFonts w:hint="eastAsia"/>
                      <w:color w:val="auto"/>
                      <w:sz w:val="21"/>
                      <w:szCs w:val="21"/>
                      <w:lang w:bidi="ar"/>
                    </w:rPr>
                    <w:t>运至交由环卫部门运送至垃圾处理场安全填埋</w:t>
                  </w:r>
                </w:p>
              </w:tc>
            </w:tr>
            <w:tr w14:paraId="57B12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42C0BB0F">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8</w:t>
                  </w:r>
                </w:p>
              </w:tc>
              <w:tc>
                <w:tcPr>
                  <w:tcW w:w="607" w:type="pct"/>
                  <w:noWrap w:val="0"/>
                  <w:tcMar>
                    <w:left w:w="0" w:type="dxa"/>
                    <w:right w:w="0" w:type="dxa"/>
                  </w:tcMar>
                  <w:vAlign w:val="center"/>
                </w:tcPr>
                <w:p w14:paraId="5C4ED128">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废气治理</w:t>
                  </w:r>
                </w:p>
              </w:tc>
              <w:tc>
                <w:tcPr>
                  <w:tcW w:w="454" w:type="pct"/>
                  <w:noWrap w:val="0"/>
                  <w:tcMar>
                    <w:left w:w="0" w:type="dxa"/>
                    <w:right w:w="0" w:type="dxa"/>
                  </w:tcMar>
                  <w:vAlign w:val="center"/>
                </w:tcPr>
                <w:p w14:paraId="6B4FE453">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废活性炭</w:t>
                  </w:r>
                </w:p>
              </w:tc>
              <w:tc>
                <w:tcPr>
                  <w:tcW w:w="454" w:type="pct"/>
                  <w:noWrap w:val="0"/>
                  <w:tcMar>
                    <w:top w:w="0" w:type="dxa"/>
                    <w:left w:w="0" w:type="dxa"/>
                    <w:bottom w:w="0" w:type="dxa"/>
                    <w:right w:w="0" w:type="dxa"/>
                  </w:tcMar>
                  <w:vAlign w:val="center"/>
                </w:tcPr>
                <w:p w14:paraId="4A4C17FC">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危险废物</w:t>
                  </w:r>
                </w:p>
              </w:tc>
              <w:tc>
                <w:tcPr>
                  <w:tcW w:w="454" w:type="pct"/>
                  <w:shd w:val="clear" w:color="auto" w:fill="auto"/>
                  <w:noWrap w:val="0"/>
                  <w:tcMar>
                    <w:left w:w="0" w:type="dxa"/>
                    <w:right w:w="0" w:type="dxa"/>
                  </w:tcMar>
                  <w:vAlign w:val="center"/>
                </w:tcPr>
                <w:p w14:paraId="32034BB1">
                  <w:pPr>
                    <w:adjustRightInd w:val="0"/>
                    <w:snapToGrid w:val="0"/>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 w:val="21"/>
                      <w:szCs w:val="21"/>
                    </w:rPr>
                    <w:t>HW49</w:t>
                  </w:r>
                </w:p>
              </w:tc>
              <w:tc>
                <w:tcPr>
                  <w:tcW w:w="454" w:type="pct"/>
                  <w:shd w:val="clear" w:color="auto" w:fill="auto"/>
                  <w:noWrap w:val="0"/>
                  <w:vAlign w:val="center"/>
                </w:tcPr>
                <w:p w14:paraId="7B45C695">
                  <w:pPr>
                    <w:adjustRightInd w:val="0"/>
                    <w:snapToGrid w:val="0"/>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900-039-49</w:t>
                  </w:r>
                </w:p>
              </w:tc>
              <w:tc>
                <w:tcPr>
                  <w:tcW w:w="363" w:type="pct"/>
                  <w:noWrap w:val="0"/>
                  <w:vAlign w:val="center"/>
                </w:tcPr>
                <w:p w14:paraId="6EB221DE">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挥发性有机废气</w:t>
                  </w:r>
                </w:p>
              </w:tc>
              <w:tc>
                <w:tcPr>
                  <w:tcW w:w="385" w:type="pct"/>
                  <w:noWrap w:val="0"/>
                  <w:vAlign w:val="center"/>
                </w:tcPr>
                <w:p w14:paraId="1DF01A10">
                  <w:pPr>
                    <w:adjustRightInd w:val="0"/>
                    <w:snapToGrid w:val="0"/>
                    <w:jc w:val="center"/>
                    <w:rPr>
                      <w:rFonts w:hint="eastAsia"/>
                      <w:color w:val="auto"/>
                      <w:sz w:val="21"/>
                      <w:szCs w:val="21"/>
                      <w:lang w:bidi="ar"/>
                    </w:rPr>
                  </w:pPr>
                  <w:r>
                    <w:rPr>
                      <w:color w:val="auto"/>
                      <w:sz w:val="21"/>
                      <w:szCs w:val="21"/>
                      <w:lang w:bidi="ar"/>
                    </w:rPr>
                    <w:t>固态</w:t>
                  </w:r>
                </w:p>
              </w:tc>
              <w:tc>
                <w:tcPr>
                  <w:tcW w:w="377" w:type="pct"/>
                  <w:noWrap w:val="0"/>
                  <w:vAlign w:val="center"/>
                </w:tcPr>
                <w:p w14:paraId="209BCCC4">
                  <w:pPr>
                    <w:adjustRightInd w:val="0"/>
                    <w:snapToGrid w:val="0"/>
                    <w:jc w:val="center"/>
                    <w:rPr>
                      <w:rFonts w:hint="eastAsia"/>
                      <w:color w:val="auto"/>
                      <w:sz w:val="21"/>
                      <w:szCs w:val="21"/>
                      <w:lang w:bidi="ar"/>
                    </w:rPr>
                  </w:pPr>
                  <w:r>
                    <w:rPr>
                      <w:rFonts w:hint="default" w:ascii="Times New Roman" w:hAnsi="Times New Roman" w:cs="Times New Roman"/>
                      <w:color w:val="auto"/>
                      <w:sz w:val="21"/>
                      <w:szCs w:val="21"/>
                      <w:lang w:val="en-US" w:eastAsia="zh-CN"/>
                    </w:rPr>
                    <w:t>T</w:t>
                  </w:r>
                </w:p>
              </w:tc>
              <w:tc>
                <w:tcPr>
                  <w:tcW w:w="433" w:type="pct"/>
                  <w:noWrap w:val="0"/>
                  <w:tcMar>
                    <w:left w:w="0" w:type="dxa"/>
                    <w:right w:w="0" w:type="dxa"/>
                  </w:tcMar>
                  <w:vAlign w:val="center"/>
                </w:tcPr>
                <w:p w14:paraId="610CDE9E">
                  <w:pPr>
                    <w:adjustRightInd w:val="0"/>
                    <w:snapToGrid w:val="0"/>
                    <w:jc w:val="center"/>
                    <w:rPr>
                      <w:rFonts w:hint="eastAsia" w:eastAsia="宋体"/>
                      <w:color w:val="auto"/>
                      <w:sz w:val="21"/>
                      <w:szCs w:val="21"/>
                      <w:lang w:val="en-US" w:eastAsia="zh-CN" w:bidi="ar"/>
                    </w:rPr>
                  </w:pPr>
                  <w:r>
                    <w:rPr>
                      <w:rFonts w:hint="eastAsia" w:eastAsia="宋体"/>
                      <w:color w:val="auto"/>
                      <w:sz w:val="21"/>
                      <w:szCs w:val="21"/>
                      <w:lang w:val="en-US" w:eastAsia="zh-CN" w:bidi="ar"/>
                    </w:rPr>
                    <w:t>12.78</w:t>
                  </w:r>
                </w:p>
              </w:tc>
              <w:tc>
                <w:tcPr>
                  <w:tcW w:w="714" w:type="pct"/>
                  <w:vMerge w:val="restart"/>
                  <w:noWrap w:val="0"/>
                  <w:tcMar>
                    <w:left w:w="28" w:type="dxa"/>
                    <w:right w:w="28" w:type="dxa"/>
                  </w:tcMar>
                  <w:vAlign w:val="center"/>
                </w:tcPr>
                <w:p w14:paraId="5469A632">
                  <w:pPr>
                    <w:adjustRightInd w:val="0"/>
                    <w:snapToGrid w:val="0"/>
                    <w:jc w:val="center"/>
                    <w:rPr>
                      <w:rFonts w:hint="eastAsia"/>
                      <w:color w:val="auto"/>
                      <w:sz w:val="21"/>
                      <w:szCs w:val="21"/>
                      <w:lang w:bidi="ar"/>
                    </w:rPr>
                  </w:pPr>
                  <w:r>
                    <w:rPr>
                      <w:rFonts w:hint="eastAsia"/>
                      <w:color w:val="auto"/>
                      <w:sz w:val="21"/>
                      <w:szCs w:val="21"/>
                      <w:lang w:bidi="ar"/>
                    </w:rPr>
                    <w:t>委托有资质单位处置</w:t>
                  </w:r>
                </w:p>
              </w:tc>
            </w:tr>
            <w:tr w14:paraId="3B9AD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6A919EAB">
                  <w:pPr>
                    <w:adjustRightInd w:val="0"/>
                    <w:snapToGrid w:val="0"/>
                    <w:jc w:val="center"/>
                    <w:rPr>
                      <w:rFonts w:hint="eastAsia" w:eastAsia="宋体"/>
                      <w:color w:val="auto"/>
                      <w:sz w:val="21"/>
                      <w:szCs w:val="21"/>
                      <w:lang w:eastAsia="zh-CN" w:bidi="ar"/>
                    </w:rPr>
                  </w:pPr>
                  <w:r>
                    <w:rPr>
                      <w:rFonts w:hint="eastAsia" w:eastAsia="宋体"/>
                      <w:color w:val="auto"/>
                      <w:sz w:val="21"/>
                      <w:szCs w:val="21"/>
                      <w:lang w:val="en-US" w:eastAsia="zh-CN" w:bidi="ar"/>
                    </w:rPr>
                    <w:t>9</w:t>
                  </w:r>
                </w:p>
              </w:tc>
              <w:tc>
                <w:tcPr>
                  <w:tcW w:w="607" w:type="pct"/>
                  <w:noWrap w:val="0"/>
                  <w:tcMar>
                    <w:left w:w="0" w:type="dxa"/>
                    <w:right w:w="0" w:type="dxa"/>
                  </w:tcMar>
                  <w:vAlign w:val="center"/>
                </w:tcPr>
                <w:p w14:paraId="255008EE">
                  <w:pPr>
                    <w:adjustRightInd w:val="0"/>
                    <w:snapToGrid w:val="0"/>
                    <w:jc w:val="center"/>
                    <w:rPr>
                      <w:color w:val="auto"/>
                      <w:sz w:val="21"/>
                      <w:szCs w:val="21"/>
                      <w:lang w:bidi="ar"/>
                    </w:rPr>
                  </w:pPr>
                  <w:r>
                    <w:rPr>
                      <w:rFonts w:hint="eastAsia"/>
                      <w:color w:val="auto"/>
                      <w:sz w:val="21"/>
                      <w:szCs w:val="21"/>
                      <w:lang w:bidi="ar"/>
                    </w:rPr>
                    <w:t>设备检修</w:t>
                  </w:r>
                </w:p>
              </w:tc>
              <w:tc>
                <w:tcPr>
                  <w:tcW w:w="454" w:type="pct"/>
                  <w:noWrap w:val="0"/>
                  <w:tcMar>
                    <w:left w:w="0" w:type="dxa"/>
                    <w:right w:w="0" w:type="dxa"/>
                  </w:tcMar>
                  <w:vAlign w:val="center"/>
                </w:tcPr>
                <w:p w14:paraId="141F08A2">
                  <w:pPr>
                    <w:adjustRightInd w:val="0"/>
                    <w:snapToGrid w:val="0"/>
                    <w:jc w:val="center"/>
                    <w:rPr>
                      <w:rFonts w:hint="eastAsia"/>
                      <w:color w:val="auto"/>
                      <w:sz w:val="21"/>
                      <w:szCs w:val="21"/>
                      <w:lang w:bidi="ar"/>
                    </w:rPr>
                  </w:pPr>
                  <w:r>
                    <w:rPr>
                      <w:rFonts w:hint="eastAsia"/>
                      <w:color w:val="auto"/>
                      <w:sz w:val="21"/>
                      <w:szCs w:val="21"/>
                      <w:lang w:bidi="ar"/>
                    </w:rPr>
                    <w:t>含油抹布及手套</w:t>
                  </w:r>
                </w:p>
              </w:tc>
              <w:tc>
                <w:tcPr>
                  <w:tcW w:w="454" w:type="pct"/>
                  <w:noWrap w:val="0"/>
                  <w:tcMar>
                    <w:top w:w="0" w:type="dxa"/>
                    <w:left w:w="0" w:type="dxa"/>
                    <w:bottom w:w="0" w:type="dxa"/>
                    <w:right w:w="0" w:type="dxa"/>
                  </w:tcMar>
                  <w:vAlign w:val="center"/>
                </w:tcPr>
                <w:p w14:paraId="2637A835">
                  <w:pPr>
                    <w:adjustRightInd w:val="0"/>
                    <w:snapToGrid w:val="0"/>
                    <w:jc w:val="center"/>
                    <w:rPr>
                      <w:color w:val="auto"/>
                      <w:sz w:val="21"/>
                      <w:szCs w:val="21"/>
                      <w:lang w:bidi="ar"/>
                    </w:rPr>
                  </w:pPr>
                  <w:r>
                    <w:rPr>
                      <w:rFonts w:hint="eastAsia"/>
                      <w:color w:val="auto"/>
                      <w:sz w:val="21"/>
                      <w:szCs w:val="21"/>
                      <w:lang w:bidi="ar"/>
                    </w:rPr>
                    <w:t>危险废物</w:t>
                  </w:r>
                </w:p>
              </w:tc>
              <w:tc>
                <w:tcPr>
                  <w:tcW w:w="454" w:type="pct"/>
                  <w:noWrap w:val="0"/>
                  <w:tcMar>
                    <w:left w:w="0" w:type="dxa"/>
                    <w:right w:w="0" w:type="dxa"/>
                  </w:tcMar>
                  <w:vAlign w:val="center"/>
                </w:tcPr>
                <w:p w14:paraId="3D170F2F">
                  <w:pPr>
                    <w:adjustRightInd w:val="0"/>
                    <w:snapToGrid w:val="0"/>
                    <w:jc w:val="center"/>
                    <w:rPr>
                      <w:rFonts w:hint="eastAsia"/>
                      <w:color w:val="auto"/>
                      <w:sz w:val="21"/>
                      <w:szCs w:val="21"/>
                    </w:rPr>
                  </w:pPr>
                  <w:r>
                    <w:rPr>
                      <w:rFonts w:hint="eastAsia"/>
                      <w:color w:val="auto"/>
                      <w:sz w:val="21"/>
                      <w:szCs w:val="21"/>
                    </w:rPr>
                    <w:t>HW49</w:t>
                  </w:r>
                </w:p>
              </w:tc>
              <w:tc>
                <w:tcPr>
                  <w:tcW w:w="454" w:type="pct"/>
                  <w:noWrap w:val="0"/>
                  <w:vAlign w:val="center"/>
                </w:tcPr>
                <w:p w14:paraId="3E97BDE7">
                  <w:pPr>
                    <w:adjustRightInd w:val="0"/>
                    <w:snapToGrid w:val="0"/>
                    <w:jc w:val="center"/>
                    <w:rPr>
                      <w:rFonts w:hint="eastAsia"/>
                      <w:color w:val="auto"/>
                      <w:sz w:val="21"/>
                      <w:szCs w:val="21"/>
                    </w:rPr>
                  </w:pPr>
                  <w:r>
                    <w:rPr>
                      <w:rFonts w:hint="eastAsia"/>
                      <w:color w:val="auto"/>
                      <w:sz w:val="21"/>
                      <w:szCs w:val="21"/>
                    </w:rPr>
                    <w:t>900-041-49</w:t>
                  </w:r>
                </w:p>
              </w:tc>
              <w:tc>
                <w:tcPr>
                  <w:tcW w:w="363" w:type="pct"/>
                  <w:noWrap w:val="0"/>
                  <w:vAlign w:val="center"/>
                </w:tcPr>
                <w:p w14:paraId="2CEDBC87">
                  <w:pPr>
                    <w:adjustRightInd w:val="0"/>
                    <w:snapToGrid w:val="0"/>
                    <w:jc w:val="center"/>
                    <w:rPr>
                      <w:rFonts w:hint="eastAsia"/>
                      <w:color w:val="auto"/>
                      <w:sz w:val="21"/>
                      <w:szCs w:val="21"/>
                      <w:lang w:bidi="ar"/>
                    </w:rPr>
                  </w:pPr>
                  <w:r>
                    <w:rPr>
                      <w:rFonts w:hint="eastAsia"/>
                      <w:color w:val="auto"/>
                      <w:sz w:val="21"/>
                      <w:szCs w:val="21"/>
                      <w:lang w:bidi="ar"/>
                    </w:rPr>
                    <w:t>矿物油</w:t>
                  </w:r>
                </w:p>
              </w:tc>
              <w:tc>
                <w:tcPr>
                  <w:tcW w:w="385" w:type="pct"/>
                  <w:noWrap w:val="0"/>
                  <w:vAlign w:val="center"/>
                </w:tcPr>
                <w:p w14:paraId="23BBDA76">
                  <w:pPr>
                    <w:adjustRightInd w:val="0"/>
                    <w:snapToGrid w:val="0"/>
                    <w:jc w:val="center"/>
                    <w:rPr>
                      <w:color w:val="auto"/>
                      <w:sz w:val="21"/>
                      <w:szCs w:val="21"/>
                      <w:lang w:bidi="ar"/>
                    </w:rPr>
                  </w:pPr>
                  <w:r>
                    <w:rPr>
                      <w:color w:val="auto"/>
                      <w:sz w:val="21"/>
                      <w:szCs w:val="21"/>
                      <w:lang w:bidi="ar"/>
                    </w:rPr>
                    <w:t>固态</w:t>
                  </w:r>
                </w:p>
              </w:tc>
              <w:tc>
                <w:tcPr>
                  <w:tcW w:w="377" w:type="pct"/>
                  <w:noWrap w:val="0"/>
                  <w:vAlign w:val="center"/>
                </w:tcPr>
                <w:p w14:paraId="1909C784">
                  <w:pPr>
                    <w:adjustRightInd w:val="0"/>
                    <w:snapToGrid w:val="0"/>
                    <w:jc w:val="center"/>
                    <w:rPr>
                      <w:color w:val="auto"/>
                      <w:sz w:val="21"/>
                      <w:szCs w:val="21"/>
                      <w:lang w:bidi="ar"/>
                    </w:rPr>
                  </w:pPr>
                  <w:r>
                    <w:rPr>
                      <w:rFonts w:hint="eastAsia"/>
                      <w:color w:val="auto"/>
                      <w:sz w:val="21"/>
                      <w:szCs w:val="21"/>
                      <w:lang w:bidi="ar"/>
                    </w:rPr>
                    <w:t>T，I</w:t>
                  </w:r>
                </w:p>
              </w:tc>
              <w:tc>
                <w:tcPr>
                  <w:tcW w:w="433" w:type="pct"/>
                  <w:noWrap w:val="0"/>
                  <w:tcMar>
                    <w:left w:w="0" w:type="dxa"/>
                    <w:right w:w="0" w:type="dxa"/>
                  </w:tcMar>
                  <w:vAlign w:val="center"/>
                </w:tcPr>
                <w:p w14:paraId="48CD152F">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0.02</w:t>
                  </w:r>
                </w:p>
              </w:tc>
              <w:tc>
                <w:tcPr>
                  <w:tcW w:w="714" w:type="pct"/>
                  <w:vMerge w:val="continue"/>
                  <w:noWrap w:val="0"/>
                  <w:tcMar>
                    <w:left w:w="28" w:type="dxa"/>
                    <w:right w:w="28" w:type="dxa"/>
                  </w:tcMar>
                  <w:vAlign w:val="center"/>
                </w:tcPr>
                <w:p w14:paraId="426EF64C">
                  <w:pPr>
                    <w:adjustRightInd w:val="0"/>
                    <w:snapToGrid w:val="0"/>
                    <w:jc w:val="center"/>
                    <w:rPr>
                      <w:rFonts w:hint="eastAsia"/>
                      <w:color w:val="auto"/>
                      <w:sz w:val="21"/>
                      <w:szCs w:val="21"/>
                      <w:lang w:bidi="ar"/>
                    </w:rPr>
                  </w:pPr>
                </w:p>
              </w:tc>
            </w:tr>
            <w:tr w14:paraId="1B5AE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54F4BE60">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10</w:t>
                  </w:r>
                </w:p>
              </w:tc>
              <w:tc>
                <w:tcPr>
                  <w:tcW w:w="607" w:type="pct"/>
                  <w:noWrap w:val="0"/>
                  <w:tcMar>
                    <w:left w:w="0" w:type="dxa"/>
                    <w:right w:w="0" w:type="dxa"/>
                  </w:tcMar>
                  <w:vAlign w:val="center"/>
                </w:tcPr>
                <w:p w14:paraId="46C78814">
                  <w:pPr>
                    <w:adjustRightInd w:val="0"/>
                    <w:snapToGrid w:val="0"/>
                    <w:jc w:val="center"/>
                    <w:rPr>
                      <w:rFonts w:hint="eastAsia"/>
                      <w:color w:val="auto"/>
                      <w:sz w:val="21"/>
                      <w:szCs w:val="21"/>
                      <w:lang w:bidi="ar"/>
                    </w:rPr>
                  </w:pPr>
                  <w:r>
                    <w:rPr>
                      <w:rFonts w:hint="eastAsia"/>
                      <w:color w:val="auto"/>
                      <w:sz w:val="21"/>
                      <w:szCs w:val="21"/>
                      <w:lang w:bidi="ar"/>
                    </w:rPr>
                    <w:t>设备检修</w:t>
                  </w:r>
                </w:p>
              </w:tc>
              <w:tc>
                <w:tcPr>
                  <w:tcW w:w="454" w:type="pct"/>
                  <w:noWrap w:val="0"/>
                  <w:tcMar>
                    <w:left w:w="0" w:type="dxa"/>
                    <w:right w:w="0" w:type="dxa"/>
                  </w:tcMar>
                  <w:vAlign w:val="center"/>
                </w:tcPr>
                <w:p w14:paraId="7D85E02B">
                  <w:pPr>
                    <w:adjustRightInd w:val="0"/>
                    <w:snapToGrid w:val="0"/>
                    <w:jc w:val="center"/>
                    <w:rPr>
                      <w:color w:val="auto"/>
                      <w:sz w:val="21"/>
                      <w:szCs w:val="21"/>
                      <w:lang w:bidi="ar"/>
                    </w:rPr>
                  </w:pPr>
                  <w:r>
                    <w:rPr>
                      <w:rFonts w:hint="eastAsia"/>
                      <w:color w:val="auto"/>
                      <w:sz w:val="21"/>
                      <w:szCs w:val="21"/>
                      <w:lang w:bidi="ar"/>
                    </w:rPr>
                    <w:t>废润滑油、废机油</w:t>
                  </w:r>
                </w:p>
              </w:tc>
              <w:tc>
                <w:tcPr>
                  <w:tcW w:w="454" w:type="pct"/>
                  <w:noWrap w:val="0"/>
                  <w:tcMar>
                    <w:top w:w="0" w:type="dxa"/>
                    <w:left w:w="0" w:type="dxa"/>
                    <w:bottom w:w="0" w:type="dxa"/>
                    <w:right w:w="0" w:type="dxa"/>
                  </w:tcMar>
                  <w:vAlign w:val="center"/>
                </w:tcPr>
                <w:p w14:paraId="6E37F9BD">
                  <w:pPr>
                    <w:adjustRightInd w:val="0"/>
                    <w:snapToGrid w:val="0"/>
                    <w:jc w:val="center"/>
                    <w:rPr>
                      <w:color w:val="auto"/>
                      <w:sz w:val="21"/>
                      <w:szCs w:val="21"/>
                      <w:lang w:bidi="ar"/>
                    </w:rPr>
                  </w:pPr>
                  <w:r>
                    <w:rPr>
                      <w:rFonts w:hint="eastAsia"/>
                      <w:color w:val="auto"/>
                      <w:sz w:val="21"/>
                      <w:szCs w:val="21"/>
                      <w:lang w:bidi="ar"/>
                    </w:rPr>
                    <w:t>危险废物</w:t>
                  </w:r>
                </w:p>
              </w:tc>
              <w:tc>
                <w:tcPr>
                  <w:tcW w:w="454" w:type="pct"/>
                  <w:noWrap w:val="0"/>
                  <w:tcMar>
                    <w:left w:w="0" w:type="dxa"/>
                    <w:right w:w="0" w:type="dxa"/>
                  </w:tcMar>
                  <w:vAlign w:val="center"/>
                </w:tcPr>
                <w:p w14:paraId="27044D3B">
                  <w:pPr>
                    <w:adjustRightInd w:val="0"/>
                    <w:snapToGrid w:val="0"/>
                    <w:jc w:val="center"/>
                    <w:rPr>
                      <w:color w:val="auto"/>
                      <w:sz w:val="21"/>
                      <w:szCs w:val="21"/>
                    </w:rPr>
                  </w:pPr>
                  <w:r>
                    <w:rPr>
                      <w:rFonts w:hint="eastAsia"/>
                      <w:color w:val="auto"/>
                      <w:sz w:val="21"/>
                      <w:szCs w:val="21"/>
                    </w:rPr>
                    <w:t>HW08</w:t>
                  </w:r>
                </w:p>
              </w:tc>
              <w:tc>
                <w:tcPr>
                  <w:tcW w:w="454" w:type="pct"/>
                  <w:noWrap w:val="0"/>
                  <w:vAlign w:val="center"/>
                </w:tcPr>
                <w:p w14:paraId="36215F9E">
                  <w:pPr>
                    <w:adjustRightInd w:val="0"/>
                    <w:snapToGrid w:val="0"/>
                    <w:jc w:val="center"/>
                    <w:rPr>
                      <w:color w:val="auto"/>
                      <w:sz w:val="21"/>
                      <w:szCs w:val="21"/>
                    </w:rPr>
                  </w:pPr>
                  <w:r>
                    <w:rPr>
                      <w:rFonts w:hint="eastAsia"/>
                      <w:color w:val="auto"/>
                      <w:sz w:val="21"/>
                      <w:szCs w:val="21"/>
                    </w:rPr>
                    <w:t>900-217-08</w:t>
                  </w:r>
                </w:p>
              </w:tc>
              <w:tc>
                <w:tcPr>
                  <w:tcW w:w="363" w:type="pct"/>
                  <w:noWrap w:val="0"/>
                  <w:vAlign w:val="center"/>
                </w:tcPr>
                <w:p w14:paraId="5087B7C2">
                  <w:pPr>
                    <w:adjustRightInd w:val="0"/>
                    <w:snapToGrid w:val="0"/>
                    <w:jc w:val="center"/>
                    <w:rPr>
                      <w:rFonts w:hint="eastAsia"/>
                      <w:color w:val="auto"/>
                      <w:sz w:val="21"/>
                      <w:szCs w:val="21"/>
                      <w:lang w:bidi="ar"/>
                    </w:rPr>
                  </w:pPr>
                  <w:r>
                    <w:rPr>
                      <w:rFonts w:hint="eastAsia"/>
                      <w:color w:val="auto"/>
                      <w:sz w:val="21"/>
                      <w:szCs w:val="21"/>
                      <w:lang w:bidi="ar"/>
                    </w:rPr>
                    <w:t>矿物油</w:t>
                  </w:r>
                </w:p>
              </w:tc>
              <w:tc>
                <w:tcPr>
                  <w:tcW w:w="385" w:type="pct"/>
                  <w:noWrap w:val="0"/>
                  <w:vAlign w:val="center"/>
                </w:tcPr>
                <w:p w14:paraId="184B53DF">
                  <w:pPr>
                    <w:adjustRightInd w:val="0"/>
                    <w:snapToGrid w:val="0"/>
                    <w:jc w:val="center"/>
                    <w:rPr>
                      <w:rFonts w:hint="eastAsia"/>
                      <w:color w:val="auto"/>
                      <w:sz w:val="21"/>
                      <w:szCs w:val="21"/>
                      <w:lang w:bidi="ar"/>
                    </w:rPr>
                  </w:pPr>
                  <w:r>
                    <w:rPr>
                      <w:rFonts w:hint="eastAsia"/>
                      <w:color w:val="auto"/>
                      <w:sz w:val="21"/>
                      <w:szCs w:val="21"/>
                      <w:lang w:bidi="ar"/>
                    </w:rPr>
                    <w:t>液态</w:t>
                  </w:r>
                </w:p>
              </w:tc>
              <w:tc>
                <w:tcPr>
                  <w:tcW w:w="377" w:type="pct"/>
                  <w:noWrap w:val="0"/>
                  <w:vAlign w:val="center"/>
                </w:tcPr>
                <w:p w14:paraId="6F072AA5">
                  <w:pPr>
                    <w:adjustRightInd w:val="0"/>
                    <w:snapToGrid w:val="0"/>
                    <w:jc w:val="center"/>
                    <w:rPr>
                      <w:color w:val="auto"/>
                      <w:sz w:val="21"/>
                      <w:szCs w:val="21"/>
                      <w:lang w:bidi="ar"/>
                    </w:rPr>
                  </w:pPr>
                  <w:r>
                    <w:rPr>
                      <w:rFonts w:hint="eastAsia"/>
                      <w:color w:val="auto"/>
                      <w:sz w:val="21"/>
                      <w:szCs w:val="21"/>
                      <w:lang w:bidi="ar"/>
                    </w:rPr>
                    <w:t>T，I</w:t>
                  </w:r>
                </w:p>
              </w:tc>
              <w:tc>
                <w:tcPr>
                  <w:tcW w:w="433" w:type="pct"/>
                  <w:noWrap w:val="0"/>
                  <w:tcMar>
                    <w:left w:w="0" w:type="dxa"/>
                    <w:right w:w="0" w:type="dxa"/>
                  </w:tcMar>
                  <w:vAlign w:val="center"/>
                </w:tcPr>
                <w:p w14:paraId="67CF46BA">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0.02</w:t>
                  </w:r>
                </w:p>
              </w:tc>
              <w:tc>
                <w:tcPr>
                  <w:tcW w:w="714" w:type="pct"/>
                  <w:vMerge w:val="continue"/>
                  <w:noWrap w:val="0"/>
                  <w:tcMar>
                    <w:left w:w="28" w:type="dxa"/>
                    <w:right w:w="28" w:type="dxa"/>
                  </w:tcMar>
                  <w:vAlign w:val="center"/>
                </w:tcPr>
                <w:p w14:paraId="62502D4F">
                  <w:pPr>
                    <w:adjustRightInd w:val="0"/>
                    <w:snapToGrid w:val="0"/>
                    <w:jc w:val="center"/>
                    <w:rPr>
                      <w:rFonts w:hint="eastAsia"/>
                      <w:color w:val="auto"/>
                      <w:sz w:val="21"/>
                      <w:szCs w:val="21"/>
                      <w:lang w:bidi="ar"/>
                    </w:rPr>
                  </w:pPr>
                </w:p>
              </w:tc>
            </w:tr>
            <w:tr w14:paraId="079CB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0" w:type="pct"/>
                  <w:noWrap w:val="0"/>
                  <w:tcMar>
                    <w:left w:w="28" w:type="dxa"/>
                    <w:right w:w="28" w:type="dxa"/>
                  </w:tcMar>
                  <w:vAlign w:val="center"/>
                </w:tcPr>
                <w:p w14:paraId="576BEF48">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11</w:t>
                  </w:r>
                </w:p>
              </w:tc>
              <w:tc>
                <w:tcPr>
                  <w:tcW w:w="607" w:type="pct"/>
                  <w:noWrap w:val="0"/>
                  <w:tcMar>
                    <w:left w:w="0" w:type="dxa"/>
                    <w:right w:w="0" w:type="dxa"/>
                  </w:tcMar>
                  <w:vAlign w:val="center"/>
                </w:tcPr>
                <w:p w14:paraId="30F41EB4">
                  <w:pPr>
                    <w:adjustRightInd w:val="0"/>
                    <w:snapToGrid w:val="0"/>
                    <w:jc w:val="center"/>
                    <w:rPr>
                      <w:rFonts w:hint="eastAsia" w:eastAsia="宋体"/>
                      <w:color w:val="auto"/>
                      <w:sz w:val="21"/>
                      <w:szCs w:val="21"/>
                      <w:lang w:eastAsia="zh-CN" w:bidi="ar"/>
                    </w:rPr>
                  </w:pPr>
                  <w:r>
                    <w:rPr>
                      <w:rFonts w:hint="eastAsia" w:eastAsia="宋体"/>
                      <w:color w:val="auto"/>
                      <w:sz w:val="21"/>
                      <w:szCs w:val="21"/>
                      <w:lang w:val="en-US" w:eastAsia="zh-CN" w:bidi="ar"/>
                    </w:rPr>
                    <w:t>生产</w:t>
                  </w:r>
                </w:p>
              </w:tc>
              <w:tc>
                <w:tcPr>
                  <w:tcW w:w="454" w:type="pct"/>
                  <w:noWrap w:val="0"/>
                  <w:tcMar>
                    <w:left w:w="0" w:type="dxa"/>
                    <w:right w:w="0" w:type="dxa"/>
                  </w:tcMar>
                  <w:vAlign w:val="center"/>
                </w:tcPr>
                <w:p w14:paraId="11735C82">
                  <w:pPr>
                    <w:adjustRightInd w:val="0"/>
                    <w:snapToGrid w:val="0"/>
                    <w:jc w:val="center"/>
                    <w:rPr>
                      <w:color w:val="auto"/>
                      <w:sz w:val="21"/>
                      <w:szCs w:val="21"/>
                      <w:lang w:bidi="ar"/>
                    </w:rPr>
                  </w:pPr>
                  <w:r>
                    <w:rPr>
                      <w:rFonts w:hint="eastAsia"/>
                      <w:color w:val="auto"/>
                      <w:sz w:val="21"/>
                      <w:szCs w:val="21"/>
                      <w:lang w:bidi="ar"/>
                    </w:rPr>
                    <w:t>废油桶</w:t>
                  </w:r>
                </w:p>
              </w:tc>
              <w:tc>
                <w:tcPr>
                  <w:tcW w:w="454" w:type="pct"/>
                  <w:noWrap w:val="0"/>
                  <w:tcMar>
                    <w:top w:w="0" w:type="dxa"/>
                    <w:left w:w="0" w:type="dxa"/>
                    <w:bottom w:w="0" w:type="dxa"/>
                    <w:right w:w="0" w:type="dxa"/>
                  </w:tcMar>
                  <w:vAlign w:val="center"/>
                </w:tcPr>
                <w:p w14:paraId="2E9C9416">
                  <w:pPr>
                    <w:adjustRightInd w:val="0"/>
                    <w:snapToGrid w:val="0"/>
                    <w:jc w:val="center"/>
                    <w:rPr>
                      <w:color w:val="auto"/>
                      <w:sz w:val="21"/>
                      <w:szCs w:val="21"/>
                      <w:lang w:bidi="ar"/>
                    </w:rPr>
                  </w:pPr>
                  <w:r>
                    <w:rPr>
                      <w:rFonts w:hint="eastAsia"/>
                      <w:color w:val="auto"/>
                      <w:sz w:val="21"/>
                      <w:szCs w:val="21"/>
                      <w:lang w:bidi="ar"/>
                    </w:rPr>
                    <w:t>危险废物</w:t>
                  </w:r>
                </w:p>
              </w:tc>
              <w:tc>
                <w:tcPr>
                  <w:tcW w:w="454" w:type="pct"/>
                  <w:noWrap w:val="0"/>
                  <w:tcMar>
                    <w:left w:w="0" w:type="dxa"/>
                    <w:right w:w="0" w:type="dxa"/>
                  </w:tcMar>
                  <w:vAlign w:val="center"/>
                </w:tcPr>
                <w:p w14:paraId="21589834">
                  <w:pPr>
                    <w:adjustRightInd w:val="0"/>
                    <w:snapToGrid w:val="0"/>
                    <w:jc w:val="center"/>
                    <w:rPr>
                      <w:color w:val="auto"/>
                      <w:sz w:val="21"/>
                      <w:szCs w:val="21"/>
                    </w:rPr>
                  </w:pPr>
                  <w:r>
                    <w:rPr>
                      <w:rFonts w:hint="eastAsia"/>
                      <w:color w:val="auto"/>
                      <w:sz w:val="21"/>
                      <w:szCs w:val="21"/>
                    </w:rPr>
                    <w:t>HW08</w:t>
                  </w:r>
                </w:p>
              </w:tc>
              <w:tc>
                <w:tcPr>
                  <w:tcW w:w="454" w:type="pct"/>
                  <w:noWrap w:val="0"/>
                  <w:vAlign w:val="center"/>
                </w:tcPr>
                <w:p w14:paraId="5EE76263">
                  <w:pPr>
                    <w:adjustRightInd w:val="0"/>
                    <w:snapToGrid w:val="0"/>
                    <w:jc w:val="center"/>
                    <w:rPr>
                      <w:color w:val="auto"/>
                      <w:sz w:val="21"/>
                      <w:szCs w:val="21"/>
                    </w:rPr>
                  </w:pPr>
                  <w:r>
                    <w:rPr>
                      <w:rFonts w:hint="eastAsia"/>
                      <w:color w:val="auto"/>
                      <w:sz w:val="21"/>
                      <w:szCs w:val="21"/>
                    </w:rPr>
                    <w:t>900-249-08</w:t>
                  </w:r>
                </w:p>
              </w:tc>
              <w:tc>
                <w:tcPr>
                  <w:tcW w:w="363" w:type="pct"/>
                  <w:noWrap w:val="0"/>
                  <w:vAlign w:val="center"/>
                </w:tcPr>
                <w:p w14:paraId="7114B449">
                  <w:pPr>
                    <w:adjustRightInd w:val="0"/>
                    <w:snapToGrid w:val="0"/>
                    <w:jc w:val="center"/>
                    <w:rPr>
                      <w:color w:val="auto"/>
                      <w:sz w:val="21"/>
                      <w:szCs w:val="21"/>
                      <w:lang w:bidi="ar"/>
                    </w:rPr>
                  </w:pPr>
                  <w:r>
                    <w:rPr>
                      <w:rFonts w:hint="eastAsia"/>
                      <w:color w:val="auto"/>
                      <w:sz w:val="21"/>
                      <w:szCs w:val="21"/>
                      <w:lang w:bidi="ar"/>
                    </w:rPr>
                    <w:t>矿物油</w:t>
                  </w:r>
                </w:p>
              </w:tc>
              <w:tc>
                <w:tcPr>
                  <w:tcW w:w="385" w:type="pct"/>
                  <w:noWrap w:val="0"/>
                  <w:vAlign w:val="center"/>
                </w:tcPr>
                <w:p w14:paraId="734E1453">
                  <w:pPr>
                    <w:adjustRightInd w:val="0"/>
                    <w:snapToGrid w:val="0"/>
                    <w:jc w:val="center"/>
                    <w:rPr>
                      <w:color w:val="auto"/>
                      <w:sz w:val="21"/>
                      <w:szCs w:val="21"/>
                      <w:lang w:bidi="ar"/>
                    </w:rPr>
                  </w:pPr>
                  <w:r>
                    <w:rPr>
                      <w:color w:val="auto"/>
                      <w:sz w:val="21"/>
                      <w:szCs w:val="21"/>
                      <w:lang w:bidi="ar"/>
                    </w:rPr>
                    <w:t>固态</w:t>
                  </w:r>
                </w:p>
              </w:tc>
              <w:tc>
                <w:tcPr>
                  <w:tcW w:w="377" w:type="pct"/>
                  <w:noWrap w:val="0"/>
                  <w:vAlign w:val="center"/>
                </w:tcPr>
                <w:p w14:paraId="37C27801">
                  <w:pPr>
                    <w:adjustRightInd w:val="0"/>
                    <w:snapToGrid w:val="0"/>
                    <w:jc w:val="center"/>
                    <w:rPr>
                      <w:color w:val="auto"/>
                      <w:sz w:val="21"/>
                      <w:szCs w:val="21"/>
                      <w:lang w:bidi="ar"/>
                    </w:rPr>
                  </w:pPr>
                  <w:r>
                    <w:rPr>
                      <w:rFonts w:hint="eastAsia"/>
                      <w:color w:val="auto"/>
                      <w:sz w:val="21"/>
                      <w:szCs w:val="21"/>
                      <w:lang w:bidi="ar"/>
                    </w:rPr>
                    <w:t>T，I</w:t>
                  </w:r>
                </w:p>
              </w:tc>
              <w:tc>
                <w:tcPr>
                  <w:tcW w:w="433" w:type="pct"/>
                  <w:noWrap w:val="0"/>
                  <w:tcMar>
                    <w:left w:w="0" w:type="dxa"/>
                    <w:right w:w="0" w:type="dxa"/>
                  </w:tcMar>
                  <w:vAlign w:val="center"/>
                </w:tcPr>
                <w:p w14:paraId="148A4089">
                  <w:pPr>
                    <w:adjustRightInd w:val="0"/>
                    <w:snapToGrid w:val="0"/>
                    <w:jc w:val="center"/>
                    <w:rPr>
                      <w:rFonts w:hint="default" w:eastAsia="宋体"/>
                      <w:color w:val="auto"/>
                      <w:sz w:val="21"/>
                      <w:szCs w:val="21"/>
                      <w:lang w:val="en-US" w:eastAsia="zh-CN" w:bidi="ar"/>
                    </w:rPr>
                  </w:pPr>
                  <w:r>
                    <w:rPr>
                      <w:rFonts w:hint="eastAsia" w:eastAsia="宋体"/>
                      <w:color w:val="auto"/>
                      <w:sz w:val="21"/>
                      <w:szCs w:val="21"/>
                      <w:lang w:val="en-US" w:eastAsia="zh-CN" w:bidi="ar"/>
                    </w:rPr>
                    <w:t>0.7</w:t>
                  </w:r>
                </w:p>
              </w:tc>
              <w:tc>
                <w:tcPr>
                  <w:tcW w:w="714" w:type="pct"/>
                  <w:vMerge w:val="continue"/>
                  <w:noWrap w:val="0"/>
                  <w:tcMar>
                    <w:left w:w="28" w:type="dxa"/>
                    <w:right w:w="28" w:type="dxa"/>
                  </w:tcMar>
                  <w:vAlign w:val="center"/>
                </w:tcPr>
                <w:p w14:paraId="1B33DA50">
                  <w:pPr>
                    <w:adjustRightInd w:val="0"/>
                    <w:snapToGrid w:val="0"/>
                    <w:jc w:val="center"/>
                    <w:rPr>
                      <w:color w:val="auto"/>
                      <w:sz w:val="21"/>
                      <w:szCs w:val="21"/>
                      <w:lang w:bidi="ar"/>
                    </w:rPr>
                  </w:pPr>
                </w:p>
              </w:tc>
            </w:tr>
          </w:tbl>
          <w:p w14:paraId="476D1B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sz w:val="24"/>
                <w:szCs w:val="24"/>
                <w:lang w:eastAsia="zh-CN"/>
              </w:rPr>
            </w:pPr>
            <w:r>
              <w:rPr>
                <w:rFonts w:hint="eastAsia"/>
                <w:color w:val="auto"/>
                <w:sz w:val="24"/>
                <w:szCs w:val="24"/>
                <w:lang w:eastAsia="zh-CN"/>
              </w:rPr>
              <w:t>项目</w:t>
            </w:r>
            <w:r>
              <w:rPr>
                <w:color w:val="auto"/>
                <w:sz w:val="24"/>
                <w:szCs w:val="24"/>
              </w:rPr>
              <w:t>在</w:t>
            </w:r>
            <w:r>
              <w:rPr>
                <w:rFonts w:hint="eastAsia"/>
                <w:color w:val="auto"/>
                <w:sz w:val="24"/>
                <w:szCs w:val="24"/>
                <w:lang w:val="en-US" w:eastAsia="zh-CN"/>
              </w:rPr>
              <w:t>车间外东侧</w:t>
            </w:r>
            <w:r>
              <w:rPr>
                <w:color w:val="auto"/>
                <w:sz w:val="24"/>
                <w:szCs w:val="24"/>
              </w:rPr>
              <w:t>设置</w:t>
            </w:r>
            <w:r>
              <w:rPr>
                <w:rFonts w:hint="eastAsia"/>
                <w:color w:val="auto"/>
                <w:sz w:val="24"/>
                <w:szCs w:val="24"/>
              </w:rPr>
              <w:t>一个</w:t>
            </w:r>
            <w:r>
              <w:rPr>
                <w:rFonts w:hint="eastAsia"/>
                <w:color w:val="auto"/>
                <w:sz w:val="24"/>
                <w:szCs w:val="24"/>
                <w:lang w:eastAsia="zh-CN"/>
              </w:rPr>
              <w:t>占地面积为</w:t>
            </w:r>
            <w:r>
              <w:rPr>
                <w:rFonts w:hint="eastAsia"/>
                <w:color w:val="auto"/>
                <w:sz w:val="24"/>
                <w:szCs w:val="24"/>
                <w:lang w:val="en-US" w:eastAsia="zh-CN"/>
              </w:rPr>
              <w:t>100m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eastAsia"/>
                <w:color w:val="auto"/>
                <w:sz w:val="24"/>
                <w:szCs w:val="24"/>
              </w:rPr>
              <w:t>库容积约</w:t>
            </w:r>
            <w:r>
              <w:rPr>
                <w:rFonts w:hint="eastAsia"/>
                <w:color w:val="auto"/>
                <w:sz w:val="24"/>
                <w:szCs w:val="24"/>
                <w:lang w:val="en-US" w:eastAsia="zh-CN"/>
              </w:rPr>
              <w:t>250</w:t>
            </w:r>
            <w:r>
              <w:rPr>
                <w:rFonts w:hint="eastAsia"/>
                <w:color w:val="auto"/>
                <w:sz w:val="24"/>
                <w:szCs w:val="24"/>
              </w:rPr>
              <w:t>m</w:t>
            </w:r>
            <w:r>
              <w:rPr>
                <w:rFonts w:hint="eastAsia"/>
                <w:color w:val="auto"/>
                <w:sz w:val="24"/>
                <w:szCs w:val="24"/>
                <w:vertAlign w:val="superscript"/>
              </w:rPr>
              <w:t>3</w:t>
            </w:r>
            <w:r>
              <w:rPr>
                <w:rFonts w:hint="eastAsia"/>
                <w:color w:val="auto"/>
                <w:sz w:val="24"/>
                <w:szCs w:val="24"/>
              </w:rPr>
              <w:t>的一般固废暂存</w:t>
            </w:r>
            <w:r>
              <w:rPr>
                <w:rFonts w:hint="eastAsia"/>
                <w:color w:val="auto"/>
                <w:sz w:val="24"/>
                <w:szCs w:val="24"/>
                <w:lang w:eastAsia="zh-CN"/>
              </w:rPr>
              <w:t>间存放一般工业固体废物，</w:t>
            </w:r>
            <w:r>
              <w:rPr>
                <w:rFonts w:hint="eastAsia" w:cs="Times New Roman"/>
                <w:color w:val="auto"/>
                <w:sz w:val="24"/>
                <w:szCs w:val="24"/>
                <w:lang w:val="en-US" w:eastAsia="zh-CN"/>
              </w:rPr>
              <w:t>技改</w:t>
            </w:r>
            <w:r>
              <w:rPr>
                <w:rFonts w:hint="eastAsia" w:ascii="Times New Roman" w:hAnsi="Times New Roman" w:cs="Times New Roman"/>
                <w:color w:val="auto"/>
                <w:sz w:val="24"/>
                <w:szCs w:val="24"/>
                <w:lang w:eastAsia="zh-CN"/>
              </w:rPr>
              <w:t>后项目</w:t>
            </w:r>
            <w:r>
              <w:rPr>
                <w:rFonts w:hint="eastAsia" w:cs="Times New Roman"/>
                <w:color w:val="auto"/>
                <w:sz w:val="24"/>
                <w:szCs w:val="24"/>
                <w:lang w:val="en-US" w:eastAsia="zh-CN"/>
              </w:rPr>
              <w:t>一般固废产生量为2552.13</w:t>
            </w:r>
            <w:r>
              <w:rPr>
                <w:rFonts w:hint="eastAsia" w:ascii="宋体" w:hAnsi="宋体" w:eastAsia="宋体" w:cs="宋体"/>
                <w:color w:val="auto"/>
                <w:kern w:val="2"/>
                <w:sz w:val="24"/>
                <w:szCs w:val="24"/>
                <w:lang w:val="en-US" w:eastAsia="zh-CN" w:bidi="ar-SA"/>
              </w:rPr>
              <w:t>t/a，每半个月进行清理</w:t>
            </w:r>
            <w:r>
              <w:rPr>
                <w:rFonts w:hint="eastAsia"/>
                <w:color w:val="auto"/>
                <w:sz w:val="24"/>
                <w:szCs w:val="24"/>
                <w:lang w:eastAsia="zh-CN"/>
              </w:rPr>
              <w:t>；</w:t>
            </w:r>
            <w:r>
              <w:rPr>
                <w:rFonts w:hint="eastAsia"/>
                <w:color w:val="auto"/>
                <w:sz w:val="24"/>
                <w:szCs w:val="24"/>
                <w:lang w:val="en-US" w:eastAsia="zh-CN"/>
              </w:rPr>
              <w:t>车间外东南角</w:t>
            </w:r>
            <w:r>
              <w:rPr>
                <w:color w:val="auto"/>
                <w:sz w:val="24"/>
                <w:szCs w:val="24"/>
              </w:rPr>
              <w:t>设置</w:t>
            </w:r>
            <w:r>
              <w:rPr>
                <w:rFonts w:hint="default" w:ascii="Times New Roman" w:hAnsi="Times New Roman" w:cs="Times New Roman"/>
                <w:color w:val="auto"/>
                <w:sz w:val="24"/>
                <w:szCs w:val="24"/>
                <w:lang w:eastAsia="zh-CN"/>
              </w:rPr>
              <w:t>一</w:t>
            </w:r>
            <w:r>
              <w:rPr>
                <w:rFonts w:hint="default" w:ascii="Times New Roman" w:hAnsi="Times New Roman" w:cs="Times New Roman"/>
                <w:color w:val="auto"/>
                <w:sz w:val="24"/>
                <w:szCs w:val="24"/>
              </w:rPr>
              <w:t>个</w:t>
            </w:r>
            <w:r>
              <w:rPr>
                <w:rFonts w:hint="default" w:ascii="Times New Roman" w:hAnsi="Times New Roman" w:cs="Times New Roman"/>
                <w:color w:val="auto"/>
                <w:sz w:val="24"/>
                <w:szCs w:val="24"/>
                <w:lang w:eastAsia="zh-CN"/>
              </w:rPr>
              <w:t>占地面积为</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eastAsia"/>
                <w:color w:val="auto"/>
                <w:sz w:val="24"/>
                <w:szCs w:val="24"/>
                <w:lang w:val="en-US" w:eastAsia="zh-CN"/>
              </w:rPr>
              <w:t>，</w:t>
            </w:r>
            <w:r>
              <w:rPr>
                <w:rFonts w:hint="eastAsia"/>
                <w:color w:val="auto"/>
                <w:sz w:val="24"/>
                <w:szCs w:val="24"/>
              </w:rPr>
              <w:t>库容积约</w:t>
            </w:r>
            <w:r>
              <w:rPr>
                <w:rFonts w:hint="eastAsia"/>
                <w:color w:val="auto"/>
                <w:sz w:val="24"/>
                <w:szCs w:val="24"/>
                <w:lang w:val="en-US" w:eastAsia="zh-CN"/>
              </w:rPr>
              <w:t>20</w:t>
            </w:r>
            <w:r>
              <w:rPr>
                <w:rFonts w:hint="eastAsia"/>
                <w:color w:val="auto"/>
                <w:sz w:val="24"/>
                <w:szCs w:val="24"/>
              </w:rPr>
              <w:t>m</w:t>
            </w:r>
            <w:r>
              <w:rPr>
                <w:rFonts w:hint="eastAsia"/>
                <w:color w:val="auto"/>
                <w:sz w:val="24"/>
                <w:szCs w:val="24"/>
                <w:vertAlign w:val="superscript"/>
              </w:rPr>
              <w:t>3</w:t>
            </w:r>
            <w:r>
              <w:rPr>
                <w:rFonts w:hint="default" w:ascii="Times New Roman" w:hAnsi="Times New Roman" w:cs="Times New Roman"/>
                <w:color w:val="auto"/>
                <w:sz w:val="24"/>
                <w:szCs w:val="24"/>
              </w:rPr>
              <w:t>的</w:t>
            </w:r>
            <w:r>
              <w:rPr>
                <w:rFonts w:hint="default" w:ascii="Times New Roman" w:hAnsi="Times New Roman" w:cs="Times New Roman"/>
                <w:color w:val="auto"/>
                <w:sz w:val="24"/>
                <w:szCs w:val="24"/>
                <w:lang w:val="en-US" w:eastAsia="zh-CN"/>
              </w:rPr>
              <w:t>危废暂存</w:t>
            </w:r>
            <w:r>
              <w:rPr>
                <w:rFonts w:hint="eastAsia" w:ascii="Times New Roman" w:hAnsi="Times New Roman" w:cs="Times New Roman"/>
                <w:color w:val="auto"/>
                <w:sz w:val="24"/>
                <w:szCs w:val="24"/>
                <w:lang w:val="en-US" w:eastAsia="zh-CN"/>
              </w:rPr>
              <w:t>间</w:t>
            </w:r>
            <w:r>
              <w:rPr>
                <w:rFonts w:hint="default" w:ascii="Times New Roman" w:hAnsi="Times New Roman" w:cs="Times New Roman"/>
                <w:color w:val="auto"/>
                <w:sz w:val="24"/>
                <w:szCs w:val="24"/>
              </w:rPr>
              <w:t>，</w:t>
            </w:r>
            <w:r>
              <w:rPr>
                <w:rFonts w:hint="default" w:ascii="Times New Roman" w:hAnsi="Times New Roman" w:cs="Times New Roman"/>
                <w:snapToGrid/>
                <w:color w:val="auto"/>
                <w:kern w:val="2"/>
                <w:sz w:val="24"/>
                <w:szCs w:val="24"/>
                <w:lang w:eastAsia="zh-CN"/>
              </w:rPr>
              <w:t>作为</w:t>
            </w:r>
            <w:r>
              <w:rPr>
                <w:rFonts w:hint="default" w:ascii="Times New Roman" w:hAnsi="Times New Roman" w:cs="Times New Roman"/>
                <w:snapToGrid/>
                <w:color w:val="auto"/>
                <w:kern w:val="2"/>
                <w:sz w:val="24"/>
                <w:szCs w:val="24"/>
                <w:lang w:val="en-US" w:eastAsia="zh-CN"/>
              </w:rPr>
              <w:t>全厂危废</w:t>
            </w:r>
            <w:r>
              <w:rPr>
                <w:rFonts w:hint="default" w:ascii="Times New Roman" w:hAnsi="Times New Roman" w:cs="Times New Roman"/>
                <w:snapToGrid/>
                <w:color w:val="auto"/>
                <w:kern w:val="2"/>
                <w:sz w:val="24"/>
                <w:szCs w:val="24"/>
                <w:lang w:eastAsia="zh-CN"/>
              </w:rPr>
              <w:t>处理前的临时暂存场所</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危废产生量为</w:t>
            </w:r>
            <w:r>
              <w:rPr>
                <w:rFonts w:hint="eastAsia" w:cs="Times New Roman"/>
                <w:color w:val="auto"/>
                <w:sz w:val="24"/>
                <w:szCs w:val="24"/>
                <w:lang w:val="en-US" w:eastAsia="zh-CN"/>
              </w:rPr>
              <w:t>13.52</w:t>
            </w:r>
            <w:r>
              <w:rPr>
                <w:rFonts w:hint="eastAsia" w:ascii="宋体" w:hAnsi="宋体" w:eastAsia="宋体" w:cs="宋体"/>
                <w:color w:val="auto"/>
                <w:kern w:val="2"/>
                <w:sz w:val="24"/>
                <w:szCs w:val="24"/>
                <w:lang w:val="en-US" w:eastAsia="zh-CN" w:bidi="ar-SA"/>
              </w:rPr>
              <w:t>t/a，</w:t>
            </w:r>
            <w:r>
              <w:rPr>
                <w:rFonts w:hint="eastAsia" w:ascii="Times New Roman" w:hAnsi="Times New Roman" w:cs="Times New Roman"/>
                <w:color w:val="auto"/>
                <w:sz w:val="24"/>
                <w:szCs w:val="24"/>
                <w:lang w:eastAsia="zh-CN"/>
              </w:rPr>
              <w:t>最长贮存周期为</w:t>
            </w:r>
            <w:r>
              <w:rPr>
                <w:rFonts w:hint="eastAsia" w:ascii="Times New Roman" w:hAnsi="Times New Roman" w:cs="Times New Roman"/>
                <w:color w:val="auto"/>
                <w:sz w:val="24"/>
                <w:szCs w:val="24"/>
                <w:lang w:val="en-US" w:eastAsia="zh-CN"/>
              </w:rPr>
              <w:t>3个月，</w:t>
            </w:r>
            <w:r>
              <w:rPr>
                <w:rFonts w:hint="default" w:ascii="Times New Roman" w:hAnsi="Times New Roman" w:cs="Times New Roman"/>
                <w:color w:val="auto"/>
                <w:sz w:val="24"/>
                <w:szCs w:val="24"/>
              </w:rPr>
              <w:t>库容量可完全满足要求</w:t>
            </w:r>
            <w:r>
              <w:rPr>
                <w:rFonts w:hint="default" w:ascii="Times New Roman" w:hAnsi="Times New Roman" w:cs="Times New Roman"/>
                <w:color w:val="auto"/>
                <w:sz w:val="24"/>
                <w:szCs w:val="24"/>
                <w:lang w:eastAsia="zh-CN"/>
              </w:rPr>
              <w:t>。</w:t>
            </w:r>
          </w:p>
          <w:p w14:paraId="7491BC15">
            <w:pPr>
              <w:widowControl/>
              <w:spacing w:line="360" w:lineRule="auto"/>
              <w:ind w:firstLine="480" w:firstLineChars="200"/>
              <w:jc w:val="left"/>
              <w:rPr>
                <w:rFonts w:asciiTheme="minorEastAsia" w:hAnsiTheme="minorEastAsia" w:cstheme="minorEastAsia"/>
                <w:color w:val="auto"/>
                <w:kern w:val="0"/>
                <w:sz w:val="24"/>
                <w:lang w:bidi="ar"/>
              </w:rPr>
            </w:pPr>
            <w:r>
              <w:rPr>
                <w:rFonts w:hint="eastAsia"/>
                <w:color w:val="auto"/>
                <w:sz w:val="24"/>
                <w:lang w:eastAsia="zh-CN"/>
              </w:rPr>
              <w:t>项目</w:t>
            </w:r>
            <w:r>
              <w:rPr>
                <w:rFonts w:hint="eastAsia" w:asciiTheme="minorEastAsia" w:hAnsiTheme="minorEastAsia" w:cstheme="minorEastAsia"/>
                <w:color w:val="auto"/>
                <w:kern w:val="0"/>
                <w:sz w:val="24"/>
                <w:lang w:bidi="ar"/>
              </w:rPr>
              <w:t>一般工业固废暂存间其建设应满足《一般工业固体废物贮存和填埋污染控制标准》（GB18599-2020）。采用库房、包装工具（罐、桶、包装袋等）贮存一般工业固体废物过程的污染控制，不适用本标准，其贮存过程应满足相应防渗漏、防雨淋、防扬尘等环境保护要求。另外，一般工业固体废物贮存间还要求：</w:t>
            </w:r>
          </w:p>
          <w:p w14:paraId="22E22411">
            <w:pPr>
              <w:widowControl/>
              <w:spacing w:line="360" w:lineRule="auto"/>
              <w:ind w:firstLine="480" w:firstLineChars="200"/>
              <w:jc w:val="left"/>
              <w:rPr>
                <w:rFonts w:asciiTheme="minorEastAsia" w:hAnsiTheme="minorEastAsia" w:cstheme="minorEastAsia"/>
                <w:color w:val="auto"/>
                <w:kern w:val="0"/>
                <w:sz w:val="24"/>
                <w:lang w:bidi="ar"/>
              </w:rPr>
            </w:pPr>
            <w:r>
              <w:rPr>
                <w:rFonts w:hint="eastAsia" w:asciiTheme="minorEastAsia" w:hAnsiTheme="minorEastAsia" w:cstheme="minorEastAsia"/>
                <w:color w:val="auto"/>
                <w:kern w:val="0"/>
                <w:sz w:val="24"/>
                <w:lang w:bidi="ar"/>
              </w:rPr>
              <w:t>①不相容的一般工业固体废物应设置不同的分区进行贮存。</w:t>
            </w:r>
          </w:p>
          <w:p w14:paraId="027062E9">
            <w:pPr>
              <w:spacing w:line="360" w:lineRule="auto"/>
              <w:ind w:firstLine="480" w:firstLineChars="200"/>
              <w:rPr>
                <w:rFonts w:hint="eastAsia" w:asciiTheme="minorEastAsia" w:hAnsiTheme="minorEastAsia" w:cstheme="minorEastAsia"/>
                <w:color w:val="auto"/>
                <w:kern w:val="0"/>
                <w:sz w:val="24"/>
                <w:lang w:bidi="ar"/>
              </w:rPr>
            </w:pPr>
            <w:r>
              <w:rPr>
                <w:rFonts w:hint="eastAsia" w:asciiTheme="minorEastAsia" w:hAnsiTheme="minorEastAsia" w:cstheme="minorEastAsia"/>
                <w:color w:val="auto"/>
                <w:kern w:val="0"/>
                <w:sz w:val="24"/>
                <w:lang w:bidi="ar"/>
              </w:rPr>
              <w:t>②危险废物和生活垃圾不得进入一般工业固体废物贮存间。</w:t>
            </w:r>
          </w:p>
          <w:p w14:paraId="4ABB0C5E">
            <w:pPr>
              <w:widowControl/>
              <w:spacing w:line="360" w:lineRule="auto"/>
              <w:ind w:firstLine="480" w:firstLineChars="200"/>
              <w:jc w:val="left"/>
              <w:rPr>
                <w:rFonts w:asciiTheme="minorEastAsia" w:hAnsiTheme="minorEastAsia" w:cstheme="minorEastAsia"/>
                <w:color w:val="auto"/>
                <w:kern w:val="0"/>
                <w:sz w:val="24"/>
                <w:lang w:bidi="ar"/>
              </w:rPr>
            </w:pPr>
            <w:r>
              <w:rPr>
                <w:rFonts w:hint="eastAsia" w:asciiTheme="minorEastAsia" w:hAnsiTheme="minorEastAsia" w:cstheme="minorEastAsia"/>
                <w:color w:val="auto"/>
                <w:kern w:val="0"/>
                <w:sz w:val="24"/>
                <w:lang w:eastAsia="zh-CN" w:bidi="ar"/>
              </w:rPr>
              <w:t>项目</w:t>
            </w:r>
            <w:r>
              <w:rPr>
                <w:rFonts w:hint="eastAsia" w:asciiTheme="minorEastAsia" w:hAnsiTheme="minorEastAsia" w:cstheme="minorEastAsia"/>
                <w:color w:val="auto"/>
                <w:kern w:val="0"/>
                <w:sz w:val="24"/>
                <w:lang w:bidi="ar"/>
              </w:rPr>
              <w:t>危废暂存间地面须采取防渗措施，防渗层为至少1m厚黏土层（渗透系数不大于10</w:t>
            </w:r>
            <w:r>
              <w:rPr>
                <w:rFonts w:hint="eastAsia" w:asciiTheme="minorEastAsia" w:hAnsiTheme="minorEastAsia" w:cstheme="minorEastAsia"/>
                <w:color w:val="auto"/>
                <w:kern w:val="0"/>
                <w:sz w:val="24"/>
                <w:vertAlign w:val="superscript"/>
                <w:lang w:bidi="ar"/>
              </w:rPr>
              <w:t>-7</w:t>
            </w:r>
            <w:r>
              <w:rPr>
                <w:rFonts w:hint="eastAsia" w:asciiTheme="minorEastAsia" w:hAnsiTheme="minorEastAsia" w:cstheme="minorEastAsia"/>
                <w:color w:val="auto"/>
                <w:kern w:val="0"/>
                <w:sz w:val="24"/>
                <w:lang w:bidi="ar"/>
              </w:rPr>
              <w:t>cm/s），或至少2mm厚高密度聚乙烯膜等人工防渗材料（渗透系数不大于10</w:t>
            </w:r>
            <w:r>
              <w:rPr>
                <w:rFonts w:hint="eastAsia" w:asciiTheme="minorEastAsia" w:hAnsiTheme="minorEastAsia" w:cstheme="minorEastAsia"/>
                <w:color w:val="auto"/>
                <w:kern w:val="0"/>
                <w:sz w:val="24"/>
                <w:vertAlign w:val="superscript"/>
                <w:lang w:bidi="ar"/>
              </w:rPr>
              <w:t>-10</w:t>
            </w:r>
            <w:r>
              <w:rPr>
                <w:rFonts w:hint="eastAsia" w:asciiTheme="minorEastAsia" w:hAnsiTheme="minorEastAsia" w:cstheme="minorEastAsia"/>
                <w:color w:val="auto"/>
                <w:kern w:val="0"/>
                <w:sz w:val="24"/>
                <w:lang w:bidi="ar"/>
              </w:rPr>
              <w:t>cm/s）。建设单位应严格执行《危险废物贮存污染控制标准》 （GB18597-2023）中的有关规定，同时其收集、运输、包装等应符合《危险废物污染防治技术政策》中的有关规定，最终交由有资质单位负责处置。</w:t>
            </w:r>
          </w:p>
          <w:p w14:paraId="3C00A51E">
            <w:pPr>
              <w:widowControl/>
              <w:spacing w:line="360" w:lineRule="auto"/>
              <w:ind w:firstLine="480" w:firstLineChars="200"/>
              <w:jc w:val="left"/>
              <w:rPr>
                <w:rFonts w:asciiTheme="minorEastAsia" w:hAnsiTheme="minorEastAsia" w:cstheme="minorEastAsia"/>
                <w:color w:val="auto"/>
                <w:sz w:val="24"/>
              </w:rPr>
            </w:pPr>
            <w:r>
              <w:rPr>
                <w:rFonts w:hint="eastAsia" w:asciiTheme="minorEastAsia" w:hAnsiTheme="minorEastAsia" w:cstheme="minorEastAsia"/>
                <w:color w:val="auto"/>
                <w:kern w:val="0"/>
                <w:sz w:val="24"/>
                <w:lang w:bidi="ar"/>
              </w:rPr>
              <w:t xml:space="preserve">项目产生的固态危险废物可用包装容器或桶进行盛装，以避免吸附废气挥发造成大气环境污染。各包装容器/包装袋必须完好无损，且材质和衬里要与危险废物相容（不相互反应）；包装容器/包装袋必须及时贴上危险废物标签，必须包含以下说明（危险废物产生单位名称、联系人、联系电话、主要化学成分、危险类别、安全措施、入库时间等）。 </w:t>
            </w:r>
          </w:p>
          <w:p w14:paraId="67B4759B">
            <w:pPr>
              <w:widowControl/>
              <w:wordWrap w:val="0"/>
              <w:spacing w:line="360" w:lineRule="auto"/>
              <w:ind w:firstLine="480" w:firstLineChars="200"/>
              <w:jc w:val="left"/>
              <w:rPr>
                <w:rFonts w:asciiTheme="minorEastAsia" w:hAnsiTheme="minorEastAsia" w:cstheme="minorEastAsia"/>
                <w:color w:val="auto"/>
                <w:sz w:val="24"/>
              </w:rPr>
            </w:pPr>
            <w:r>
              <w:rPr>
                <w:rFonts w:hint="eastAsia" w:asciiTheme="minorEastAsia" w:hAnsiTheme="minorEastAsia" w:cstheme="minorEastAsia"/>
                <w:color w:val="auto"/>
                <w:kern w:val="0"/>
                <w:sz w:val="24"/>
                <w:lang w:bidi="ar"/>
              </w:rPr>
              <w:t>a、收集、暂存：若产生的危险废物不能立即运往处置，则必须暂存于厂区内专用危险废物贮存设施内。本项目各危废产生点至危废暂存间之间的转运均在</w:t>
            </w:r>
            <w:r>
              <w:rPr>
                <w:rFonts w:hint="eastAsia" w:asciiTheme="minorEastAsia" w:hAnsiTheme="minorEastAsia" w:cstheme="minorEastAsia"/>
                <w:color w:val="auto"/>
                <w:kern w:val="0"/>
                <w:sz w:val="24"/>
                <w:lang w:eastAsia="zh-CN" w:bidi="ar"/>
              </w:rPr>
              <w:t>厂区</w:t>
            </w:r>
            <w:r>
              <w:rPr>
                <w:rFonts w:hint="eastAsia" w:asciiTheme="minorEastAsia" w:hAnsiTheme="minorEastAsia" w:cstheme="minorEastAsia"/>
                <w:color w:val="auto"/>
                <w:kern w:val="0"/>
                <w:sz w:val="24"/>
                <w:lang w:bidi="ar"/>
              </w:rPr>
              <w:t xml:space="preserve">内完成，转运路线上不涉及环境敏感点。贮存场所四周应有以混凝土、砖或经防腐处理的钢材等材料监测的围墙或围栏，顶部设有防晒防雨防台风遮盖物，地面四周设有防溢漏的裙脚，同时建有渗滤液收集渠与收集池。贮存设施内应留有足够工作人员和搬运工具的通行过道。贮存设施只可供危险废物存放，不可混入一般非危险固废。化学性质不相容的危险废物必须分隔堆放，其间隔须为完整的不渗透墙体，同时各自渗滤液收集渠与收集池也必须独立设置。危险废物分类堆放区域的醒目位置须设置该类废物的标志牌，含危险废物名称、危废代码等信息。危险废物厂区内暂存时应加强管理，按照《危险废物贮存污染控制标准》（GB18597-2023）、《危险废物收集贮存运输技术规范》（HJ 2025-2012）进行控制，日常管理中要履行申报的登记制度、建立台帐制度。 </w:t>
            </w:r>
          </w:p>
          <w:p w14:paraId="427818F3">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eastAsia="宋体"/>
                <w:color w:val="auto"/>
                <w:lang w:eastAsia="zh-CN"/>
              </w:rPr>
            </w:pPr>
            <w:r>
              <w:rPr>
                <w:rFonts w:hint="eastAsia" w:asciiTheme="minorEastAsia" w:hAnsiTheme="minorEastAsia" w:cstheme="minorEastAsia"/>
                <w:color w:val="auto"/>
                <w:kern w:val="0"/>
                <w:sz w:val="24"/>
                <w:lang w:bidi="ar"/>
              </w:rPr>
              <w:t>b、转移、处置：企业须与具有危险废物处理资质的单位签定接收处理协议，各类危险废物须委托有资质单位处置，转移时严格履行国家与地方政府关于危险废物转移的有关规定，并报生态环境主管部门备案，落实追踪制度，严防二次污染，杜绝随意交易和私自随意处置，危废厂外运输须由有资质的运输机构负责，采用封闭车辆运输，降低对运输沿线环境影响。</w:t>
            </w:r>
          </w:p>
          <w:p w14:paraId="5693A0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综上所述，</w:t>
            </w:r>
            <w:r>
              <w:rPr>
                <w:rFonts w:hint="eastAsia" w:asciiTheme="minorEastAsia" w:hAnsiTheme="minorEastAsia" w:eastAsiaTheme="minorEastAsia" w:cstheme="minorEastAsia"/>
                <w:color w:val="auto"/>
                <w:sz w:val="24"/>
                <w:szCs w:val="24"/>
              </w:rPr>
              <w:t>本项目实施后对固体废物的处置应本着减量化、资源化、无害化的原则，进行妥善处理，预计可以避免对环境造成二次污染，不会对环境造成不利影响</w:t>
            </w:r>
            <w:r>
              <w:rPr>
                <w:rFonts w:hint="eastAsia" w:asciiTheme="minorEastAsia" w:hAnsiTheme="minorEastAsia" w:eastAsiaTheme="minorEastAsia" w:cstheme="minorEastAsia"/>
                <w:color w:val="auto"/>
                <w:kern w:val="0"/>
                <w:sz w:val="24"/>
                <w:szCs w:val="24"/>
              </w:rPr>
              <w:t>。</w:t>
            </w:r>
          </w:p>
          <w:p w14:paraId="5691D6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五、地下水、土壤环境影响分析</w:t>
            </w:r>
          </w:p>
          <w:p w14:paraId="5A6F2AAD">
            <w:pPr>
              <w:pStyle w:val="75"/>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firstLineChars="200"/>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1</w:t>
            </w:r>
            <w:r>
              <w:rPr>
                <w:rFonts w:hint="eastAsia" w:ascii="Times New Roman" w:hAnsi="Times New Roman" w:eastAsia="宋体" w:cs="Times New Roman"/>
                <w:b w:val="0"/>
                <w:bCs w:val="0"/>
                <w:color w:val="auto"/>
                <w:sz w:val="24"/>
                <w:szCs w:val="24"/>
                <w:lang w:eastAsia="zh-CN"/>
              </w:rPr>
              <w:t>）</w:t>
            </w:r>
            <w:r>
              <w:rPr>
                <w:rFonts w:hint="eastAsia" w:ascii="宋体" w:hAnsi="宋体"/>
                <w:b w:val="0"/>
                <w:bCs w:val="0"/>
                <w:color w:val="auto"/>
                <w:sz w:val="24"/>
                <w:szCs w:val="24"/>
              </w:rPr>
              <w:t>地下水、土壤污染源、污染类型和污染途径</w:t>
            </w:r>
          </w:p>
          <w:p w14:paraId="5EED201D">
            <w:pPr>
              <w:pStyle w:val="75"/>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ascii="Times New Roman" w:hAnsi="Times New Roman"/>
                <w:b w:val="0"/>
                <w:bCs w:val="0"/>
                <w:color w:val="auto"/>
                <w:sz w:val="24"/>
                <w:szCs w:val="24"/>
              </w:rPr>
              <w:t>地下水</w:t>
            </w:r>
            <w:r>
              <w:rPr>
                <w:rFonts w:hint="eastAsia" w:ascii="Times New Roman" w:hAnsi="Times New Roman"/>
                <w:b w:val="0"/>
                <w:bCs w:val="0"/>
                <w:color w:val="auto"/>
                <w:sz w:val="24"/>
                <w:szCs w:val="24"/>
              </w:rPr>
              <w:t>、土壤</w:t>
            </w:r>
            <w:r>
              <w:rPr>
                <w:rFonts w:ascii="Times New Roman" w:hAnsi="Times New Roman"/>
                <w:b w:val="0"/>
                <w:bCs w:val="0"/>
                <w:color w:val="auto"/>
                <w:sz w:val="24"/>
                <w:szCs w:val="24"/>
              </w:rPr>
              <w:t>污染源</w:t>
            </w:r>
          </w:p>
          <w:p w14:paraId="658A0D2E">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auto"/>
                <w:sz w:val="24"/>
                <w:szCs w:val="24"/>
              </w:rPr>
            </w:pPr>
            <w:r>
              <w:rPr>
                <w:rFonts w:hint="eastAsia" w:ascii="宋体" w:hAnsi="宋体"/>
                <w:b w:val="0"/>
                <w:bCs w:val="0"/>
                <w:color w:val="auto"/>
                <w:sz w:val="24"/>
                <w:szCs w:val="24"/>
              </w:rPr>
              <w:t>地下水、土壤污染源主要为</w:t>
            </w:r>
            <w:r>
              <w:rPr>
                <w:rFonts w:hint="eastAsia" w:ascii="宋体" w:hAnsi="宋体"/>
                <w:b w:val="0"/>
                <w:bCs w:val="0"/>
                <w:color w:val="auto"/>
                <w:sz w:val="24"/>
                <w:szCs w:val="24"/>
                <w:lang w:val="en-US" w:eastAsia="zh-CN"/>
              </w:rPr>
              <w:t>危废暂存库、污水处理设施、</w:t>
            </w:r>
            <w:r>
              <w:rPr>
                <w:rFonts w:hint="eastAsia" w:ascii="宋体" w:hAnsi="宋体"/>
                <w:b w:val="0"/>
                <w:bCs w:val="0"/>
                <w:color w:val="auto"/>
                <w:sz w:val="24"/>
                <w:szCs w:val="24"/>
              </w:rPr>
              <w:t>等地面防渗层破裂，有害物泄漏并渗入地下导致地下水和土壤污染。各类固体废物处理不当，其中有害物质经雨水淋溶、流失，渗入地下导致地下水和土壤污染。</w:t>
            </w:r>
          </w:p>
          <w:p w14:paraId="74B068FA">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ascii="Times New Roman" w:hAnsi="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2）</w:t>
            </w:r>
            <w:r>
              <w:rPr>
                <w:rFonts w:ascii="Times New Roman" w:hAnsi="Times New Roman"/>
                <w:b w:val="0"/>
                <w:bCs w:val="0"/>
                <w:color w:val="auto"/>
                <w:sz w:val="24"/>
                <w:szCs w:val="24"/>
              </w:rPr>
              <w:t>地下水</w:t>
            </w:r>
            <w:r>
              <w:rPr>
                <w:rFonts w:hint="eastAsia" w:ascii="Times New Roman" w:hAnsi="Times New Roman"/>
                <w:b w:val="0"/>
                <w:bCs w:val="0"/>
                <w:color w:val="auto"/>
                <w:sz w:val="24"/>
                <w:szCs w:val="24"/>
              </w:rPr>
              <w:t>、土壤</w:t>
            </w:r>
            <w:r>
              <w:rPr>
                <w:rFonts w:ascii="Times New Roman" w:hAnsi="Times New Roman"/>
                <w:b w:val="0"/>
                <w:bCs w:val="0"/>
                <w:color w:val="auto"/>
                <w:sz w:val="24"/>
                <w:szCs w:val="24"/>
              </w:rPr>
              <w:t>污染途径</w:t>
            </w:r>
          </w:p>
          <w:p w14:paraId="3E26650A">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ascii="Times New Roman" w:hAnsi="Times New Roman"/>
                <w:b w:val="0"/>
                <w:bCs w:val="0"/>
                <w:color w:val="auto"/>
                <w:sz w:val="24"/>
                <w:szCs w:val="24"/>
              </w:rPr>
            </w:pPr>
            <w:r>
              <w:rPr>
                <w:rFonts w:ascii="Times New Roman" w:hAnsi="Times New Roman"/>
                <w:b w:val="0"/>
                <w:bCs w:val="0"/>
                <w:color w:val="auto"/>
                <w:sz w:val="24"/>
                <w:szCs w:val="24"/>
              </w:rPr>
              <w:t>本项目对地下水</w:t>
            </w:r>
            <w:r>
              <w:rPr>
                <w:rFonts w:hint="eastAsia" w:ascii="Times New Roman" w:hAnsi="Times New Roman"/>
                <w:b w:val="0"/>
                <w:bCs w:val="0"/>
                <w:color w:val="auto"/>
                <w:sz w:val="24"/>
                <w:szCs w:val="24"/>
              </w:rPr>
              <w:t>及土壤</w:t>
            </w:r>
            <w:r>
              <w:rPr>
                <w:rFonts w:ascii="Times New Roman" w:hAnsi="Times New Roman"/>
                <w:b w:val="0"/>
                <w:bCs w:val="0"/>
                <w:color w:val="auto"/>
                <w:sz w:val="24"/>
                <w:szCs w:val="24"/>
              </w:rPr>
              <w:t>产生污染的途径主要是渗透污染。渗透污染是导致地下水污染的普遍和主要方式，主要产生可能性来自：</w:t>
            </w:r>
          </w:p>
          <w:p w14:paraId="789A6D0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color w:val="auto"/>
                <w:sz w:val="24"/>
                <w:szCs w:val="24"/>
                <w:highlight w:val="none"/>
                <w:shd w:val="clear" w:color="auto" w:fill="auto"/>
                <w:lang w:eastAsia="zh-CN"/>
              </w:rPr>
            </w:pPr>
            <w:r>
              <w:rPr>
                <w:rFonts w:hint="eastAsia"/>
                <w:color w:val="auto"/>
                <w:sz w:val="24"/>
                <w:szCs w:val="24"/>
                <w:highlight w:val="none"/>
                <w:shd w:val="clear" w:color="auto" w:fill="auto"/>
                <w:lang w:val="en-US" w:eastAsia="zh-CN"/>
              </w:rPr>
              <w:t>①</w:t>
            </w:r>
            <w:r>
              <w:rPr>
                <w:color w:val="auto"/>
                <w:sz w:val="24"/>
                <w:szCs w:val="24"/>
                <w:highlight w:val="none"/>
                <w:shd w:val="clear" w:color="auto" w:fill="auto"/>
              </w:rPr>
              <w:t>危险废</w:t>
            </w:r>
            <w:r>
              <w:rPr>
                <w:rFonts w:hint="eastAsia"/>
                <w:color w:val="auto"/>
                <w:sz w:val="24"/>
                <w:szCs w:val="24"/>
                <w:highlight w:val="none"/>
                <w:shd w:val="clear" w:color="auto" w:fill="auto"/>
              </w:rPr>
              <w:t>物</w:t>
            </w:r>
            <w:r>
              <w:rPr>
                <w:color w:val="auto"/>
                <w:sz w:val="24"/>
                <w:szCs w:val="24"/>
                <w:highlight w:val="none"/>
                <w:shd w:val="clear" w:color="auto" w:fill="auto"/>
              </w:rPr>
              <w:t>由于收集、贮放、运输、处置等环节的不严格或不妥善</w:t>
            </w:r>
            <w:r>
              <w:rPr>
                <w:rFonts w:hint="eastAsia"/>
                <w:color w:val="auto"/>
                <w:sz w:val="24"/>
                <w:szCs w:val="24"/>
                <w:highlight w:val="none"/>
                <w:shd w:val="clear" w:color="auto" w:fill="auto"/>
                <w:lang w:val="en-US" w:eastAsia="zh-CN"/>
              </w:rPr>
              <w:t>发生</w:t>
            </w:r>
            <w:r>
              <w:rPr>
                <w:color w:val="auto"/>
                <w:sz w:val="24"/>
                <w:szCs w:val="24"/>
                <w:highlight w:val="none"/>
                <w:shd w:val="clear" w:color="auto" w:fill="auto"/>
              </w:rPr>
              <w:t>渗漏</w:t>
            </w:r>
            <w:r>
              <w:rPr>
                <w:rFonts w:hint="eastAsia"/>
                <w:color w:val="auto"/>
                <w:sz w:val="24"/>
                <w:szCs w:val="24"/>
                <w:highlight w:val="none"/>
                <w:shd w:val="clear" w:color="auto" w:fill="auto"/>
              </w:rPr>
              <w:t>，从而</w:t>
            </w:r>
            <w:r>
              <w:rPr>
                <w:color w:val="auto"/>
                <w:sz w:val="24"/>
                <w:szCs w:val="24"/>
                <w:highlight w:val="none"/>
                <w:shd w:val="clear" w:color="auto" w:fill="auto"/>
              </w:rPr>
              <w:t>造成土壤、地下水污染</w:t>
            </w:r>
            <w:r>
              <w:rPr>
                <w:rFonts w:hint="eastAsia"/>
                <w:color w:val="auto"/>
                <w:sz w:val="24"/>
                <w:szCs w:val="24"/>
                <w:highlight w:val="none"/>
                <w:shd w:val="clear" w:color="auto" w:fill="auto"/>
                <w:lang w:eastAsia="zh-CN"/>
              </w:rPr>
              <w:t>。</w:t>
            </w:r>
          </w:p>
          <w:p w14:paraId="639449D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shd w:val="clear" w:color="auto" w:fill="auto"/>
                <w:lang w:eastAsia="zh-CN"/>
              </w:rPr>
              <w:t>②</w:t>
            </w:r>
            <w:r>
              <w:rPr>
                <w:rFonts w:hint="default" w:ascii="Times New Roman" w:hAnsi="Times New Roman" w:eastAsia="宋体" w:cs="Times New Roman"/>
                <w:color w:val="auto"/>
                <w:sz w:val="24"/>
                <w:szCs w:val="24"/>
                <w:highlight w:val="none"/>
              </w:rPr>
              <w:t>污水处理系统的跑、冒、滴、漏等影响，废水下渗对地下水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土壤</w:t>
            </w:r>
            <w:r>
              <w:rPr>
                <w:rFonts w:hint="default" w:ascii="Times New Roman" w:hAnsi="Times New Roman" w:eastAsia="宋体" w:cs="Times New Roman"/>
                <w:color w:val="auto"/>
                <w:sz w:val="24"/>
                <w:szCs w:val="24"/>
                <w:highlight w:val="none"/>
              </w:rPr>
              <w:t>造成污染</w:t>
            </w:r>
            <w:r>
              <w:rPr>
                <w:rFonts w:hint="eastAsia" w:ascii="Times New Roman" w:hAnsi="Times New Roman" w:eastAsia="宋体" w:cs="Times New Roman"/>
                <w:color w:val="auto"/>
                <w:sz w:val="24"/>
                <w:szCs w:val="24"/>
                <w:highlight w:val="none"/>
                <w:lang w:eastAsia="zh-CN"/>
              </w:rPr>
              <w:t>。</w:t>
            </w:r>
          </w:p>
          <w:p w14:paraId="127D1AA3">
            <w:pPr>
              <w:pStyle w:val="75"/>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w:t>
            </w:r>
            <w:r>
              <w:rPr>
                <w:rFonts w:hint="eastAsia" w:ascii="Times New Roman" w:hAnsi="Times New Roman"/>
                <w:b w:val="0"/>
                <w:bCs w:val="0"/>
                <w:color w:val="auto"/>
                <w:sz w:val="24"/>
                <w:szCs w:val="24"/>
              </w:rPr>
              <w:t>影响分析</w:t>
            </w:r>
          </w:p>
          <w:p w14:paraId="653F59DE">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color w:val="auto"/>
                <w:sz w:val="24"/>
                <w:szCs w:val="24"/>
              </w:rPr>
            </w:pPr>
            <w:r>
              <w:rPr>
                <w:rFonts w:hint="eastAsia" w:ascii="Times New Roman" w:hAnsi="Times New Roman"/>
                <w:color w:val="auto"/>
                <w:sz w:val="24"/>
                <w:szCs w:val="24"/>
              </w:rPr>
              <w:t>①正常情况下地下水环境影响分析</w:t>
            </w:r>
          </w:p>
          <w:p w14:paraId="1F5AEDEC">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color w:val="auto"/>
                <w:sz w:val="24"/>
                <w:szCs w:val="24"/>
              </w:rPr>
            </w:pPr>
            <w:r>
              <w:rPr>
                <w:rFonts w:hint="eastAsia" w:ascii="Times New Roman" w:hAnsi="Times New Roman"/>
                <w:color w:val="auto"/>
                <w:sz w:val="24"/>
                <w:szCs w:val="24"/>
              </w:rPr>
              <w:t>通过采取本评价提出的环保措施后，对污水处理设施、危废暂存</w:t>
            </w:r>
            <w:r>
              <w:rPr>
                <w:rFonts w:hint="eastAsia" w:ascii="Times New Roman" w:hAnsi="Times New Roman"/>
                <w:color w:val="auto"/>
                <w:sz w:val="24"/>
                <w:szCs w:val="24"/>
                <w:lang w:val="en-US" w:eastAsia="zh-CN"/>
              </w:rPr>
              <w:t>库等</w:t>
            </w:r>
            <w:r>
              <w:rPr>
                <w:rFonts w:hint="eastAsia" w:ascii="Times New Roman" w:hAnsi="Times New Roman"/>
                <w:color w:val="auto"/>
                <w:sz w:val="24"/>
                <w:szCs w:val="24"/>
              </w:rPr>
              <w:t>进行严格的防渗处理后，</w:t>
            </w:r>
            <w:r>
              <w:rPr>
                <w:rFonts w:hint="eastAsia" w:ascii="Times New Roman" w:hAnsi="Times New Roman"/>
                <w:color w:val="auto"/>
                <w:sz w:val="24"/>
                <w:szCs w:val="24"/>
                <w:lang w:val="en-US" w:eastAsia="zh-CN"/>
              </w:rPr>
              <w:t>不会</w:t>
            </w:r>
            <w:r>
              <w:rPr>
                <w:rFonts w:hint="eastAsia" w:ascii="Times New Roman" w:hAnsi="Times New Roman"/>
                <w:color w:val="auto"/>
                <w:sz w:val="24"/>
                <w:szCs w:val="24"/>
              </w:rPr>
              <w:t>对地下水及土壤造成污染。</w:t>
            </w:r>
          </w:p>
          <w:p w14:paraId="7C7C70E7">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color w:val="auto"/>
                <w:sz w:val="24"/>
                <w:szCs w:val="24"/>
              </w:rPr>
            </w:pPr>
            <w:r>
              <w:rPr>
                <w:rFonts w:hint="eastAsia" w:ascii="Times New Roman" w:hAnsi="Times New Roman"/>
                <w:color w:val="auto"/>
                <w:sz w:val="24"/>
                <w:szCs w:val="24"/>
              </w:rPr>
              <w:t>②非正常情况下地下水环境影响分析</w:t>
            </w:r>
          </w:p>
          <w:p w14:paraId="416412E9">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color w:val="auto"/>
                <w:sz w:val="24"/>
                <w:szCs w:val="24"/>
              </w:rPr>
            </w:pPr>
            <w:r>
              <w:rPr>
                <w:rFonts w:hint="eastAsia" w:ascii="Times New Roman" w:hAnsi="Times New Roman"/>
                <w:color w:val="auto"/>
                <w:sz w:val="24"/>
                <w:szCs w:val="24"/>
              </w:rPr>
              <w:t>根据场地水文地质条件，污水处理设施、危废暂存</w:t>
            </w:r>
            <w:r>
              <w:rPr>
                <w:rFonts w:hint="eastAsia" w:ascii="Times New Roman" w:hAnsi="Times New Roman"/>
                <w:color w:val="auto"/>
                <w:sz w:val="24"/>
                <w:szCs w:val="24"/>
                <w:lang w:val="en-US" w:eastAsia="zh-CN"/>
              </w:rPr>
              <w:t>库</w:t>
            </w:r>
            <w:r>
              <w:rPr>
                <w:rFonts w:hint="eastAsia" w:ascii="Times New Roman" w:hAnsi="Times New Roman"/>
                <w:color w:val="auto"/>
                <w:sz w:val="24"/>
                <w:szCs w:val="24"/>
              </w:rPr>
              <w:t>若发生渗漏，废水或液态危废将通过地表水入渗进入地下污染地下水及土壤。</w:t>
            </w:r>
          </w:p>
          <w:p w14:paraId="155D6F76">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color w:val="auto"/>
                <w:sz w:val="24"/>
                <w:szCs w:val="24"/>
              </w:rPr>
            </w:pPr>
            <w:r>
              <w:rPr>
                <w:rFonts w:hint="eastAsia" w:ascii="Times New Roman" w:hAnsi="Times New Roman"/>
                <w:color w:val="auto"/>
                <w:sz w:val="24"/>
                <w:szCs w:val="24"/>
              </w:rPr>
              <w:t>由于污染物的存在，非正常状况下，将不可避免的会对项目所在区域周围的地下水及土壤产生一定程度的污染。因此，建设单位应积极采取有效的防渗措施，定期监控，一旦发现液态危废渗漏后，采取有效的应急措施，避免泄漏持续发生。</w:t>
            </w:r>
          </w:p>
          <w:p w14:paraId="204670F7">
            <w:pPr>
              <w:pStyle w:val="75"/>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）地下水、土壤防控措施</w:t>
            </w:r>
          </w:p>
          <w:p w14:paraId="3FE351BA">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本项目对地下水和土壤可能造成污染主要集中在项目运行期。针对可能发生的地下水和土壤污染，本项目污染防治措施“源头控制、分区防渗、污染监控、应急响应”相结合的原则，从污染物的产生、入渗、扩散、应急响应全方位进行防控。</w:t>
            </w:r>
          </w:p>
          <w:p w14:paraId="702D578E">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宋体"/>
                <w:color w:val="auto"/>
                <w:sz w:val="24"/>
                <w:szCs w:val="24"/>
              </w:rPr>
            </w:pPr>
            <w:bookmarkStart w:id="4" w:name="_Toc28270"/>
            <w:bookmarkStart w:id="5" w:name="_Toc477939821"/>
            <w:r>
              <w:rPr>
                <w:rFonts w:hint="eastAsia" w:ascii="Times New Roman" w:hAnsi="Times New Roman" w:eastAsia="宋体" w:cs="宋体"/>
                <w:color w:val="auto"/>
                <w:sz w:val="24"/>
                <w:szCs w:val="24"/>
              </w:rPr>
              <w:t>1）源头控制</w:t>
            </w:r>
            <w:bookmarkEnd w:id="4"/>
            <w:bookmarkEnd w:id="5"/>
          </w:p>
          <w:p w14:paraId="2F39B680">
            <w:pPr>
              <w:spacing w:line="360" w:lineRule="auto"/>
              <w:ind w:firstLine="480" w:firstLineChars="200"/>
              <w:rPr>
                <w:color w:val="auto"/>
                <w:sz w:val="24"/>
              </w:rPr>
            </w:pPr>
            <w:r>
              <w:rPr>
                <w:rFonts w:hAnsi="宋体"/>
                <w:color w:val="auto"/>
                <w:sz w:val="24"/>
              </w:rPr>
              <w:t>加强对各生产单元</w:t>
            </w:r>
            <w:r>
              <w:rPr>
                <w:rFonts w:hint="eastAsia" w:hAnsi="宋体"/>
                <w:color w:val="auto"/>
                <w:sz w:val="24"/>
              </w:rPr>
              <w:t>，如危废暂存间、化粪池、水</w:t>
            </w:r>
            <w:r>
              <w:rPr>
                <w:rFonts w:hint="eastAsia" w:hAnsi="宋体" w:eastAsia="宋体"/>
                <w:color w:val="auto"/>
                <w:sz w:val="24"/>
                <w:lang w:val="en-US" w:eastAsia="zh-CN"/>
              </w:rPr>
              <w:t>洗</w:t>
            </w:r>
            <w:r>
              <w:rPr>
                <w:rFonts w:hint="eastAsia" w:hAnsi="宋体"/>
                <w:color w:val="auto"/>
                <w:sz w:val="24"/>
              </w:rPr>
              <w:t>池、循环水池及生产设备</w:t>
            </w:r>
            <w:r>
              <w:rPr>
                <w:rFonts w:hAnsi="宋体"/>
                <w:color w:val="auto"/>
                <w:sz w:val="24"/>
              </w:rPr>
              <w:t>的巡视和监控。对相关单元进行日常监控和维护，确保各项工程运行处</w:t>
            </w:r>
            <w:r>
              <w:rPr>
                <w:rFonts w:hint="eastAsia" w:hAnsi="宋体"/>
                <w:color w:val="auto"/>
                <w:sz w:val="24"/>
              </w:rPr>
              <w:t>于</w:t>
            </w:r>
            <w:r>
              <w:rPr>
                <w:rFonts w:hAnsi="宋体"/>
                <w:color w:val="auto"/>
                <w:sz w:val="24"/>
              </w:rPr>
              <w:t>良好的状态，一旦发生设备或单元异常，应该及时检查，尽量避免各设备、单元中的</w:t>
            </w:r>
            <w:r>
              <w:rPr>
                <w:rFonts w:hint="eastAsia" w:hAnsi="宋体"/>
                <w:color w:val="auto"/>
                <w:sz w:val="24"/>
              </w:rPr>
              <w:t>污染物跑</w:t>
            </w:r>
            <w:r>
              <w:rPr>
                <w:rFonts w:hAnsi="宋体"/>
                <w:color w:val="auto"/>
                <w:sz w:val="24"/>
              </w:rPr>
              <w:t>、冒、滴、漏以及原材料、危险废物泄漏现象，力求将泄漏的环境风险事故降到最低程度。</w:t>
            </w:r>
          </w:p>
          <w:p w14:paraId="27D6CDA3">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宋体"/>
                <w:color w:val="auto"/>
                <w:sz w:val="24"/>
                <w:szCs w:val="24"/>
              </w:rPr>
            </w:pPr>
            <w:r>
              <w:rPr>
                <w:rFonts w:hAnsi="宋体"/>
                <w:color w:val="auto"/>
                <w:sz w:val="24"/>
              </w:rPr>
              <w:t>厂区采用硬化地面，对区域地下水环境质量的影响较小</w:t>
            </w:r>
            <w:r>
              <w:rPr>
                <w:rFonts w:hint="eastAsia" w:ascii="Times New Roman" w:hAnsi="Times New Roman" w:eastAsia="宋体" w:cs="宋体"/>
                <w:color w:val="auto"/>
                <w:sz w:val="24"/>
                <w:szCs w:val="24"/>
              </w:rPr>
              <w:t>。</w:t>
            </w:r>
          </w:p>
          <w:p w14:paraId="6CC598B6">
            <w:pPr>
              <w:adjustRightInd w:val="0"/>
              <w:snapToGrid w:val="0"/>
              <w:spacing w:line="360" w:lineRule="auto"/>
              <w:ind w:firstLine="480" w:firstLineChars="200"/>
              <w:jc w:val="left"/>
              <w:rPr>
                <w:rFonts w:cs="宋体"/>
                <w:color w:val="auto"/>
                <w:sz w:val="24"/>
              </w:rPr>
            </w:pPr>
            <w:r>
              <w:rPr>
                <w:rFonts w:cs="宋体"/>
                <w:color w:val="auto"/>
                <w:sz w:val="24"/>
              </w:rPr>
              <w:t>2）过程防控措施</w:t>
            </w:r>
          </w:p>
          <w:p w14:paraId="3A581F49">
            <w:pPr>
              <w:adjustRightInd w:val="0"/>
              <w:snapToGrid w:val="0"/>
              <w:spacing w:line="360" w:lineRule="auto"/>
              <w:ind w:firstLine="480" w:firstLineChars="200"/>
              <w:jc w:val="left"/>
              <w:rPr>
                <w:rFonts w:cs="宋体"/>
                <w:color w:val="auto"/>
                <w:sz w:val="24"/>
              </w:rPr>
            </w:pPr>
            <w:r>
              <w:rPr>
                <w:rFonts w:cs="宋体"/>
                <w:color w:val="auto"/>
                <w:sz w:val="24"/>
              </w:rPr>
              <w:t>建设项目根据行业特点与占地范围内的土壤特性，按照相关技术要求采取过程阻断、污染物削减和分区防控措施。</w:t>
            </w:r>
          </w:p>
          <w:p w14:paraId="4F26C90D">
            <w:pPr>
              <w:adjustRightInd w:val="0"/>
              <w:snapToGrid w:val="0"/>
              <w:spacing w:line="360" w:lineRule="auto"/>
              <w:ind w:firstLine="480" w:firstLineChars="200"/>
              <w:jc w:val="left"/>
              <w:rPr>
                <w:rFonts w:cs="宋体"/>
                <w:color w:val="auto"/>
                <w:sz w:val="24"/>
              </w:rPr>
            </w:pPr>
            <w:r>
              <w:rPr>
                <w:rFonts w:cs="宋体"/>
                <w:color w:val="auto"/>
                <w:sz w:val="24"/>
              </w:rPr>
              <w:t>危废暂存间</w:t>
            </w:r>
            <w:r>
              <w:rPr>
                <w:rFonts w:hint="eastAsia" w:cs="宋体"/>
                <w:color w:val="auto"/>
                <w:sz w:val="24"/>
              </w:rPr>
              <w:t>、化粪池、水</w:t>
            </w:r>
            <w:r>
              <w:rPr>
                <w:rFonts w:hint="eastAsia" w:eastAsia="宋体" w:cs="宋体"/>
                <w:color w:val="auto"/>
                <w:sz w:val="24"/>
                <w:lang w:val="en-US" w:eastAsia="zh-CN"/>
              </w:rPr>
              <w:t>洗</w:t>
            </w:r>
            <w:r>
              <w:rPr>
                <w:rFonts w:hint="eastAsia" w:cs="宋体"/>
                <w:color w:val="auto"/>
                <w:sz w:val="24"/>
              </w:rPr>
              <w:t>池、循环水池</w:t>
            </w:r>
            <w:r>
              <w:rPr>
                <w:rFonts w:cs="宋体"/>
                <w:color w:val="auto"/>
                <w:sz w:val="24"/>
              </w:rPr>
              <w:t>为重点防渗区，按要求进行防腐防渗措施。项目产生的</w:t>
            </w:r>
            <w:r>
              <w:rPr>
                <w:rFonts w:hint="eastAsia" w:cs="宋体"/>
                <w:color w:val="auto"/>
                <w:sz w:val="24"/>
              </w:rPr>
              <w:t>固体废物</w:t>
            </w:r>
            <w:r>
              <w:rPr>
                <w:rFonts w:cs="宋体"/>
                <w:color w:val="auto"/>
                <w:sz w:val="24"/>
              </w:rPr>
              <w:t>经过分类收集后分类处理</w:t>
            </w:r>
            <w:r>
              <w:rPr>
                <w:rFonts w:hint="eastAsia" w:cs="宋体"/>
                <w:color w:val="auto"/>
                <w:sz w:val="24"/>
              </w:rPr>
              <w:t>，</w:t>
            </w:r>
            <w:r>
              <w:rPr>
                <w:rFonts w:cs="宋体"/>
                <w:color w:val="auto"/>
                <w:sz w:val="24"/>
              </w:rPr>
              <w:t>其中危险废物经危废暂存间暂存后送</w:t>
            </w:r>
            <w:r>
              <w:rPr>
                <w:rFonts w:hint="eastAsia" w:cs="宋体"/>
                <w:color w:val="auto"/>
                <w:sz w:val="24"/>
              </w:rPr>
              <w:t>有资质单位</w:t>
            </w:r>
            <w:r>
              <w:rPr>
                <w:rFonts w:cs="宋体"/>
                <w:color w:val="auto"/>
                <w:sz w:val="24"/>
              </w:rPr>
              <w:t>处理。</w:t>
            </w:r>
          </w:p>
          <w:p w14:paraId="1F790BA0">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Cs w:val="0"/>
                <w:color w:val="auto"/>
                <w:kern w:val="2"/>
                <w:sz w:val="24"/>
                <w:szCs w:val="24"/>
                <w:lang w:val="en-US" w:eastAsia="zh-CN" w:bidi="ar-SA"/>
              </w:rPr>
            </w:pPr>
            <w:r>
              <w:rPr>
                <w:rFonts w:hint="eastAsia" w:ascii="Times New Roman" w:hAnsi="Times New Roman" w:eastAsia="宋体" w:cs="Times New Roman"/>
                <w:bCs w:val="0"/>
                <w:color w:val="auto"/>
                <w:kern w:val="2"/>
                <w:sz w:val="24"/>
                <w:szCs w:val="24"/>
                <w:lang w:val="en-US" w:eastAsia="zh-CN" w:bidi="ar-SA"/>
              </w:rPr>
              <w:t>3）应急响应</w:t>
            </w:r>
          </w:p>
          <w:p w14:paraId="272387DB">
            <w:pPr>
              <w:pStyle w:val="76"/>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bCs w:val="0"/>
                <w:color w:val="auto"/>
                <w:kern w:val="2"/>
                <w:sz w:val="24"/>
                <w:szCs w:val="24"/>
                <w:lang w:val="en-US" w:eastAsia="zh-CN" w:bidi="ar-SA"/>
              </w:rPr>
            </w:pPr>
            <w:r>
              <w:rPr>
                <w:rFonts w:hint="eastAsia" w:ascii="Times New Roman" w:hAnsi="Times New Roman" w:eastAsia="宋体" w:cs="Times New Roman"/>
                <w:bCs w:val="0"/>
                <w:color w:val="auto"/>
                <w:kern w:val="2"/>
                <w:sz w:val="24"/>
                <w:szCs w:val="24"/>
                <w:lang w:val="en-US" w:eastAsia="zh-CN" w:bidi="ar-SA"/>
              </w:rPr>
              <w:t>制定地下水和土壤污染应急响应预案，明确污染状况下应采取的控制污染源、切断污染途径等措施。</w:t>
            </w:r>
          </w:p>
          <w:p w14:paraId="3ED43D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对可能产生地下水、土壤影响的各项途径均进行有效预防，在确保各项防渗措施得以落实，并加强维护和厂区环境管理的前提下，可有效控制厂区内的废水和危险废物等出现下渗现象，避免污染地下水，因此项目不会对区域地下水环境产生明显影响。</w:t>
            </w:r>
          </w:p>
          <w:p w14:paraId="72C991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cstheme="minorEastAsia"/>
                <w:b/>
                <w:bCs/>
                <w:color w:val="auto"/>
                <w:kern w:val="2"/>
                <w:sz w:val="21"/>
                <w:szCs w:val="21"/>
                <w:highlight w:val="none"/>
                <w:lang w:val="en-US" w:eastAsia="zh-CN" w:bidi="ar-SA"/>
              </w:rPr>
            </w:pPr>
            <w:r>
              <w:rPr>
                <w:rFonts w:cs="宋体"/>
                <w:color w:val="auto"/>
                <w:sz w:val="24"/>
              </w:rPr>
              <w:t>综上，项目对土壤环境影响较小，在可防可控范围内，从环境影响的角度考虑，本项目的建设是可行的</w:t>
            </w:r>
            <w:r>
              <w:rPr>
                <w:rFonts w:hint="eastAsia" w:ascii="Times New Roman" w:hAnsi="Times New Roman" w:eastAsia="宋体" w:cs="Times New Roman"/>
                <w:color w:val="auto"/>
                <w:sz w:val="24"/>
                <w:szCs w:val="24"/>
                <w:lang w:val="en-US" w:eastAsia="zh-CN"/>
              </w:rPr>
              <w:t>。</w:t>
            </w:r>
          </w:p>
          <w:p w14:paraId="628C030B">
            <w:pPr>
              <w:adjustRightInd w:val="0"/>
              <w:snapToGrid w:val="0"/>
              <w:ind w:firstLine="420" w:firstLineChars="200"/>
              <w:jc w:val="center"/>
              <w:rPr>
                <w:b/>
                <w:bCs/>
                <w:color w:val="auto"/>
                <w:szCs w:val="21"/>
              </w:rPr>
            </w:pPr>
            <w:r>
              <w:rPr>
                <w:b/>
                <w:bCs/>
                <w:color w:val="auto"/>
                <w:szCs w:val="21"/>
              </w:rPr>
              <w:t>表4-</w:t>
            </w:r>
            <w:r>
              <w:rPr>
                <w:rFonts w:hint="eastAsia"/>
                <w:b/>
                <w:bCs/>
                <w:color w:val="auto"/>
                <w:szCs w:val="21"/>
              </w:rPr>
              <w:t>1</w:t>
            </w:r>
            <w:r>
              <w:rPr>
                <w:rFonts w:hint="eastAsia" w:eastAsia="宋体"/>
                <w:b/>
                <w:bCs/>
                <w:color w:val="auto"/>
                <w:szCs w:val="21"/>
                <w:lang w:val="en-US" w:eastAsia="zh-CN"/>
              </w:rPr>
              <w:t>4</w:t>
            </w:r>
            <w:r>
              <w:rPr>
                <w:rFonts w:hint="eastAsia"/>
                <w:b/>
                <w:bCs/>
                <w:color w:val="auto"/>
                <w:szCs w:val="21"/>
              </w:rPr>
              <w:t xml:space="preserve">  </w:t>
            </w:r>
            <w:r>
              <w:rPr>
                <w:b/>
                <w:bCs/>
                <w:color w:val="auto"/>
                <w:szCs w:val="21"/>
              </w:rPr>
              <w:t>建设项目污染区划分及防渗等级一览表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2513"/>
              <w:gridCol w:w="4012"/>
            </w:tblGrid>
            <w:tr w14:paraId="6DCCD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7" w:type="pct"/>
                  <w:noWrap w:val="0"/>
                  <w:vAlign w:val="center"/>
                </w:tcPr>
                <w:p w14:paraId="11816315">
                  <w:pPr>
                    <w:pStyle w:val="94"/>
                    <w:keepNext w:val="0"/>
                    <w:keepLines w:val="0"/>
                    <w:pageBreakBefore w:val="0"/>
                    <w:kinsoku/>
                    <w:wordWrap/>
                    <w:overflowPunct/>
                    <w:topLinePunct w:val="0"/>
                    <w:bidi w:val="0"/>
                    <w:adjustRightInd/>
                    <w:snapToGrid/>
                    <w:spacing w:line="240" w:lineRule="auto"/>
                    <w:ind w:firstLine="0" w:firstLineChars="0"/>
                    <w:textAlignment w:val="auto"/>
                    <w:rPr>
                      <w:rFonts w:hint="eastAsia"/>
                      <w:bCs/>
                      <w:color w:val="auto"/>
                      <w:sz w:val="21"/>
                      <w:szCs w:val="21"/>
                    </w:rPr>
                  </w:pPr>
                  <w:r>
                    <w:rPr>
                      <w:bCs/>
                      <w:color w:val="auto"/>
                      <w:sz w:val="21"/>
                      <w:szCs w:val="21"/>
                    </w:rPr>
                    <w:t>防渗级别</w:t>
                  </w:r>
                </w:p>
              </w:tc>
              <w:tc>
                <w:tcPr>
                  <w:tcW w:w="1530" w:type="pct"/>
                  <w:noWrap w:val="0"/>
                  <w:vAlign w:val="center"/>
                </w:tcPr>
                <w:p w14:paraId="57A9D324">
                  <w:pPr>
                    <w:pStyle w:val="94"/>
                    <w:keepNext w:val="0"/>
                    <w:keepLines w:val="0"/>
                    <w:pageBreakBefore w:val="0"/>
                    <w:kinsoku/>
                    <w:wordWrap/>
                    <w:overflowPunct/>
                    <w:topLinePunct w:val="0"/>
                    <w:bidi w:val="0"/>
                    <w:adjustRightInd/>
                    <w:snapToGrid/>
                    <w:spacing w:line="240" w:lineRule="auto"/>
                    <w:ind w:firstLine="0" w:firstLineChars="0"/>
                    <w:textAlignment w:val="auto"/>
                    <w:rPr>
                      <w:rFonts w:hint="eastAsia"/>
                      <w:bCs/>
                      <w:color w:val="auto"/>
                      <w:sz w:val="21"/>
                      <w:szCs w:val="21"/>
                    </w:rPr>
                  </w:pPr>
                  <w:r>
                    <w:rPr>
                      <w:bCs/>
                      <w:color w:val="auto"/>
                      <w:sz w:val="21"/>
                      <w:szCs w:val="21"/>
                    </w:rPr>
                    <w:t>工作区</w:t>
                  </w:r>
                </w:p>
              </w:tc>
              <w:tc>
                <w:tcPr>
                  <w:tcW w:w="2442" w:type="pct"/>
                  <w:noWrap w:val="0"/>
                  <w:vAlign w:val="center"/>
                </w:tcPr>
                <w:p w14:paraId="14254DCF">
                  <w:pPr>
                    <w:pStyle w:val="94"/>
                    <w:keepNext w:val="0"/>
                    <w:keepLines w:val="0"/>
                    <w:pageBreakBefore w:val="0"/>
                    <w:kinsoku/>
                    <w:wordWrap/>
                    <w:overflowPunct/>
                    <w:topLinePunct w:val="0"/>
                    <w:bidi w:val="0"/>
                    <w:adjustRightInd/>
                    <w:snapToGrid/>
                    <w:spacing w:line="240" w:lineRule="auto"/>
                    <w:ind w:firstLine="0" w:firstLineChars="0"/>
                    <w:textAlignment w:val="auto"/>
                    <w:rPr>
                      <w:rFonts w:hint="eastAsia"/>
                      <w:bCs/>
                      <w:color w:val="auto"/>
                      <w:sz w:val="21"/>
                      <w:szCs w:val="21"/>
                    </w:rPr>
                  </w:pPr>
                  <w:r>
                    <w:rPr>
                      <w:bCs/>
                      <w:color w:val="auto"/>
                      <w:sz w:val="21"/>
                      <w:szCs w:val="21"/>
                    </w:rPr>
                    <w:t>防渗技术要求</w:t>
                  </w:r>
                </w:p>
              </w:tc>
            </w:tr>
            <w:tr w14:paraId="125C9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7" w:type="pct"/>
                  <w:noWrap w:val="0"/>
                  <w:vAlign w:val="center"/>
                </w:tcPr>
                <w:p w14:paraId="63399343">
                  <w:pPr>
                    <w:pStyle w:val="94"/>
                    <w:keepNext w:val="0"/>
                    <w:keepLines w:val="0"/>
                    <w:pageBreakBefore w:val="0"/>
                    <w:kinsoku/>
                    <w:wordWrap/>
                    <w:overflowPunct/>
                    <w:topLinePunct w:val="0"/>
                    <w:bidi w:val="0"/>
                    <w:adjustRightInd/>
                    <w:snapToGrid/>
                    <w:spacing w:line="240" w:lineRule="auto"/>
                    <w:ind w:firstLine="0" w:firstLineChars="0"/>
                    <w:textAlignment w:val="auto"/>
                    <w:rPr>
                      <w:rFonts w:hint="eastAsia"/>
                      <w:b w:val="0"/>
                      <w:color w:val="auto"/>
                      <w:sz w:val="21"/>
                      <w:szCs w:val="21"/>
                    </w:rPr>
                  </w:pPr>
                  <w:r>
                    <w:rPr>
                      <w:b w:val="0"/>
                      <w:color w:val="auto"/>
                      <w:sz w:val="21"/>
                      <w:szCs w:val="21"/>
                    </w:rPr>
                    <w:t>重点防渗区</w:t>
                  </w:r>
                </w:p>
              </w:tc>
              <w:tc>
                <w:tcPr>
                  <w:tcW w:w="1530" w:type="pct"/>
                  <w:noWrap w:val="0"/>
                  <w:vAlign w:val="center"/>
                </w:tcPr>
                <w:p w14:paraId="2E5C86CA">
                  <w:pPr>
                    <w:pStyle w:val="94"/>
                    <w:keepNext w:val="0"/>
                    <w:keepLines w:val="0"/>
                    <w:pageBreakBefore w:val="0"/>
                    <w:kinsoku/>
                    <w:wordWrap/>
                    <w:overflowPunct/>
                    <w:topLinePunct w:val="0"/>
                    <w:bidi w:val="0"/>
                    <w:adjustRightInd/>
                    <w:snapToGrid/>
                    <w:spacing w:line="240" w:lineRule="auto"/>
                    <w:ind w:firstLine="0" w:firstLineChars="0"/>
                    <w:textAlignment w:val="auto"/>
                    <w:rPr>
                      <w:b w:val="0"/>
                      <w:color w:val="auto"/>
                      <w:sz w:val="21"/>
                      <w:szCs w:val="21"/>
                    </w:rPr>
                  </w:pPr>
                  <w:r>
                    <w:rPr>
                      <w:b w:val="0"/>
                      <w:color w:val="auto"/>
                      <w:sz w:val="21"/>
                      <w:szCs w:val="21"/>
                    </w:rPr>
                    <w:t>危废暂存间</w:t>
                  </w:r>
                  <w:r>
                    <w:rPr>
                      <w:rFonts w:hint="eastAsia"/>
                      <w:b w:val="0"/>
                      <w:color w:val="auto"/>
                      <w:sz w:val="21"/>
                      <w:szCs w:val="21"/>
                    </w:rPr>
                    <w:t>、化粪池、水</w:t>
                  </w:r>
                  <w:r>
                    <w:rPr>
                      <w:rFonts w:hint="eastAsia"/>
                      <w:b w:val="0"/>
                      <w:color w:val="auto"/>
                      <w:sz w:val="21"/>
                      <w:szCs w:val="21"/>
                      <w:lang w:val="en-US" w:eastAsia="zh-CN"/>
                    </w:rPr>
                    <w:t>洗</w:t>
                  </w:r>
                  <w:r>
                    <w:rPr>
                      <w:rFonts w:hint="eastAsia"/>
                      <w:b w:val="0"/>
                      <w:color w:val="auto"/>
                      <w:sz w:val="21"/>
                      <w:szCs w:val="21"/>
                    </w:rPr>
                    <w:t>池、循环水池</w:t>
                  </w:r>
                </w:p>
              </w:tc>
              <w:tc>
                <w:tcPr>
                  <w:tcW w:w="2442" w:type="pct"/>
                  <w:noWrap w:val="0"/>
                  <w:vAlign w:val="center"/>
                </w:tcPr>
                <w:p w14:paraId="143411CB">
                  <w:pPr>
                    <w:pStyle w:val="94"/>
                    <w:keepNext w:val="0"/>
                    <w:keepLines w:val="0"/>
                    <w:pageBreakBefore w:val="0"/>
                    <w:kinsoku/>
                    <w:wordWrap/>
                    <w:overflowPunct/>
                    <w:topLinePunct w:val="0"/>
                    <w:bidi w:val="0"/>
                    <w:adjustRightInd/>
                    <w:snapToGrid/>
                    <w:spacing w:line="240" w:lineRule="auto"/>
                    <w:ind w:firstLine="0" w:firstLineChars="0"/>
                    <w:textAlignment w:val="auto"/>
                    <w:rPr>
                      <w:rFonts w:hint="eastAsia"/>
                      <w:b w:val="0"/>
                      <w:color w:val="auto"/>
                      <w:sz w:val="21"/>
                      <w:szCs w:val="21"/>
                    </w:rPr>
                  </w:pPr>
                  <w:r>
                    <w:rPr>
                      <w:rFonts w:hint="eastAsia"/>
                      <w:b w:val="0"/>
                      <w:color w:val="auto"/>
                      <w:kern w:val="0"/>
                      <w:sz w:val="21"/>
                      <w:szCs w:val="21"/>
                    </w:rPr>
                    <w:t>等效黏土防渗层Mb≥6.0m，K≤1×10</w:t>
                  </w:r>
                  <w:r>
                    <w:rPr>
                      <w:rFonts w:hint="eastAsia"/>
                      <w:b w:val="0"/>
                      <w:color w:val="auto"/>
                      <w:kern w:val="0"/>
                      <w:sz w:val="21"/>
                      <w:szCs w:val="21"/>
                      <w:vertAlign w:val="superscript"/>
                    </w:rPr>
                    <w:t>-7</w:t>
                  </w:r>
                  <w:r>
                    <w:rPr>
                      <w:rFonts w:hint="eastAsia"/>
                      <w:b w:val="0"/>
                      <w:color w:val="auto"/>
                      <w:kern w:val="0"/>
                      <w:sz w:val="21"/>
                      <w:szCs w:val="21"/>
                    </w:rPr>
                    <w:t>cm/s；或参照GB18598执行</w:t>
                  </w:r>
                </w:p>
              </w:tc>
            </w:tr>
            <w:tr w14:paraId="74942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027" w:type="pct"/>
                  <w:noWrap w:val="0"/>
                  <w:vAlign w:val="center"/>
                </w:tcPr>
                <w:p w14:paraId="529D9AF5">
                  <w:pPr>
                    <w:pStyle w:val="94"/>
                    <w:keepNext w:val="0"/>
                    <w:keepLines w:val="0"/>
                    <w:pageBreakBefore w:val="0"/>
                    <w:kinsoku/>
                    <w:wordWrap/>
                    <w:overflowPunct/>
                    <w:topLinePunct w:val="0"/>
                    <w:bidi w:val="0"/>
                    <w:adjustRightInd/>
                    <w:snapToGrid/>
                    <w:spacing w:line="240" w:lineRule="auto"/>
                    <w:ind w:firstLine="0" w:firstLineChars="0"/>
                    <w:textAlignment w:val="auto"/>
                    <w:rPr>
                      <w:b w:val="0"/>
                      <w:color w:val="auto"/>
                      <w:sz w:val="21"/>
                      <w:szCs w:val="21"/>
                    </w:rPr>
                  </w:pPr>
                  <w:r>
                    <w:rPr>
                      <w:b w:val="0"/>
                      <w:color w:val="auto"/>
                      <w:sz w:val="21"/>
                      <w:szCs w:val="21"/>
                    </w:rPr>
                    <w:t>一般防渗区</w:t>
                  </w:r>
                </w:p>
              </w:tc>
              <w:tc>
                <w:tcPr>
                  <w:tcW w:w="1530" w:type="pct"/>
                  <w:noWrap w:val="0"/>
                  <w:vAlign w:val="center"/>
                </w:tcPr>
                <w:p w14:paraId="573DF8D2">
                  <w:pPr>
                    <w:pStyle w:val="94"/>
                    <w:keepNext w:val="0"/>
                    <w:keepLines w:val="0"/>
                    <w:pageBreakBefore w:val="0"/>
                    <w:kinsoku/>
                    <w:wordWrap/>
                    <w:overflowPunct/>
                    <w:topLinePunct w:val="0"/>
                    <w:bidi w:val="0"/>
                    <w:adjustRightInd/>
                    <w:snapToGrid/>
                    <w:spacing w:line="240" w:lineRule="auto"/>
                    <w:ind w:firstLine="0" w:firstLineChars="0"/>
                    <w:textAlignment w:val="auto"/>
                    <w:rPr>
                      <w:b w:val="0"/>
                      <w:color w:val="auto"/>
                      <w:sz w:val="21"/>
                      <w:szCs w:val="21"/>
                    </w:rPr>
                  </w:pPr>
                  <w:r>
                    <w:rPr>
                      <w:rFonts w:hint="eastAsia"/>
                      <w:b w:val="0"/>
                      <w:color w:val="auto"/>
                      <w:sz w:val="21"/>
                      <w:szCs w:val="21"/>
                    </w:rPr>
                    <w:t>一般固废间、生产车间</w:t>
                  </w:r>
                </w:p>
              </w:tc>
              <w:tc>
                <w:tcPr>
                  <w:tcW w:w="2442" w:type="pct"/>
                  <w:noWrap w:val="0"/>
                  <w:vAlign w:val="center"/>
                </w:tcPr>
                <w:p w14:paraId="1C27DA83">
                  <w:pPr>
                    <w:keepNext w:val="0"/>
                    <w:keepLines w:val="0"/>
                    <w:pageBreakBefore w:val="0"/>
                    <w:widowControl/>
                    <w:kinsoku/>
                    <w:wordWrap/>
                    <w:overflowPunct/>
                    <w:topLinePunct w:val="0"/>
                    <w:bidi w:val="0"/>
                    <w:adjustRightInd/>
                    <w:snapToGrid/>
                    <w:spacing w:line="240" w:lineRule="auto"/>
                    <w:jc w:val="center"/>
                    <w:textAlignment w:val="auto"/>
                    <w:rPr>
                      <w:rFonts w:hint="eastAsia"/>
                      <w:color w:val="auto"/>
                      <w:sz w:val="21"/>
                      <w:szCs w:val="21"/>
                    </w:rPr>
                  </w:pPr>
                  <w:r>
                    <w:rPr>
                      <w:rFonts w:hint="eastAsia"/>
                      <w:color w:val="auto"/>
                      <w:kern w:val="0"/>
                      <w:sz w:val="21"/>
                      <w:szCs w:val="21"/>
                    </w:rPr>
                    <w:t>等效黏土防渗层Mb≥1.5m，K≤1×10</w:t>
                  </w:r>
                  <w:r>
                    <w:rPr>
                      <w:rFonts w:hint="eastAsia"/>
                      <w:color w:val="auto"/>
                      <w:kern w:val="0"/>
                      <w:sz w:val="21"/>
                      <w:szCs w:val="21"/>
                      <w:vertAlign w:val="superscript"/>
                    </w:rPr>
                    <w:t>-7</w:t>
                  </w:r>
                  <w:r>
                    <w:rPr>
                      <w:rFonts w:hint="eastAsia"/>
                      <w:color w:val="auto"/>
                      <w:kern w:val="0"/>
                      <w:sz w:val="21"/>
                      <w:szCs w:val="21"/>
                    </w:rPr>
                    <w:t>cm/s；或参照GB16889执行。</w:t>
                  </w:r>
                </w:p>
              </w:tc>
            </w:tr>
            <w:tr w14:paraId="3DEBC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027" w:type="pct"/>
                  <w:noWrap w:val="0"/>
                  <w:vAlign w:val="center"/>
                </w:tcPr>
                <w:p w14:paraId="6D7029C0">
                  <w:pPr>
                    <w:pStyle w:val="94"/>
                    <w:keepNext w:val="0"/>
                    <w:keepLines w:val="0"/>
                    <w:pageBreakBefore w:val="0"/>
                    <w:kinsoku/>
                    <w:wordWrap/>
                    <w:overflowPunct/>
                    <w:topLinePunct w:val="0"/>
                    <w:bidi w:val="0"/>
                    <w:adjustRightInd/>
                    <w:snapToGrid/>
                    <w:spacing w:line="240" w:lineRule="auto"/>
                    <w:ind w:firstLine="0" w:firstLineChars="0"/>
                    <w:textAlignment w:val="auto"/>
                    <w:rPr>
                      <w:b w:val="0"/>
                      <w:color w:val="auto"/>
                      <w:sz w:val="21"/>
                      <w:szCs w:val="21"/>
                    </w:rPr>
                  </w:pPr>
                  <w:r>
                    <w:rPr>
                      <w:rFonts w:hint="eastAsia"/>
                      <w:b w:val="0"/>
                      <w:color w:val="auto"/>
                      <w:sz w:val="21"/>
                      <w:szCs w:val="21"/>
                    </w:rPr>
                    <w:t>简单防渗区</w:t>
                  </w:r>
                </w:p>
              </w:tc>
              <w:tc>
                <w:tcPr>
                  <w:tcW w:w="1530" w:type="pct"/>
                  <w:noWrap w:val="0"/>
                  <w:vAlign w:val="center"/>
                </w:tcPr>
                <w:p w14:paraId="33C4B8E9">
                  <w:pPr>
                    <w:pStyle w:val="94"/>
                    <w:keepNext w:val="0"/>
                    <w:keepLines w:val="0"/>
                    <w:pageBreakBefore w:val="0"/>
                    <w:kinsoku/>
                    <w:wordWrap/>
                    <w:overflowPunct/>
                    <w:topLinePunct w:val="0"/>
                    <w:bidi w:val="0"/>
                    <w:adjustRightInd/>
                    <w:snapToGrid/>
                    <w:spacing w:line="240" w:lineRule="auto"/>
                    <w:ind w:firstLine="0" w:firstLineChars="0"/>
                    <w:textAlignment w:val="auto"/>
                    <w:rPr>
                      <w:b w:val="0"/>
                      <w:color w:val="auto"/>
                      <w:sz w:val="21"/>
                      <w:szCs w:val="21"/>
                    </w:rPr>
                  </w:pPr>
                  <w:r>
                    <w:rPr>
                      <w:rFonts w:hint="eastAsia"/>
                      <w:b w:val="0"/>
                      <w:color w:val="auto"/>
                      <w:sz w:val="21"/>
                      <w:szCs w:val="21"/>
                      <w:lang w:eastAsia="zh-CN"/>
                    </w:rPr>
                    <w:t>办公区、厂区道路</w:t>
                  </w:r>
                </w:p>
              </w:tc>
              <w:tc>
                <w:tcPr>
                  <w:tcW w:w="2442" w:type="pct"/>
                  <w:noWrap w:val="0"/>
                  <w:vAlign w:val="center"/>
                </w:tcPr>
                <w:p w14:paraId="1C3CA050">
                  <w:pPr>
                    <w:keepNext w:val="0"/>
                    <w:keepLines w:val="0"/>
                    <w:pageBreakBefore w:val="0"/>
                    <w:widowControl/>
                    <w:kinsoku/>
                    <w:wordWrap/>
                    <w:overflowPunct/>
                    <w:topLinePunct w:val="0"/>
                    <w:bidi w:val="0"/>
                    <w:adjustRightInd/>
                    <w:snapToGrid/>
                    <w:spacing w:line="240" w:lineRule="auto"/>
                    <w:jc w:val="center"/>
                    <w:textAlignment w:val="auto"/>
                    <w:rPr>
                      <w:rFonts w:hint="eastAsia"/>
                      <w:color w:val="auto"/>
                      <w:kern w:val="0"/>
                      <w:sz w:val="21"/>
                      <w:szCs w:val="21"/>
                    </w:rPr>
                  </w:pPr>
                  <w:r>
                    <w:rPr>
                      <w:rFonts w:hint="eastAsia"/>
                      <w:color w:val="auto"/>
                      <w:sz w:val="21"/>
                      <w:szCs w:val="21"/>
                    </w:rPr>
                    <w:t>一般地面硬化</w:t>
                  </w:r>
                </w:p>
              </w:tc>
            </w:tr>
          </w:tbl>
          <w:p w14:paraId="762BF0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六</w:t>
            </w:r>
            <w:r>
              <w:rPr>
                <w:rFonts w:hint="default" w:ascii="Times New Roman" w:hAnsi="Times New Roman" w:cs="Times New Roman"/>
                <w:b/>
                <w:bCs/>
                <w:color w:val="auto"/>
                <w:sz w:val="24"/>
                <w:szCs w:val="24"/>
                <w:lang w:val="en-US" w:eastAsia="zh-CN"/>
              </w:rPr>
              <w:t>、环境风险</w:t>
            </w:r>
          </w:p>
          <w:p w14:paraId="61ACD7C4">
            <w:pPr>
              <w:pStyle w:val="96"/>
              <w:adjustRightInd/>
              <w:snapToGrid/>
              <w:spacing w:line="360" w:lineRule="auto"/>
              <w:ind w:firstLine="480" w:firstLineChars="200"/>
              <w:jc w:val="both"/>
              <w:rPr>
                <w:rFonts w:hint="eastAsia"/>
                <w:bCs/>
                <w:color w:val="auto"/>
              </w:rPr>
            </w:pPr>
            <w:r>
              <w:rPr>
                <w:color w:val="auto"/>
              </w:rPr>
              <w:t>环境风险评价的目的是分析和预测建设项目存在的潜在危险、有害因素，建设项目建设和运营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270B8CF0">
            <w:pPr>
              <w:pStyle w:val="96"/>
              <w:adjustRightInd/>
              <w:snapToGrid/>
              <w:spacing w:line="360" w:lineRule="auto"/>
              <w:ind w:firstLine="480" w:firstLineChars="200"/>
              <w:jc w:val="both"/>
              <w:rPr>
                <w:bCs/>
                <w:color w:val="auto"/>
              </w:rPr>
            </w:pPr>
            <w:r>
              <w:rPr>
                <w:rFonts w:hint="eastAsia"/>
                <w:bCs/>
                <w:color w:val="auto"/>
              </w:rPr>
              <w:t>（</w:t>
            </w:r>
            <w:r>
              <w:rPr>
                <w:bCs/>
                <w:color w:val="auto"/>
              </w:rPr>
              <w:t>1）环境风险评价等级判定</w:t>
            </w:r>
          </w:p>
          <w:p w14:paraId="16896F76">
            <w:pPr>
              <w:pStyle w:val="2"/>
              <w:wordWrap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rPr>
              <w:t>根据《建设项目环境风险评价技术导则》（HJ169-2018），需要计算所涉及的每种危险物质在厂界内的最大存在总量与其在附录B中对应临界量的比值Q。</w:t>
            </w:r>
          </w:p>
          <w:p w14:paraId="5A17891B">
            <w:pPr>
              <w:pStyle w:val="2"/>
              <w:wordWrap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rPr>
              <w:t>当只涉及一种危险物质时，计算该物质的总量与其临界量比值，即为Q；</w:t>
            </w:r>
          </w:p>
          <w:p w14:paraId="09129A80">
            <w:pPr>
              <w:pStyle w:val="2"/>
              <w:wordWrap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rPr>
              <w:t>当存在多种危险物质时，则按下述公式计算物质总量与其临界量比值（Q）：</w:t>
            </w:r>
          </w:p>
          <w:p w14:paraId="36EE7B09">
            <w:pPr>
              <w:pStyle w:val="2"/>
              <w:spacing w:line="360" w:lineRule="auto"/>
              <w:ind w:firstLine="480" w:firstLineChars="200"/>
              <w:jc w:val="center"/>
              <w:rPr>
                <w:rFonts w:ascii="Times New Roman" w:hAnsi="Times New Roman" w:cs="Times New Roman"/>
                <w:color w:val="auto"/>
              </w:rPr>
            </w:pPr>
            <w:r>
              <w:rPr>
                <w:rFonts w:ascii="Times New Roman" w:hAnsi="Times New Roman" w:cs="Times New Roman"/>
                <w:color w:val="auto"/>
              </w:rPr>
              <w:t>Q=q1/Q1+q2/Q2……+qn/Qn</w:t>
            </w:r>
          </w:p>
          <w:p w14:paraId="0F824705">
            <w:pPr>
              <w:pStyle w:val="2"/>
              <w:wordWrap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rPr>
              <w:t>式中：q1、q2‥‥‥qn—每种危险物质的最大存在总量，t。</w:t>
            </w:r>
          </w:p>
          <w:p w14:paraId="7190F975">
            <w:pPr>
              <w:pStyle w:val="2"/>
              <w:wordWrap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rPr>
              <w:t>Q1、Q2‥‥‥Qn—每种危险物质的临界量，t。</w:t>
            </w:r>
          </w:p>
          <w:p w14:paraId="67C78CA0">
            <w:pPr>
              <w:pStyle w:val="2"/>
              <w:wordWrap w:val="0"/>
              <w:spacing w:line="360" w:lineRule="auto"/>
              <w:ind w:firstLine="480" w:firstLineChars="200"/>
              <w:jc w:val="left"/>
              <w:rPr>
                <w:rFonts w:ascii="Times New Roman" w:hAnsi="Times New Roman" w:cs="Times New Roman"/>
                <w:color w:val="auto"/>
              </w:rPr>
            </w:pPr>
            <w:r>
              <w:rPr>
                <w:rFonts w:ascii="Times New Roman" w:hAnsi="Times New Roman" w:cs="Times New Roman"/>
                <w:color w:val="auto"/>
              </w:rPr>
              <w:t>当Q＜1时，该项目环境风险潜势为I。</w:t>
            </w:r>
          </w:p>
          <w:p w14:paraId="2AE443E5">
            <w:pPr>
              <w:pStyle w:val="96"/>
              <w:adjustRightInd/>
              <w:snapToGrid/>
              <w:spacing w:line="360" w:lineRule="auto"/>
              <w:ind w:firstLine="480" w:firstLineChars="200"/>
              <w:jc w:val="both"/>
              <w:rPr>
                <w:color w:val="auto"/>
              </w:rPr>
            </w:pPr>
            <w:r>
              <w:rPr>
                <w:color w:val="auto"/>
              </w:rPr>
              <w:t>当Q≥1时，将Q值划分为：1≤Q＜10；10≤Q＜100；Q≥100。</w:t>
            </w:r>
          </w:p>
          <w:p w14:paraId="60901E4A">
            <w:pPr>
              <w:widowControl/>
              <w:spacing w:line="360" w:lineRule="auto"/>
              <w:ind w:firstLine="480" w:firstLineChars="200"/>
              <w:jc w:val="left"/>
              <w:rPr>
                <w:rFonts w:hint="eastAsia"/>
                <w:b/>
                <w:bCs/>
                <w:color w:val="auto"/>
                <w:kern w:val="0"/>
                <w:szCs w:val="21"/>
                <w:lang w:bidi="ar"/>
              </w:rPr>
            </w:pPr>
            <w:r>
              <w:rPr>
                <w:color w:val="auto"/>
                <w:sz w:val="24"/>
              </w:rPr>
              <w:t>根据《建设项目环境风险评价技术导则》（HJ169-2018）附录B进行辨识，本项目环境风险物质主要为危废；其Q值计算见下表4-</w:t>
            </w:r>
            <w:r>
              <w:rPr>
                <w:rFonts w:hint="eastAsia"/>
                <w:color w:val="auto"/>
                <w:sz w:val="24"/>
              </w:rPr>
              <w:t>12</w:t>
            </w:r>
            <w:r>
              <w:rPr>
                <w:color w:val="auto"/>
                <w:sz w:val="24"/>
              </w:rPr>
              <w:t>。</w:t>
            </w:r>
          </w:p>
          <w:p w14:paraId="7185C3F8">
            <w:pPr>
              <w:widowControl/>
              <w:jc w:val="center"/>
              <w:rPr>
                <w:b/>
                <w:bCs/>
                <w:color w:val="auto"/>
                <w:kern w:val="0"/>
                <w:szCs w:val="21"/>
                <w:lang w:bidi="ar"/>
              </w:rPr>
            </w:pPr>
          </w:p>
          <w:p w14:paraId="5C79CB9A">
            <w:pPr>
              <w:widowControl/>
              <w:jc w:val="center"/>
              <w:rPr>
                <w:b/>
                <w:bCs/>
                <w:color w:val="auto"/>
                <w:kern w:val="0"/>
                <w:szCs w:val="21"/>
                <w:lang w:bidi="ar"/>
              </w:rPr>
            </w:pPr>
          </w:p>
          <w:p w14:paraId="5F677C9E">
            <w:pPr>
              <w:widowControl/>
              <w:jc w:val="center"/>
              <w:rPr>
                <w:b/>
                <w:bCs/>
                <w:color w:val="auto"/>
                <w:kern w:val="0"/>
                <w:szCs w:val="21"/>
                <w:lang w:bidi="ar"/>
              </w:rPr>
            </w:pPr>
          </w:p>
          <w:p w14:paraId="59824233">
            <w:pPr>
              <w:widowControl/>
              <w:jc w:val="center"/>
              <w:rPr>
                <w:b/>
                <w:bCs/>
                <w:color w:val="auto"/>
                <w:kern w:val="0"/>
                <w:szCs w:val="21"/>
                <w:lang w:bidi="ar"/>
              </w:rPr>
            </w:pPr>
            <w:r>
              <w:rPr>
                <w:b/>
                <w:bCs/>
                <w:color w:val="auto"/>
                <w:kern w:val="0"/>
                <w:szCs w:val="21"/>
                <w:lang w:bidi="ar"/>
              </w:rPr>
              <w:t>表4-</w:t>
            </w:r>
            <w:r>
              <w:rPr>
                <w:rFonts w:hint="eastAsia"/>
                <w:b/>
                <w:bCs/>
                <w:color w:val="auto"/>
                <w:kern w:val="0"/>
                <w:szCs w:val="21"/>
                <w:lang w:bidi="ar"/>
              </w:rPr>
              <w:t>1</w:t>
            </w:r>
            <w:r>
              <w:rPr>
                <w:rFonts w:hint="eastAsia" w:eastAsia="宋体"/>
                <w:b/>
                <w:bCs/>
                <w:color w:val="auto"/>
                <w:kern w:val="0"/>
                <w:szCs w:val="21"/>
                <w:lang w:val="en-US" w:eastAsia="zh-CN" w:bidi="ar"/>
              </w:rPr>
              <w:t>5</w:t>
            </w:r>
            <w:r>
              <w:rPr>
                <w:b/>
                <w:bCs/>
                <w:color w:val="auto"/>
                <w:kern w:val="0"/>
                <w:szCs w:val="21"/>
                <w:lang w:bidi="ar"/>
              </w:rPr>
              <w:t xml:space="preserve">   项目危险废物风险识别一览表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363"/>
              <w:gridCol w:w="1499"/>
              <w:gridCol w:w="1869"/>
              <w:gridCol w:w="1299"/>
              <w:gridCol w:w="1302"/>
            </w:tblGrid>
            <w:tr w14:paraId="53C7A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14" w:type="dxa"/>
                  <w:tcBorders>
                    <w:tl2br w:val="nil"/>
                    <w:tr2bl w:val="nil"/>
                  </w:tcBorders>
                  <w:noWrap w:val="0"/>
                  <w:vAlign w:val="center"/>
                </w:tcPr>
                <w:p w14:paraId="3910ED04">
                  <w:pPr>
                    <w:widowControl/>
                    <w:jc w:val="center"/>
                    <w:rPr>
                      <w:b/>
                      <w:color w:val="auto"/>
                      <w:kern w:val="0"/>
                      <w:sz w:val="21"/>
                      <w:szCs w:val="21"/>
                      <w:lang w:eastAsia="en-US" w:bidi="ar"/>
                    </w:rPr>
                  </w:pPr>
                  <w:r>
                    <w:rPr>
                      <w:b/>
                      <w:color w:val="auto"/>
                      <w:kern w:val="0"/>
                      <w:sz w:val="21"/>
                      <w:szCs w:val="21"/>
                      <w:lang w:bidi="ar"/>
                    </w:rPr>
                    <w:t>序号</w:t>
                  </w:r>
                </w:p>
              </w:tc>
              <w:tc>
                <w:tcPr>
                  <w:tcW w:w="1417" w:type="dxa"/>
                  <w:tcBorders>
                    <w:tl2br w:val="nil"/>
                    <w:tr2bl w:val="nil"/>
                  </w:tcBorders>
                  <w:noWrap w:val="0"/>
                  <w:vAlign w:val="center"/>
                </w:tcPr>
                <w:p w14:paraId="419EAFA7">
                  <w:pPr>
                    <w:widowControl/>
                    <w:jc w:val="center"/>
                    <w:rPr>
                      <w:b/>
                      <w:color w:val="auto"/>
                      <w:kern w:val="0"/>
                      <w:sz w:val="21"/>
                      <w:szCs w:val="21"/>
                      <w:lang w:eastAsia="en-US" w:bidi="ar"/>
                    </w:rPr>
                  </w:pPr>
                  <w:r>
                    <w:rPr>
                      <w:b/>
                      <w:color w:val="auto"/>
                      <w:kern w:val="0"/>
                      <w:sz w:val="21"/>
                      <w:szCs w:val="21"/>
                      <w:lang w:bidi="ar"/>
                    </w:rPr>
                    <w:t>名称</w:t>
                  </w:r>
                </w:p>
              </w:tc>
              <w:tc>
                <w:tcPr>
                  <w:tcW w:w="1560" w:type="dxa"/>
                  <w:tcBorders>
                    <w:tl2br w:val="nil"/>
                    <w:tr2bl w:val="nil"/>
                  </w:tcBorders>
                  <w:noWrap w:val="0"/>
                  <w:vAlign w:val="center"/>
                </w:tcPr>
                <w:p w14:paraId="1CC1BD24">
                  <w:pPr>
                    <w:widowControl/>
                    <w:jc w:val="center"/>
                    <w:rPr>
                      <w:b/>
                      <w:color w:val="auto"/>
                      <w:kern w:val="0"/>
                      <w:sz w:val="21"/>
                      <w:szCs w:val="21"/>
                      <w:lang w:eastAsia="en-US" w:bidi="ar"/>
                    </w:rPr>
                  </w:pPr>
                  <w:r>
                    <w:rPr>
                      <w:b/>
                      <w:color w:val="auto"/>
                      <w:kern w:val="0"/>
                      <w:sz w:val="21"/>
                      <w:szCs w:val="21"/>
                      <w:lang w:bidi="ar"/>
                    </w:rPr>
                    <w:t>CAS</w:t>
                  </w:r>
                </w:p>
              </w:tc>
              <w:tc>
                <w:tcPr>
                  <w:tcW w:w="1947" w:type="dxa"/>
                  <w:tcBorders>
                    <w:tl2br w:val="nil"/>
                    <w:tr2bl w:val="nil"/>
                  </w:tcBorders>
                  <w:noWrap w:val="0"/>
                  <w:vAlign w:val="center"/>
                </w:tcPr>
                <w:p w14:paraId="72DB483F">
                  <w:pPr>
                    <w:widowControl/>
                    <w:jc w:val="center"/>
                    <w:rPr>
                      <w:b/>
                      <w:color w:val="auto"/>
                      <w:kern w:val="0"/>
                      <w:sz w:val="21"/>
                      <w:szCs w:val="21"/>
                      <w:lang w:eastAsia="en-US" w:bidi="ar"/>
                    </w:rPr>
                  </w:pPr>
                  <w:r>
                    <w:rPr>
                      <w:rFonts w:hint="eastAsia"/>
                      <w:b/>
                      <w:color w:val="auto"/>
                      <w:kern w:val="0"/>
                      <w:sz w:val="21"/>
                      <w:szCs w:val="21"/>
                      <w:lang w:bidi="ar"/>
                    </w:rPr>
                    <w:t>最大</w:t>
                  </w:r>
                  <w:r>
                    <w:rPr>
                      <w:b/>
                      <w:color w:val="auto"/>
                      <w:kern w:val="0"/>
                      <w:sz w:val="21"/>
                      <w:szCs w:val="21"/>
                      <w:lang w:bidi="ar"/>
                    </w:rPr>
                    <w:t>储存量q/t</w:t>
                  </w:r>
                </w:p>
              </w:tc>
              <w:tc>
                <w:tcPr>
                  <w:tcW w:w="1350" w:type="dxa"/>
                  <w:tcBorders>
                    <w:tl2br w:val="nil"/>
                    <w:tr2bl w:val="nil"/>
                  </w:tcBorders>
                  <w:noWrap w:val="0"/>
                  <w:vAlign w:val="center"/>
                </w:tcPr>
                <w:p w14:paraId="6783F67C">
                  <w:pPr>
                    <w:widowControl/>
                    <w:jc w:val="center"/>
                    <w:rPr>
                      <w:b/>
                      <w:color w:val="auto"/>
                      <w:kern w:val="0"/>
                      <w:sz w:val="21"/>
                      <w:szCs w:val="21"/>
                      <w:lang w:eastAsia="en-US" w:bidi="ar"/>
                    </w:rPr>
                  </w:pPr>
                  <w:r>
                    <w:rPr>
                      <w:b/>
                      <w:color w:val="auto"/>
                      <w:kern w:val="0"/>
                      <w:sz w:val="21"/>
                      <w:szCs w:val="21"/>
                      <w:lang w:bidi="ar"/>
                    </w:rPr>
                    <w:t>临界量Q/t</w:t>
                  </w:r>
                </w:p>
              </w:tc>
              <w:tc>
                <w:tcPr>
                  <w:tcW w:w="1353" w:type="dxa"/>
                  <w:tcBorders>
                    <w:tl2br w:val="nil"/>
                    <w:tr2bl w:val="nil"/>
                  </w:tcBorders>
                  <w:noWrap w:val="0"/>
                  <w:vAlign w:val="center"/>
                </w:tcPr>
                <w:p w14:paraId="4BB0ACFF">
                  <w:pPr>
                    <w:widowControl/>
                    <w:jc w:val="center"/>
                    <w:rPr>
                      <w:b/>
                      <w:color w:val="auto"/>
                      <w:kern w:val="0"/>
                      <w:sz w:val="21"/>
                      <w:szCs w:val="21"/>
                      <w:lang w:bidi="ar"/>
                    </w:rPr>
                  </w:pPr>
                  <w:r>
                    <w:rPr>
                      <w:b/>
                      <w:color w:val="auto"/>
                      <w:kern w:val="0"/>
                      <w:sz w:val="21"/>
                      <w:szCs w:val="21"/>
                      <w:lang w:bidi="ar"/>
                    </w:rPr>
                    <w:t>Q值q/Q</w:t>
                  </w:r>
                </w:p>
              </w:tc>
            </w:tr>
            <w:tr w14:paraId="2E5D2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14" w:type="dxa"/>
                  <w:tcBorders>
                    <w:tl2br w:val="nil"/>
                    <w:tr2bl w:val="nil"/>
                  </w:tcBorders>
                  <w:noWrap w:val="0"/>
                  <w:vAlign w:val="center"/>
                </w:tcPr>
                <w:p w14:paraId="44699EC4">
                  <w:pPr>
                    <w:widowControl/>
                    <w:jc w:val="center"/>
                    <w:rPr>
                      <w:color w:val="auto"/>
                      <w:kern w:val="0"/>
                      <w:sz w:val="21"/>
                      <w:szCs w:val="21"/>
                      <w:lang w:bidi="ar"/>
                    </w:rPr>
                  </w:pPr>
                  <w:r>
                    <w:rPr>
                      <w:color w:val="auto"/>
                      <w:kern w:val="0"/>
                      <w:sz w:val="21"/>
                      <w:szCs w:val="21"/>
                      <w:lang w:bidi="ar"/>
                    </w:rPr>
                    <w:t>1</w:t>
                  </w:r>
                </w:p>
              </w:tc>
              <w:tc>
                <w:tcPr>
                  <w:tcW w:w="1417" w:type="dxa"/>
                  <w:tcBorders>
                    <w:tl2br w:val="nil"/>
                    <w:tr2bl w:val="nil"/>
                  </w:tcBorders>
                  <w:noWrap w:val="0"/>
                  <w:vAlign w:val="center"/>
                </w:tcPr>
                <w:p w14:paraId="373DB852">
                  <w:pPr>
                    <w:widowControl/>
                    <w:jc w:val="center"/>
                    <w:rPr>
                      <w:color w:val="auto"/>
                      <w:kern w:val="0"/>
                      <w:sz w:val="21"/>
                      <w:szCs w:val="21"/>
                      <w:lang w:bidi="ar"/>
                    </w:rPr>
                  </w:pPr>
                  <w:r>
                    <w:rPr>
                      <w:rFonts w:hint="eastAsia" w:eastAsia="宋体"/>
                      <w:color w:val="auto"/>
                      <w:kern w:val="0"/>
                      <w:sz w:val="21"/>
                      <w:szCs w:val="21"/>
                      <w:lang w:val="en-US" w:eastAsia="zh-CN" w:bidi="ar"/>
                    </w:rPr>
                    <w:t>白</w:t>
                  </w:r>
                  <w:r>
                    <w:rPr>
                      <w:rFonts w:hint="eastAsia"/>
                      <w:color w:val="auto"/>
                      <w:kern w:val="0"/>
                      <w:sz w:val="21"/>
                      <w:szCs w:val="21"/>
                      <w:lang w:bidi="ar"/>
                    </w:rPr>
                    <w:t>油</w:t>
                  </w:r>
                </w:p>
              </w:tc>
              <w:tc>
                <w:tcPr>
                  <w:tcW w:w="1560" w:type="dxa"/>
                  <w:tcBorders>
                    <w:tl2br w:val="nil"/>
                    <w:tr2bl w:val="nil"/>
                  </w:tcBorders>
                  <w:noWrap w:val="0"/>
                  <w:vAlign w:val="center"/>
                </w:tcPr>
                <w:p w14:paraId="4718BFB7">
                  <w:pPr>
                    <w:widowControl/>
                    <w:jc w:val="center"/>
                    <w:rPr>
                      <w:color w:val="auto"/>
                      <w:kern w:val="0"/>
                      <w:sz w:val="21"/>
                      <w:szCs w:val="21"/>
                      <w:lang w:bidi="ar"/>
                    </w:rPr>
                  </w:pPr>
                  <w:r>
                    <w:rPr>
                      <w:rFonts w:hint="eastAsia"/>
                      <w:color w:val="auto"/>
                      <w:kern w:val="0"/>
                      <w:sz w:val="21"/>
                      <w:szCs w:val="21"/>
                      <w:lang w:bidi="ar"/>
                    </w:rPr>
                    <w:t>/</w:t>
                  </w:r>
                </w:p>
              </w:tc>
              <w:tc>
                <w:tcPr>
                  <w:tcW w:w="1947" w:type="dxa"/>
                  <w:tcBorders>
                    <w:tl2br w:val="nil"/>
                    <w:tr2bl w:val="nil"/>
                  </w:tcBorders>
                  <w:noWrap w:val="0"/>
                  <w:vAlign w:val="center"/>
                </w:tcPr>
                <w:p w14:paraId="3F1F82D2">
                  <w:pPr>
                    <w:widowControl/>
                    <w:jc w:val="center"/>
                    <w:rPr>
                      <w:rFonts w:hint="default" w:eastAsia="宋体"/>
                      <w:color w:val="auto"/>
                      <w:kern w:val="0"/>
                      <w:sz w:val="21"/>
                      <w:szCs w:val="21"/>
                      <w:lang w:val="en-US" w:eastAsia="zh-CN" w:bidi="ar"/>
                    </w:rPr>
                  </w:pPr>
                  <w:r>
                    <w:rPr>
                      <w:rFonts w:hint="eastAsia"/>
                      <w:color w:val="auto"/>
                      <w:kern w:val="0"/>
                      <w:sz w:val="21"/>
                      <w:szCs w:val="21"/>
                      <w:lang w:bidi="ar"/>
                    </w:rPr>
                    <w:t>0.</w:t>
                  </w:r>
                  <w:r>
                    <w:rPr>
                      <w:rFonts w:hint="eastAsia" w:eastAsia="宋体"/>
                      <w:color w:val="auto"/>
                      <w:kern w:val="0"/>
                      <w:sz w:val="21"/>
                      <w:szCs w:val="21"/>
                      <w:lang w:val="en-US" w:eastAsia="zh-CN" w:bidi="ar"/>
                    </w:rPr>
                    <w:t>24</w:t>
                  </w:r>
                </w:p>
              </w:tc>
              <w:tc>
                <w:tcPr>
                  <w:tcW w:w="1350" w:type="dxa"/>
                  <w:tcBorders>
                    <w:tl2br w:val="nil"/>
                    <w:tr2bl w:val="nil"/>
                  </w:tcBorders>
                  <w:noWrap w:val="0"/>
                  <w:vAlign w:val="center"/>
                </w:tcPr>
                <w:p w14:paraId="3E21EE59">
                  <w:pPr>
                    <w:widowControl/>
                    <w:jc w:val="center"/>
                    <w:rPr>
                      <w:color w:val="auto"/>
                      <w:kern w:val="0"/>
                      <w:sz w:val="21"/>
                      <w:szCs w:val="21"/>
                      <w:lang w:bidi="ar"/>
                    </w:rPr>
                  </w:pPr>
                  <w:r>
                    <w:rPr>
                      <w:rFonts w:hint="eastAsia"/>
                      <w:color w:val="auto"/>
                      <w:kern w:val="0"/>
                      <w:sz w:val="21"/>
                      <w:szCs w:val="21"/>
                      <w:lang w:bidi="ar"/>
                    </w:rPr>
                    <w:t>2500</w:t>
                  </w:r>
                </w:p>
              </w:tc>
              <w:tc>
                <w:tcPr>
                  <w:tcW w:w="1353" w:type="dxa"/>
                  <w:tcBorders>
                    <w:tl2br w:val="nil"/>
                    <w:tr2bl w:val="nil"/>
                  </w:tcBorders>
                  <w:noWrap w:val="0"/>
                  <w:vAlign w:val="center"/>
                </w:tcPr>
                <w:p w14:paraId="6457855A">
                  <w:pPr>
                    <w:widowControl/>
                    <w:jc w:val="center"/>
                    <w:textAlignment w:val="center"/>
                    <w:rPr>
                      <w:rFonts w:hint="default" w:eastAsia="宋体"/>
                      <w:color w:val="auto"/>
                      <w:kern w:val="0"/>
                      <w:sz w:val="21"/>
                      <w:szCs w:val="21"/>
                      <w:lang w:val="en-US" w:eastAsia="zh-CN" w:bidi="ar"/>
                    </w:rPr>
                  </w:pPr>
                  <w:r>
                    <w:rPr>
                      <w:color w:val="auto"/>
                      <w:kern w:val="0"/>
                      <w:sz w:val="21"/>
                      <w:szCs w:val="21"/>
                      <w:lang w:bidi="ar"/>
                    </w:rPr>
                    <w:t>0.0</w:t>
                  </w:r>
                  <w:r>
                    <w:rPr>
                      <w:rFonts w:hint="eastAsia"/>
                      <w:color w:val="auto"/>
                      <w:kern w:val="0"/>
                      <w:sz w:val="21"/>
                      <w:szCs w:val="21"/>
                      <w:lang w:bidi="ar"/>
                    </w:rPr>
                    <w:t>000</w:t>
                  </w:r>
                  <w:r>
                    <w:rPr>
                      <w:rFonts w:hint="eastAsia" w:eastAsia="宋体"/>
                      <w:color w:val="auto"/>
                      <w:kern w:val="0"/>
                      <w:sz w:val="21"/>
                      <w:szCs w:val="21"/>
                      <w:lang w:val="en-US" w:eastAsia="zh-CN" w:bidi="ar"/>
                    </w:rPr>
                    <w:t>96</w:t>
                  </w:r>
                </w:p>
              </w:tc>
            </w:tr>
            <w:tr w14:paraId="164CC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14" w:type="dxa"/>
                  <w:tcBorders>
                    <w:tl2br w:val="nil"/>
                    <w:tr2bl w:val="nil"/>
                  </w:tcBorders>
                  <w:noWrap w:val="0"/>
                  <w:vAlign w:val="center"/>
                </w:tcPr>
                <w:p w14:paraId="64E15BB2">
                  <w:pPr>
                    <w:widowControl/>
                    <w:jc w:val="center"/>
                    <w:rPr>
                      <w:color w:val="auto"/>
                      <w:kern w:val="0"/>
                      <w:sz w:val="21"/>
                      <w:szCs w:val="21"/>
                      <w:lang w:bidi="ar"/>
                    </w:rPr>
                  </w:pPr>
                  <w:r>
                    <w:rPr>
                      <w:color w:val="auto"/>
                      <w:kern w:val="0"/>
                      <w:sz w:val="21"/>
                      <w:szCs w:val="21"/>
                      <w:lang w:bidi="ar"/>
                    </w:rPr>
                    <w:t>2</w:t>
                  </w:r>
                </w:p>
              </w:tc>
              <w:tc>
                <w:tcPr>
                  <w:tcW w:w="1417" w:type="dxa"/>
                  <w:tcBorders>
                    <w:tl2br w:val="nil"/>
                    <w:tr2bl w:val="nil"/>
                  </w:tcBorders>
                  <w:noWrap w:val="0"/>
                  <w:vAlign w:val="center"/>
                </w:tcPr>
                <w:p w14:paraId="78E89397">
                  <w:pPr>
                    <w:widowControl/>
                    <w:jc w:val="center"/>
                    <w:rPr>
                      <w:color w:val="auto"/>
                      <w:kern w:val="0"/>
                      <w:sz w:val="21"/>
                      <w:szCs w:val="21"/>
                      <w:lang w:bidi="ar"/>
                    </w:rPr>
                  </w:pPr>
                  <w:r>
                    <w:rPr>
                      <w:rFonts w:hint="eastAsia"/>
                      <w:color w:val="auto"/>
                      <w:kern w:val="0"/>
                      <w:sz w:val="21"/>
                      <w:szCs w:val="21"/>
                      <w:lang w:bidi="ar"/>
                    </w:rPr>
                    <w:t>废机油</w:t>
                  </w:r>
                </w:p>
              </w:tc>
              <w:tc>
                <w:tcPr>
                  <w:tcW w:w="1560" w:type="dxa"/>
                  <w:tcBorders>
                    <w:tl2br w:val="nil"/>
                    <w:tr2bl w:val="nil"/>
                  </w:tcBorders>
                  <w:noWrap w:val="0"/>
                  <w:vAlign w:val="center"/>
                </w:tcPr>
                <w:p w14:paraId="462AA8EF">
                  <w:pPr>
                    <w:widowControl/>
                    <w:jc w:val="center"/>
                    <w:rPr>
                      <w:color w:val="auto"/>
                      <w:kern w:val="0"/>
                      <w:sz w:val="21"/>
                      <w:szCs w:val="21"/>
                      <w:lang w:bidi="ar"/>
                    </w:rPr>
                  </w:pPr>
                  <w:r>
                    <w:rPr>
                      <w:rFonts w:hint="eastAsia"/>
                      <w:color w:val="auto"/>
                      <w:kern w:val="0"/>
                      <w:sz w:val="21"/>
                      <w:szCs w:val="21"/>
                      <w:lang w:bidi="ar"/>
                    </w:rPr>
                    <w:t>/</w:t>
                  </w:r>
                </w:p>
              </w:tc>
              <w:tc>
                <w:tcPr>
                  <w:tcW w:w="1947" w:type="dxa"/>
                  <w:tcBorders>
                    <w:tl2br w:val="nil"/>
                    <w:tr2bl w:val="nil"/>
                  </w:tcBorders>
                  <w:noWrap w:val="0"/>
                  <w:vAlign w:val="center"/>
                </w:tcPr>
                <w:p w14:paraId="69B62CA1">
                  <w:pPr>
                    <w:widowControl/>
                    <w:jc w:val="center"/>
                    <w:rPr>
                      <w:rFonts w:hint="default" w:eastAsia="宋体"/>
                      <w:color w:val="auto"/>
                      <w:kern w:val="0"/>
                      <w:sz w:val="21"/>
                      <w:szCs w:val="21"/>
                      <w:lang w:val="en-US" w:eastAsia="zh-CN" w:bidi="ar"/>
                    </w:rPr>
                  </w:pPr>
                  <w:r>
                    <w:rPr>
                      <w:rFonts w:hint="eastAsia"/>
                      <w:color w:val="auto"/>
                      <w:kern w:val="0"/>
                      <w:sz w:val="21"/>
                      <w:szCs w:val="21"/>
                      <w:lang w:bidi="ar"/>
                    </w:rPr>
                    <w:t>0.</w:t>
                  </w:r>
                  <w:r>
                    <w:rPr>
                      <w:rFonts w:hint="eastAsia" w:eastAsia="宋体"/>
                      <w:color w:val="auto"/>
                      <w:kern w:val="0"/>
                      <w:sz w:val="21"/>
                      <w:szCs w:val="21"/>
                      <w:lang w:val="en-US" w:eastAsia="zh-CN" w:bidi="ar"/>
                    </w:rPr>
                    <w:t>02</w:t>
                  </w:r>
                </w:p>
              </w:tc>
              <w:tc>
                <w:tcPr>
                  <w:tcW w:w="1350" w:type="dxa"/>
                  <w:tcBorders>
                    <w:tl2br w:val="nil"/>
                    <w:tr2bl w:val="nil"/>
                  </w:tcBorders>
                  <w:noWrap w:val="0"/>
                  <w:vAlign w:val="center"/>
                </w:tcPr>
                <w:p w14:paraId="5A934240">
                  <w:pPr>
                    <w:widowControl/>
                    <w:jc w:val="center"/>
                    <w:rPr>
                      <w:color w:val="auto"/>
                      <w:kern w:val="0"/>
                      <w:sz w:val="21"/>
                      <w:szCs w:val="21"/>
                      <w:lang w:bidi="ar"/>
                    </w:rPr>
                  </w:pPr>
                  <w:r>
                    <w:rPr>
                      <w:rFonts w:hint="eastAsia"/>
                      <w:color w:val="auto"/>
                      <w:kern w:val="0"/>
                      <w:sz w:val="21"/>
                      <w:szCs w:val="21"/>
                      <w:lang w:bidi="ar"/>
                    </w:rPr>
                    <w:t>250</w:t>
                  </w:r>
                  <w:r>
                    <w:rPr>
                      <w:color w:val="auto"/>
                      <w:kern w:val="0"/>
                      <w:sz w:val="21"/>
                      <w:szCs w:val="21"/>
                      <w:lang w:bidi="ar"/>
                    </w:rPr>
                    <w:t>0</w:t>
                  </w:r>
                </w:p>
              </w:tc>
              <w:tc>
                <w:tcPr>
                  <w:tcW w:w="1353" w:type="dxa"/>
                  <w:tcBorders>
                    <w:tl2br w:val="nil"/>
                    <w:tr2bl w:val="nil"/>
                  </w:tcBorders>
                  <w:noWrap w:val="0"/>
                  <w:vAlign w:val="center"/>
                </w:tcPr>
                <w:p w14:paraId="7421C94B">
                  <w:pPr>
                    <w:widowControl/>
                    <w:jc w:val="center"/>
                    <w:textAlignment w:val="center"/>
                    <w:rPr>
                      <w:rFonts w:hint="default" w:eastAsia="宋体"/>
                      <w:color w:val="auto"/>
                      <w:kern w:val="0"/>
                      <w:sz w:val="21"/>
                      <w:szCs w:val="21"/>
                      <w:lang w:val="en-US" w:eastAsia="zh-CN" w:bidi="ar"/>
                    </w:rPr>
                  </w:pPr>
                  <w:r>
                    <w:rPr>
                      <w:rFonts w:hint="eastAsia"/>
                      <w:color w:val="auto"/>
                      <w:kern w:val="0"/>
                      <w:sz w:val="21"/>
                      <w:szCs w:val="21"/>
                      <w:lang w:bidi="ar"/>
                    </w:rPr>
                    <w:t>0.0000</w:t>
                  </w:r>
                  <w:r>
                    <w:rPr>
                      <w:rFonts w:hint="eastAsia" w:eastAsia="宋体"/>
                      <w:color w:val="auto"/>
                      <w:kern w:val="0"/>
                      <w:sz w:val="21"/>
                      <w:szCs w:val="21"/>
                      <w:lang w:val="en-US" w:eastAsia="zh-CN" w:bidi="ar"/>
                    </w:rPr>
                    <w:t>08</w:t>
                  </w:r>
                </w:p>
              </w:tc>
            </w:tr>
            <w:tr w14:paraId="1166D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88" w:type="dxa"/>
                  <w:gridSpan w:val="5"/>
                  <w:tcBorders>
                    <w:tl2br w:val="nil"/>
                    <w:tr2bl w:val="nil"/>
                  </w:tcBorders>
                  <w:noWrap w:val="0"/>
                  <w:vAlign w:val="center"/>
                </w:tcPr>
                <w:p w14:paraId="64D27784">
                  <w:pPr>
                    <w:widowControl/>
                    <w:jc w:val="center"/>
                    <w:rPr>
                      <w:color w:val="auto"/>
                      <w:kern w:val="0"/>
                      <w:sz w:val="21"/>
                      <w:szCs w:val="21"/>
                      <w:lang w:bidi="ar"/>
                    </w:rPr>
                  </w:pPr>
                  <w:r>
                    <w:rPr>
                      <w:color w:val="auto"/>
                      <w:kern w:val="0"/>
                      <w:sz w:val="21"/>
                      <w:szCs w:val="21"/>
                      <w:lang w:bidi="ar"/>
                    </w:rPr>
                    <w:t>合计</w:t>
                  </w:r>
                </w:p>
              </w:tc>
              <w:tc>
                <w:tcPr>
                  <w:tcW w:w="1353" w:type="dxa"/>
                  <w:tcBorders>
                    <w:tl2br w:val="nil"/>
                    <w:tr2bl w:val="nil"/>
                  </w:tcBorders>
                  <w:noWrap w:val="0"/>
                  <w:vAlign w:val="center"/>
                </w:tcPr>
                <w:p w14:paraId="6931349F">
                  <w:pPr>
                    <w:widowControl/>
                    <w:jc w:val="center"/>
                    <w:textAlignment w:val="center"/>
                    <w:rPr>
                      <w:rFonts w:hint="default" w:eastAsia="宋体"/>
                      <w:color w:val="auto"/>
                      <w:kern w:val="0"/>
                      <w:sz w:val="21"/>
                      <w:szCs w:val="21"/>
                      <w:lang w:val="en-US" w:eastAsia="zh-CN" w:bidi="ar"/>
                    </w:rPr>
                  </w:pPr>
                  <w:r>
                    <w:rPr>
                      <w:color w:val="auto"/>
                      <w:kern w:val="0"/>
                      <w:sz w:val="21"/>
                      <w:szCs w:val="21"/>
                      <w:lang w:bidi="ar"/>
                    </w:rPr>
                    <w:t>0.0</w:t>
                  </w:r>
                  <w:r>
                    <w:rPr>
                      <w:rFonts w:hint="eastAsia" w:eastAsia="宋体"/>
                      <w:color w:val="auto"/>
                      <w:kern w:val="0"/>
                      <w:sz w:val="21"/>
                      <w:szCs w:val="21"/>
                      <w:lang w:val="en-US" w:eastAsia="zh-CN" w:bidi="ar"/>
                    </w:rPr>
                    <w:t>00104</w:t>
                  </w:r>
                </w:p>
              </w:tc>
            </w:tr>
          </w:tbl>
          <w:p w14:paraId="7763618C">
            <w:pPr>
              <w:pStyle w:val="96"/>
              <w:adjustRightInd/>
              <w:snapToGrid/>
              <w:spacing w:line="360" w:lineRule="auto"/>
              <w:ind w:firstLine="480" w:firstLineChars="200"/>
              <w:jc w:val="both"/>
              <w:rPr>
                <w:rFonts w:hint="eastAsia"/>
                <w:color w:val="auto"/>
              </w:rPr>
            </w:pPr>
            <w:r>
              <w:rPr>
                <w:color w:val="auto"/>
              </w:rPr>
              <w:t>本项目Q=0.</w:t>
            </w:r>
            <w:r>
              <w:rPr>
                <w:rFonts w:hint="eastAsia" w:eastAsia="宋体"/>
                <w:color w:val="auto"/>
                <w:lang w:val="en-US" w:eastAsia="zh-CN"/>
              </w:rPr>
              <w:t>000104</w:t>
            </w:r>
            <w:r>
              <w:rPr>
                <w:color w:val="auto"/>
              </w:rPr>
              <w:t>＜1，项目环境风险潜势为I。</w:t>
            </w:r>
          </w:p>
          <w:p w14:paraId="0DCF9F23">
            <w:pPr>
              <w:pStyle w:val="96"/>
              <w:adjustRightInd/>
              <w:snapToGrid/>
              <w:spacing w:line="360" w:lineRule="auto"/>
              <w:ind w:firstLine="480" w:firstLineChars="200"/>
              <w:jc w:val="both"/>
              <w:rPr>
                <w:color w:val="auto"/>
              </w:rPr>
            </w:pPr>
            <w:r>
              <w:rPr>
                <w:rFonts w:hint="eastAsia"/>
                <w:color w:val="auto"/>
              </w:rPr>
              <w:t>（</w:t>
            </w:r>
            <w:r>
              <w:rPr>
                <w:color w:val="auto"/>
              </w:rPr>
              <w:t>2</w:t>
            </w:r>
            <w:r>
              <w:rPr>
                <w:bCs/>
                <w:color w:val="auto"/>
              </w:rPr>
              <w:t>）环境风险简要分析</w:t>
            </w:r>
          </w:p>
          <w:p w14:paraId="586B8A8C">
            <w:pPr>
              <w:pStyle w:val="96"/>
              <w:adjustRightInd/>
              <w:snapToGrid/>
              <w:spacing w:line="360" w:lineRule="auto"/>
              <w:ind w:firstLine="480" w:firstLineChars="200"/>
              <w:jc w:val="both"/>
              <w:rPr>
                <w:rFonts w:hint="eastAsia"/>
                <w:b/>
                <w:bCs/>
                <w:color w:val="auto"/>
              </w:rPr>
            </w:pPr>
            <w:r>
              <w:rPr>
                <w:color w:val="auto"/>
              </w:rPr>
              <w:t>根据《建设项目环境影响报告表编制技术指南》（污染影响类）（试行可知），有毒有害和易燃易爆危险物质储存量超过临界量的建设项目需进行专项评价（临界量及计算方法可参考《建设项目环境风险评价技术导则》（HJ169）附录B和附录C），本项目危险物质储存量未超过临界量，无需进行专项评价。</w:t>
            </w:r>
          </w:p>
          <w:p w14:paraId="193BF2CD">
            <w:pPr>
              <w:pStyle w:val="96"/>
              <w:adjustRightInd/>
              <w:snapToGrid/>
              <w:spacing w:line="360" w:lineRule="auto"/>
              <w:ind w:firstLine="480" w:firstLineChars="200"/>
              <w:jc w:val="both"/>
              <w:rPr>
                <w:bCs/>
                <w:color w:val="auto"/>
              </w:rPr>
            </w:pPr>
            <w:r>
              <w:rPr>
                <w:rFonts w:hint="eastAsia"/>
                <w:bCs/>
                <w:color w:val="auto"/>
              </w:rPr>
              <w:t>（</w:t>
            </w:r>
            <w:r>
              <w:rPr>
                <w:bCs/>
                <w:color w:val="auto"/>
              </w:rPr>
              <w:t>3）风险防范措施及分析</w:t>
            </w:r>
          </w:p>
          <w:p w14:paraId="609B60BF">
            <w:pPr>
              <w:pStyle w:val="96"/>
              <w:adjustRightInd/>
              <w:snapToGrid/>
              <w:spacing w:line="360" w:lineRule="auto"/>
              <w:ind w:firstLine="480" w:firstLineChars="200"/>
              <w:jc w:val="both"/>
              <w:rPr>
                <w:color w:val="auto"/>
              </w:rPr>
            </w:pPr>
            <w:r>
              <w:rPr>
                <w:rFonts w:hint="eastAsia"/>
                <w:color w:val="auto"/>
              </w:rPr>
              <w:t>1）</w:t>
            </w:r>
            <w:r>
              <w:rPr>
                <w:color w:val="auto"/>
              </w:rPr>
              <w:t>本环评建议项目建设单位采取如下措施：</w:t>
            </w:r>
          </w:p>
          <w:p w14:paraId="5A98B648">
            <w:pPr>
              <w:pStyle w:val="96"/>
              <w:adjustRightInd/>
              <w:snapToGrid/>
              <w:spacing w:line="360" w:lineRule="auto"/>
              <w:ind w:firstLine="480" w:firstLineChars="200"/>
              <w:jc w:val="both"/>
              <w:rPr>
                <w:color w:val="auto"/>
              </w:rPr>
            </w:pPr>
            <w:r>
              <w:rPr>
                <w:rFonts w:hint="eastAsia"/>
                <w:color w:val="auto"/>
              </w:rPr>
              <w:t>①、</w:t>
            </w:r>
            <w:r>
              <w:rPr>
                <w:color w:val="auto"/>
              </w:rPr>
              <w:t>定期对操作人员进行安全生产与安全知识培训，并制定严格的安全操作规程，切实加强生产过程中的温度控制，保证劳动安全，防止意外事故的发生。</w:t>
            </w:r>
          </w:p>
          <w:p w14:paraId="7A7FE1E2">
            <w:pPr>
              <w:pStyle w:val="96"/>
              <w:adjustRightInd/>
              <w:snapToGrid/>
              <w:spacing w:line="360" w:lineRule="auto"/>
              <w:ind w:firstLine="480" w:firstLineChars="200"/>
              <w:jc w:val="both"/>
              <w:rPr>
                <w:color w:val="auto"/>
              </w:rPr>
            </w:pPr>
            <w:r>
              <w:rPr>
                <w:rFonts w:hint="eastAsia"/>
                <w:color w:val="auto"/>
              </w:rPr>
              <w:t>②、</w:t>
            </w:r>
            <w:r>
              <w:rPr>
                <w:color w:val="auto"/>
              </w:rPr>
              <w:t>易燃物品贮存区禁止明火进入，禁止使用易产生火花的设备和工具。</w:t>
            </w:r>
          </w:p>
          <w:p w14:paraId="71464852">
            <w:pPr>
              <w:pStyle w:val="96"/>
              <w:adjustRightInd/>
              <w:snapToGrid/>
              <w:spacing w:line="360" w:lineRule="auto"/>
              <w:ind w:firstLine="480" w:firstLineChars="200"/>
              <w:jc w:val="both"/>
              <w:rPr>
                <w:color w:val="auto"/>
              </w:rPr>
            </w:pPr>
            <w:r>
              <w:rPr>
                <w:rFonts w:hint="eastAsia"/>
                <w:color w:val="auto"/>
              </w:rPr>
              <w:t>③、</w:t>
            </w:r>
            <w:r>
              <w:rPr>
                <w:color w:val="auto"/>
              </w:rPr>
              <w:t>车间内应按消防要求配备足够型号相符的灭火器，车间工作人员及相关责任人均应熟悉其放置地点、用法，而且要经常检查，消防通道保持畅通。</w:t>
            </w:r>
          </w:p>
          <w:p w14:paraId="751BD4C7">
            <w:pPr>
              <w:pStyle w:val="96"/>
              <w:adjustRightInd/>
              <w:snapToGrid/>
              <w:spacing w:line="360" w:lineRule="auto"/>
              <w:ind w:firstLine="480" w:firstLineChars="200"/>
              <w:jc w:val="both"/>
              <w:rPr>
                <w:color w:val="auto"/>
              </w:rPr>
            </w:pPr>
            <w:r>
              <w:rPr>
                <w:rFonts w:hint="eastAsia"/>
                <w:color w:val="auto"/>
              </w:rPr>
              <w:t>④、</w:t>
            </w:r>
            <w:r>
              <w:rPr>
                <w:color w:val="auto"/>
              </w:rPr>
              <w:t>火灾发生时，先把总电源关掉，告知车间内其他人员，同时联络消防队，利用灭火器尽量灭火，如果无效，应该马上离开现场到安全地点集合，在离开时要确保所有人都已经离开车间。</w:t>
            </w:r>
          </w:p>
          <w:p w14:paraId="1DAFDA13">
            <w:pPr>
              <w:pStyle w:val="96"/>
              <w:adjustRightInd/>
              <w:snapToGrid/>
              <w:spacing w:line="360" w:lineRule="auto"/>
              <w:ind w:firstLine="480" w:firstLineChars="200"/>
              <w:jc w:val="both"/>
              <w:rPr>
                <w:color w:val="auto"/>
              </w:rPr>
            </w:pPr>
            <w:r>
              <w:rPr>
                <w:rFonts w:hint="eastAsia"/>
                <w:color w:val="auto"/>
              </w:rPr>
              <w:t>⑤、</w:t>
            </w:r>
            <w:r>
              <w:rPr>
                <w:color w:val="auto"/>
              </w:rPr>
              <w:t>生产厂房、易燃物品贮存区须确保全面通风、配备相应品种和数量的消防器材、设置必要的防火防爆与降温等技术措施，预留必要的安全间距，远离火种和热源，防止阳光直射。</w:t>
            </w:r>
          </w:p>
          <w:p w14:paraId="5E8A05CB">
            <w:pPr>
              <w:pStyle w:val="96"/>
              <w:adjustRightInd/>
              <w:snapToGrid/>
              <w:spacing w:line="360" w:lineRule="auto"/>
              <w:ind w:firstLine="480" w:firstLineChars="200"/>
              <w:jc w:val="both"/>
              <w:rPr>
                <w:bCs/>
                <w:color w:val="auto"/>
              </w:rPr>
            </w:pPr>
            <w:r>
              <w:rPr>
                <w:rFonts w:hint="eastAsia"/>
                <w:color w:val="auto"/>
              </w:rPr>
              <w:t>⑥、</w:t>
            </w:r>
            <w:r>
              <w:rPr>
                <w:color w:val="auto"/>
              </w:rPr>
              <w:t>原辅料入库时，应有完整、准确、清晰的产品包装标志、检验合格证和说明书。化学品仓所存放的材料量最好不应超过最大储存量，隔离仓库应采用耐火墙和耐火极限不低于1.5h的不燃烧体楼板与其他部分隔开，地面做好防渗等三防措施。原料仓库禁止带火种入库，库内严禁吸烟，库内不准明火作业，做好通风、降温、防火、防爆、防潮等措施，并按照安全、技术的措施执行。</w:t>
            </w:r>
          </w:p>
          <w:p w14:paraId="4C74A2C3">
            <w:pPr>
              <w:pStyle w:val="96"/>
              <w:adjustRightInd/>
              <w:snapToGrid/>
              <w:spacing w:line="360" w:lineRule="auto"/>
              <w:ind w:firstLine="480" w:firstLineChars="200"/>
              <w:jc w:val="both"/>
              <w:rPr>
                <w:bCs/>
                <w:color w:val="auto"/>
              </w:rPr>
            </w:pPr>
            <w:r>
              <w:rPr>
                <w:rFonts w:hint="eastAsia"/>
                <w:bCs/>
                <w:color w:val="auto"/>
              </w:rPr>
              <w:t>2）</w:t>
            </w:r>
            <w:r>
              <w:rPr>
                <w:bCs/>
                <w:color w:val="auto"/>
              </w:rPr>
              <w:t>应急防范措施：</w:t>
            </w:r>
          </w:p>
          <w:p w14:paraId="3F6A19A6">
            <w:pPr>
              <w:pStyle w:val="96"/>
              <w:adjustRightInd/>
              <w:snapToGrid/>
              <w:spacing w:line="360" w:lineRule="auto"/>
              <w:ind w:firstLine="480" w:firstLineChars="200"/>
              <w:jc w:val="both"/>
              <w:rPr>
                <w:bCs/>
                <w:color w:val="auto"/>
              </w:rPr>
            </w:pPr>
            <w:r>
              <w:rPr>
                <w:bCs/>
                <w:color w:val="auto"/>
              </w:rPr>
              <w:t>为了避免火灾、爆炸等突发环境事件发生造成现场混乱，贻误救灾时机，造成重大的人员伤亡和财产损失，结合项目的实际情况特制订以下应急处理要求</w:t>
            </w:r>
            <w:r>
              <w:rPr>
                <w:rFonts w:hint="eastAsia"/>
                <w:bCs/>
                <w:color w:val="auto"/>
              </w:rPr>
              <w:t>∶</w:t>
            </w:r>
          </w:p>
          <w:p w14:paraId="03F3DCCB">
            <w:pPr>
              <w:pStyle w:val="96"/>
              <w:adjustRightInd/>
              <w:snapToGrid/>
              <w:spacing w:line="360" w:lineRule="auto"/>
              <w:ind w:firstLine="480" w:firstLineChars="200"/>
              <w:jc w:val="both"/>
              <w:rPr>
                <w:bCs/>
                <w:color w:val="auto"/>
              </w:rPr>
            </w:pPr>
            <w:r>
              <w:rPr>
                <w:rFonts w:hint="eastAsia"/>
                <w:bCs/>
                <w:color w:val="auto"/>
              </w:rPr>
              <w:t>①、</w:t>
            </w:r>
            <w:r>
              <w:rPr>
                <w:bCs/>
                <w:color w:val="auto"/>
              </w:rPr>
              <w:t>发生火灾时，在岗员工应立即对初起火灾进行扑救，就近原则运用灭火器材（如灭火器、消防栓等）扑灭火源。</w:t>
            </w:r>
          </w:p>
          <w:p w14:paraId="10916A3F">
            <w:pPr>
              <w:pStyle w:val="96"/>
              <w:adjustRightInd/>
              <w:snapToGrid/>
              <w:spacing w:line="360" w:lineRule="auto"/>
              <w:ind w:firstLine="480" w:firstLineChars="200"/>
              <w:jc w:val="both"/>
              <w:rPr>
                <w:bCs/>
                <w:color w:val="auto"/>
              </w:rPr>
            </w:pPr>
            <w:r>
              <w:rPr>
                <w:rFonts w:hint="eastAsia"/>
                <w:bCs/>
                <w:color w:val="auto"/>
              </w:rPr>
              <w:t>②、</w:t>
            </w:r>
            <w:r>
              <w:rPr>
                <w:bCs/>
                <w:color w:val="auto"/>
              </w:rPr>
              <w:t>当火势未能得到控制时，要立即通知当班保安和站区负责人，说明火灾发生部位及火情。</w:t>
            </w:r>
          </w:p>
          <w:p w14:paraId="340856BF">
            <w:pPr>
              <w:pStyle w:val="96"/>
              <w:adjustRightInd/>
              <w:snapToGrid/>
              <w:spacing w:line="360" w:lineRule="auto"/>
              <w:ind w:firstLine="480" w:firstLineChars="200"/>
              <w:jc w:val="both"/>
              <w:rPr>
                <w:bCs/>
                <w:color w:val="auto"/>
              </w:rPr>
            </w:pPr>
            <w:r>
              <w:rPr>
                <w:rFonts w:hint="eastAsia"/>
                <w:bCs/>
                <w:color w:val="auto"/>
              </w:rPr>
              <w:t>③、</w:t>
            </w:r>
            <w:r>
              <w:rPr>
                <w:bCs/>
                <w:color w:val="auto"/>
              </w:rPr>
              <w:t>当班保安及</w:t>
            </w:r>
            <w:r>
              <w:rPr>
                <w:rFonts w:hint="eastAsia"/>
                <w:bCs/>
                <w:color w:val="auto"/>
              </w:rPr>
              <w:t>厂</w:t>
            </w:r>
            <w:r>
              <w:rPr>
                <w:bCs/>
                <w:color w:val="auto"/>
              </w:rPr>
              <w:t>区负责人接到火警后，立即调集全体安保员利用身边的灭火器材赶到现场参加扑救，并且做好火灾（或爆炸）现场人员秩序维护和无关人员的疏散撤离工作。</w:t>
            </w:r>
          </w:p>
          <w:p w14:paraId="24353856">
            <w:pPr>
              <w:pStyle w:val="96"/>
              <w:adjustRightInd/>
              <w:snapToGrid/>
              <w:spacing w:line="360" w:lineRule="auto"/>
              <w:ind w:firstLine="480" w:firstLineChars="200"/>
              <w:jc w:val="both"/>
              <w:rPr>
                <w:bCs/>
                <w:color w:val="auto"/>
              </w:rPr>
            </w:pPr>
            <w:r>
              <w:rPr>
                <w:rFonts w:hint="eastAsia"/>
                <w:bCs/>
                <w:color w:val="auto"/>
              </w:rPr>
              <w:t>④、</w:t>
            </w:r>
            <w:r>
              <w:rPr>
                <w:bCs/>
                <w:color w:val="auto"/>
              </w:rPr>
              <w:t>当事故蔓延到非本单位力量所能控制的程度时，在岗员工应立即安排报警119，报警人员应向消防部门详细报告火灾（或爆炸）的现场情况，包括具体位置、燃烧物资、人员围困情况、联系电话和姓名等信息，并安排人员到路口接消防车，以便消防队员把握火灾情况和尽快抵达，采取相应的扑救措施，抓住救灾时机。</w:t>
            </w:r>
          </w:p>
          <w:p w14:paraId="170B5FF3">
            <w:pPr>
              <w:pStyle w:val="96"/>
              <w:adjustRightInd/>
              <w:snapToGrid/>
              <w:spacing w:line="360" w:lineRule="auto"/>
              <w:ind w:firstLine="480" w:firstLineChars="200"/>
              <w:jc w:val="both"/>
              <w:rPr>
                <w:rFonts w:hint="eastAsia"/>
                <w:bCs/>
                <w:color w:val="auto"/>
              </w:rPr>
            </w:pPr>
            <w:r>
              <w:rPr>
                <w:rFonts w:hint="eastAsia"/>
                <w:bCs/>
                <w:color w:val="auto"/>
              </w:rPr>
              <w:t>⑤、</w:t>
            </w:r>
            <w:r>
              <w:rPr>
                <w:bCs/>
                <w:color w:val="auto"/>
              </w:rPr>
              <w:t>及时通知公安部门，组织事故现场周围设岗，划分禁区、加强警戒。和巡逻检查，设置警戒线，封锁有关道路，制止无关人员进入，指挥各种抢救车辆，有秩序进入抢救区域，指挥群众按规定路线疏散。</w:t>
            </w:r>
          </w:p>
          <w:p w14:paraId="7F6138A2">
            <w:pPr>
              <w:pStyle w:val="96"/>
              <w:adjustRightInd/>
              <w:snapToGrid/>
              <w:spacing w:line="360" w:lineRule="auto"/>
              <w:ind w:firstLine="480" w:firstLineChars="200"/>
              <w:jc w:val="both"/>
              <w:rPr>
                <w:color w:val="auto"/>
              </w:rPr>
            </w:pPr>
            <w:r>
              <w:rPr>
                <w:rFonts w:hint="eastAsia"/>
                <w:color w:val="auto"/>
              </w:rPr>
              <w:t>3）</w:t>
            </w:r>
            <w:r>
              <w:rPr>
                <w:color w:val="auto"/>
              </w:rPr>
              <w:t>建设单位应当组织编制应急预案，一旦发生事故协作采取应急防护措施，协同将事故发生后对环境造成的危害控制和减小。</w:t>
            </w:r>
          </w:p>
          <w:p w14:paraId="08AE6628">
            <w:pPr>
              <w:pStyle w:val="96"/>
              <w:adjustRightInd/>
              <w:snapToGrid/>
              <w:spacing w:line="360" w:lineRule="auto"/>
              <w:ind w:firstLine="480" w:firstLineChars="200"/>
              <w:jc w:val="both"/>
              <w:rPr>
                <w:color w:val="auto"/>
              </w:rPr>
            </w:pPr>
            <w:r>
              <w:rPr>
                <w:rFonts w:hint="eastAsia"/>
                <w:color w:val="auto"/>
              </w:rPr>
              <w:t>4）</w:t>
            </w:r>
            <w:r>
              <w:rPr>
                <w:color w:val="auto"/>
              </w:rPr>
              <w:t>根据生产装置的特性，储存物品的火灾危险性，为便于生产管理，在保证有足够的安全距离，满足防火要求的前提下，本工程总平面布置上，按功能分区集中布置。区与区之间的距离按防火间距要求确定。</w:t>
            </w:r>
          </w:p>
          <w:p w14:paraId="6CD234F9">
            <w:pPr>
              <w:pStyle w:val="96"/>
              <w:adjustRightInd/>
              <w:snapToGrid/>
              <w:spacing w:line="360" w:lineRule="auto"/>
              <w:ind w:firstLine="480" w:firstLineChars="200"/>
              <w:jc w:val="both"/>
              <w:rPr>
                <w:color w:val="auto"/>
              </w:rPr>
            </w:pPr>
            <w:r>
              <w:rPr>
                <w:rFonts w:hint="eastAsia"/>
                <w:color w:val="auto"/>
              </w:rPr>
              <w:t>5）</w:t>
            </w:r>
            <w:r>
              <w:rPr>
                <w:color w:val="auto"/>
              </w:rPr>
              <w:t>严格按照消防安全的相关规定，在实验室相应位置设置灭火器材。不得在</w:t>
            </w:r>
            <w:r>
              <w:rPr>
                <w:rFonts w:hint="eastAsia"/>
                <w:color w:val="auto"/>
              </w:rPr>
              <w:t>原料仓库和车间</w:t>
            </w:r>
            <w:r>
              <w:rPr>
                <w:color w:val="auto"/>
              </w:rPr>
              <w:t>内使用明火，必须使用时，采取防火措施，将动火部位及周围的可燃物彻底清除，并准备好灭火器材，动火后应有专人检查，防止留下余火。</w:t>
            </w:r>
          </w:p>
          <w:p w14:paraId="2C3C8135">
            <w:pPr>
              <w:pStyle w:val="96"/>
              <w:adjustRightInd/>
              <w:snapToGrid/>
              <w:spacing w:line="360" w:lineRule="auto"/>
              <w:ind w:firstLine="480" w:firstLineChars="200"/>
              <w:jc w:val="both"/>
              <w:rPr>
                <w:color w:val="auto"/>
              </w:rPr>
            </w:pPr>
            <w:r>
              <w:rPr>
                <w:color w:val="auto"/>
              </w:rPr>
              <w:t>（</w:t>
            </w:r>
            <w:r>
              <w:rPr>
                <w:rFonts w:hint="eastAsia"/>
                <w:color w:val="auto"/>
              </w:rPr>
              <w:t>4</w:t>
            </w:r>
            <w:r>
              <w:rPr>
                <w:color w:val="auto"/>
              </w:rPr>
              <w:t>）分析结论</w:t>
            </w:r>
          </w:p>
          <w:p w14:paraId="345D98C0">
            <w:pPr>
              <w:pStyle w:val="96"/>
              <w:adjustRightInd/>
              <w:snapToGrid/>
              <w:spacing w:line="360" w:lineRule="auto"/>
              <w:ind w:firstLine="480" w:firstLineChars="200"/>
              <w:jc w:val="both"/>
              <w:rPr>
                <w:color w:val="auto"/>
              </w:rPr>
            </w:pPr>
            <w:r>
              <w:rPr>
                <w:color w:val="auto"/>
              </w:rPr>
              <w:t>项目采取有效的预防、应急措施，并从各方面积极采取防护措施，落实本项目的环境风险防范措施。</w:t>
            </w:r>
          </w:p>
          <w:p w14:paraId="4FFDC43D">
            <w:pPr>
              <w:pStyle w:val="96"/>
              <w:adjustRightInd/>
              <w:snapToGrid/>
              <w:spacing w:line="360" w:lineRule="auto"/>
              <w:ind w:firstLine="480" w:firstLineChars="200"/>
              <w:jc w:val="both"/>
              <w:rPr>
                <w:color w:val="auto"/>
              </w:rPr>
            </w:pPr>
            <w:r>
              <w:rPr>
                <w:color w:val="auto"/>
              </w:rPr>
              <w:t>为避免风险事故发生后对环境造成的污染，建设单位首先应树立并强化风险意识，在实际工作与管理过程中，应按照环保部门的要求，严格落实环境风险防患措施，并自觉接受环保部门的监督管理。同时，建设单位应制定切实可行的突发环境事件应急预案，并保证应急响应系统在事故状态下立即启动，加强管理，同时定期检验风险事故应急预案，当出现事故时要采取紧急应急措施，可以控制事故和减少对环境造成的危害。</w:t>
            </w:r>
          </w:p>
          <w:p w14:paraId="27486077">
            <w:pPr>
              <w:pStyle w:val="96"/>
              <w:adjustRightInd/>
              <w:snapToGrid/>
              <w:spacing w:line="360" w:lineRule="auto"/>
              <w:ind w:firstLine="480" w:firstLineChars="200"/>
              <w:jc w:val="both"/>
              <w:rPr>
                <w:color w:val="auto"/>
              </w:rPr>
            </w:pPr>
            <w:r>
              <w:rPr>
                <w:color w:val="auto"/>
              </w:rPr>
              <w:t>建设单位应在生产过程切实落实消防和劳动安全主管部门的要求以及本报告中提出的各项环保措施和对策建议，则本项目可最大限度地降低环境风险。在加强管理的前提下，本项目的环境风险是可以接受的。</w:t>
            </w:r>
          </w:p>
          <w:p w14:paraId="7A130BD0">
            <w:pPr>
              <w:pStyle w:val="98"/>
              <w:rPr>
                <w:rFonts w:hint="eastAsia"/>
                <w:color w:val="auto"/>
                <w:sz w:val="24"/>
              </w:rPr>
            </w:pPr>
            <w:r>
              <w:rPr>
                <w:color w:val="auto"/>
                <w:sz w:val="24"/>
              </w:rPr>
              <w:t>建设项目环境风险简单分析内容见表4-</w:t>
            </w:r>
            <w:r>
              <w:rPr>
                <w:rFonts w:hint="eastAsia"/>
                <w:color w:val="auto"/>
                <w:sz w:val="24"/>
              </w:rPr>
              <w:t>13</w:t>
            </w:r>
            <w:r>
              <w:rPr>
                <w:color w:val="auto"/>
                <w:sz w:val="24"/>
              </w:rPr>
              <w:t>。</w:t>
            </w:r>
          </w:p>
          <w:p w14:paraId="475B22CB">
            <w:pPr>
              <w:keepNext w:val="0"/>
              <w:keepLines w:val="0"/>
              <w:pageBreakBefore w:val="0"/>
              <w:widowControl/>
              <w:kinsoku/>
              <w:wordWrap/>
              <w:overflowPunct/>
              <w:topLinePunct w:val="0"/>
              <w:autoSpaceDE/>
              <w:autoSpaceDN/>
              <w:bidi w:val="0"/>
              <w:adjustRightInd/>
              <w:snapToGrid/>
              <w:spacing w:line="240" w:lineRule="auto"/>
              <w:jc w:val="center"/>
              <w:textAlignment w:val="auto"/>
              <w:rPr>
                <w:b/>
                <w:bCs/>
                <w:color w:val="auto"/>
                <w:kern w:val="0"/>
                <w:szCs w:val="21"/>
                <w:lang w:bidi="ar"/>
              </w:rPr>
            </w:pPr>
            <w:r>
              <w:rPr>
                <w:b/>
                <w:bCs/>
                <w:color w:val="auto"/>
                <w:kern w:val="0"/>
                <w:szCs w:val="21"/>
                <w:lang w:bidi="ar"/>
              </w:rPr>
              <w:t>表4-</w:t>
            </w:r>
            <w:r>
              <w:rPr>
                <w:rFonts w:hint="eastAsia"/>
                <w:b/>
                <w:bCs/>
                <w:color w:val="auto"/>
                <w:kern w:val="0"/>
                <w:szCs w:val="21"/>
                <w:lang w:bidi="ar"/>
              </w:rPr>
              <w:t>1</w:t>
            </w:r>
            <w:r>
              <w:rPr>
                <w:rFonts w:hint="eastAsia" w:eastAsia="宋体"/>
                <w:b/>
                <w:bCs/>
                <w:color w:val="auto"/>
                <w:kern w:val="0"/>
                <w:szCs w:val="21"/>
                <w:lang w:val="en-US" w:eastAsia="zh-CN" w:bidi="ar"/>
              </w:rPr>
              <w:t>6</w:t>
            </w:r>
            <w:r>
              <w:rPr>
                <w:rFonts w:hint="eastAsia"/>
                <w:b/>
                <w:bCs/>
                <w:color w:val="auto"/>
                <w:kern w:val="0"/>
                <w:szCs w:val="21"/>
                <w:lang w:bidi="ar"/>
              </w:rPr>
              <w:t xml:space="preserve"> </w:t>
            </w:r>
            <w:r>
              <w:rPr>
                <w:b/>
                <w:bCs/>
                <w:color w:val="auto"/>
                <w:kern w:val="0"/>
                <w:szCs w:val="21"/>
                <w:lang w:bidi="ar"/>
              </w:rPr>
              <w:t xml:space="preserve"> 建设项目环境风险简单分析内容表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1"/>
              <w:gridCol w:w="946"/>
              <w:gridCol w:w="1518"/>
              <w:gridCol w:w="1244"/>
              <w:gridCol w:w="2267"/>
            </w:tblGrid>
            <w:tr w14:paraId="11E84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6" w:type="dxa"/>
                  <w:tcBorders>
                    <w:tl2br w:val="nil"/>
                    <w:tr2bl w:val="nil"/>
                  </w:tcBorders>
                  <w:noWrap w:val="0"/>
                  <w:vAlign w:val="center"/>
                </w:tcPr>
                <w:p w14:paraId="3663F938">
                  <w:pPr>
                    <w:spacing w:line="360" w:lineRule="exact"/>
                    <w:jc w:val="center"/>
                    <w:rPr>
                      <w:b/>
                      <w:color w:val="auto"/>
                      <w:sz w:val="21"/>
                      <w:szCs w:val="21"/>
                    </w:rPr>
                  </w:pPr>
                  <w:r>
                    <w:rPr>
                      <w:b/>
                      <w:color w:val="auto"/>
                      <w:sz w:val="21"/>
                      <w:szCs w:val="21"/>
                    </w:rPr>
                    <w:t>建设项目名称</w:t>
                  </w:r>
                </w:p>
              </w:tc>
              <w:tc>
                <w:tcPr>
                  <w:tcW w:w="6136" w:type="dxa"/>
                  <w:gridSpan w:val="4"/>
                  <w:tcBorders>
                    <w:tl2br w:val="nil"/>
                    <w:tr2bl w:val="nil"/>
                  </w:tcBorders>
                  <w:noWrap w:val="0"/>
                  <w:vAlign w:val="center"/>
                </w:tcPr>
                <w:p w14:paraId="776786E9">
                  <w:pPr>
                    <w:spacing w:line="360" w:lineRule="exact"/>
                    <w:jc w:val="center"/>
                    <w:rPr>
                      <w:b/>
                      <w:color w:val="auto"/>
                      <w:sz w:val="21"/>
                      <w:szCs w:val="21"/>
                    </w:rPr>
                  </w:pPr>
                  <w:r>
                    <w:rPr>
                      <w:rFonts w:hint="eastAsia" w:ascii="宋体" w:eastAsia="宋体"/>
                      <w:color w:val="auto"/>
                      <w:sz w:val="21"/>
                      <w:szCs w:val="21"/>
                    </w:rPr>
                    <w:t>江西鑫润绿色循环发展有限公司再生塑料颗粒技术改造</w:t>
                  </w:r>
                  <w:r>
                    <w:rPr>
                      <w:rFonts w:hint="eastAsia" w:ascii="宋体" w:eastAsia="宋体"/>
                      <w:color w:val="auto"/>
                      <w:sz w:val="21"/>
                      <w:szCs w:val="21"/>
                      <w:lang w:val="en-US" w:eastAsia="zh-CN"/>
                    </w:rPr>
                    <w:t>项目</w:t>
                  </w:r>
                  <w:r>
                    <w:rPr>
                      <w:rFonts w:hint="eastAsia" w:ascii="宋体" w:eastAsia="宋体"/>
                      <w:color w:val="auto"/>
                      <w:sz w:val="21"/>
                      <w:szCs w:val="21"/>
                    </w:rPr>
                    <w:t xml:space="preserve"> </w:t>
                  </w:r>
                </w:p>
              </w:tc>
            </w:tr>
            <w:tr w14:paraId="0DF1D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306" w:type="dxa"/>
                  <w:tcBorders>
                    <w:tl2br w:val="nil"/>
                    <w:tr2bl w:val="nil"/>
                  </w:tcBorders>
                  <w:noWrap w:val="0"/>
                  <w:vAlign w:val="center"/>
                </w:tcPr>
                <w:p w14:paraId="7B2B81FD">
                  <w:pPr>
                    <w:spacing w:line="360" w:lineRule="exact"/>
                    <w:jc w:val="center"/>
                    <w:rPr>
                      <w:color w:val="auto"/>
                      <w:sz w:val="21"/>
                      <w:szCs w:val="21"/>
                    </w:rPr>
                  </w:pPr>
                  <w:r>
                    <w:rPr>
                      <w:color w:val="auto"/>
                      <w:sz w:val="21"/>
                      <w:szCs w:val="21"/>
                    </w:rPr>
                    <w:t>建设地点</w:t>
                  </w:r>
                </w:p>
              </w:tc>
              <w:tc>
                <w:tcPr>
                  <w:tcW w:w="6136" w:type="dxa"/>
                  <w:gridSpan w:val="4"/>
                  <w:tcBorders>
                    <w:tl2br w:val="nil"/>
                    <w:tr2bl w:val="nil"/>
                  </w:tcBorders>
                  <w:noWrap w:val="0"/>
                  <w:vAlign w:val="center"/>
                </w:tcPr>
                <w:p w14:paraId="2DE18187">
                  <w:pPr>
                    <w:spacing w:line="360" w:lineRule="exact"/>
                    <w:jc w:val="center"/>
                    <w:rPr>
                      <w:color w:val="auto"/>
                      <w:sz w:val="21"/>
                      <w:szCs w:val="21"/>
                    </w:rPr>
                  </w:pPr>
                  <w:r>
                    <w:rPr>
                      <w:rFonts w:hint="eastAsia" w:eastAsia="宋体"/>
                      <w:color w:val="auto"/>
                      <w:sz w:val="21"/>
                      <w:szCs w:val="21"/>
                      <w:lang w:val="en-US" w:eastAsia="zh-CN"/>
                    </w:rPr>
                    <w:t>江西省九江市永修县云山经济开发区星火工业园荣祺大道南侧</w:t>
                  </w:r>
                </w:p>
              </w:tc>
            </w:tr>
            <w:tr w14:paraId="54CDC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306" w:type="dxa"/>
                  <w:tcBorders>
                    <w:tl2br w:val="nil"/>
                    <w:tr2bl w:val="nil"/>
                  </w:tcBorders>
                  <w:noWrap w:val="0"/>
                  <w:vAlign w:val="center"/>
                </w:tcPr>
                <w:p w14:paraId="1F201920">
                  <w:pPr>
                    <w:spacing w:line="360" w:lineRule="exact"/>
                    <w:jc w:val="center"/>
                    <w:rPr>
                      <w:color w:val="auto"/>
                      <w:sz w:val="21"/>
                      <w:szCs w:val="21"/>
                    </w:rPr>
                  </w:pPr>
                  <w:r>
                    <w:rPr>
                      <w:color w:val="auto"/>
                      <w:sz w:val="21"/>
                      <w:szCs w:val="21"/>
                    </w:rPr>
                    <w:t>地理坐标</w:t>
                  </w:r>
                </w:p>
              </w:tc>
              <w:tc>
                <w:tcPr>
                  <w:tcW w:w="969" w:type="dxa"/>
                  <w:tcBorders>
                    <w:tl2br w:val="nil"/>
                    <w:tr2bl w:val="nil"/>
                  </w:tcBorders>
                  <w:noWrap w:val="0"/>
                  <w:vAlign w:val="center"/>
                </w:tcPr>
                <w:p w14:paraId="58332B98">
                  <w:pPr>
                    <w:spacing w:line="360" w:lineRule="exact"/>
                    <w:jc w:val="center"/>
                    <w:rPr>
                      <w:color w:val="auto"/>
                      <w:sz w:val="21"/>
                      <w:szCs w:val="21"/>
                    </w:rPr>
                  </w:pPr>
                  <w:r>
                    <w:rPr>
                      <w:color w:val="auto"/>
                      <w:sz w:val="21"/>
                      <w:szCs w:val="21"/>
                    </w:rPr>
                    <w:t>经度</w:t>
                  </w:r>
                </w:p>
              </w:tc>
              <w:tc>
                <w:tcPr>
                  <w:tcW w:w="1559" w:type="dxa"/>
                  <w:tcBorders>
                    <w:tl2br w:val="nil"/>
                    <w:tr2bl w:val="nil"/>
                  </w:tcBorders>
                  <w:noWrap w:val="0"/>
                  <w:vAlign w:val="center"/>
                </w:tcPr>
                <w:p w14:paraId="6653F5B8">
                  <w:pPr>
                    <w:spacing w:line="360" w:lineRule="exact"/>
                    <w:jc w:val="center"/>
                    <w:rPr>
                      <w:color w:val="auto"/>
                      <w:sz w:val="21"/>
                      <w:szCs w:val="21"/>
                    </w:rPr>
                  </w:pPr>
                  <w:r>
                    <w:rPr>
                      <w:color w:val="auto"/>
                      <w:sz w:val="21"/>
                      <w:szCs w:val="21"/>
                    </w:rPr>
                    <w:t>11</w:t>
                  </w:r>
                  <w:r>
                    <w:rPr>
                      <w:rFonts w:hint="eastAsia" w:eastAsia="宋体"/>
                      <w:color w:val="auto"/>
                      <w:sz w:val="21"/>
                      <w:szCs w:val="21"/>
                      <w:lang w:val="en-US" w:eastAsia="zh-CN"/>
                    </w:rPr>
                    <w:t>5</w:t>
                  </w:r>
                  <w:r>
                    <w:rPr>
                      <w:color w:val="auto"/>
                      <w:sz w:val="21"/>
                      <w:szCs w:val="21"/>
                    </w:rPr>
                    <w:t>°</w:t>
                  </w:r>
                  <w:r>
                    <w:rPr>
                      <w:rFonts w:hint="eastAsia" w:eastAsia="宋体"/>
                      <w:color w:val="auto"/>
                      <w:sz w:val="21"/>
                      <w:szCs w:val="21"/>
                      <w:lang w:val="en-US" w:eastAsia="zh-CN"/>
                    </w:rPr>
                    <w:t>45</w:t>
                  </w:r>
                  <w:r>
                    <w:rPr>
                      <w:color w:val="auto"/>
                      <w:sz w:val="21"/>
                      <w:szCs w:val="21"/>
                    </w:rPr>
                    <w:t>′</w:t>
                  </w:r>
                  <w:r>
                    <w:rPr>
                      <w:rFonts w:hint="eastAsia" w:eastAsia="宋体"/>
                      <w:color w:val="auto"/>
                      <w:sz w:val="21"/>
                      <w:szCs w:val="21"/>
                      <w:lang w:val="en-US" w:eastAsia="zh-CN"/>
                    </w:rPr>
                    <w:t>13.520</w:t>
                  </w:r>
                  <w:r>
                    <w:rPr>
                      <w:color w:val="auto"/>
                      <w:sz w:val="21"/>
                      <w:szCs w:val="21"/>
                    </w:rPr>
                    <w:t>″</w:t>
                  </w:r>
                </w:p>
              </w:tc>
              <w:tc>
                <w:tcPr>
                  <w:tcW w:w="1276" w:type="dxa"/>
                  <w:tcBorders>
                    <w:tl2br w:val="nil"/>
                    <w:tr2bl w:val="nil"/>
                  </w:tcBorders>
                  <w:noWrap w:val="0"/>
                  <w:vAlign w:val="center"/>
                </w:tcPr>
                <w:p w14:paraId="68143AA7">
                  <w:pPr>
                    <w:spacing w:line="360" w:lineRule="exact"/>
                    <w:jc w:val="center"/>
                    <w:rPr>
                      <w:color w:val="auto"/>
                      <w:sz w:val="21"/>
                      <w:szCs w:val="21"/>
                    </w:rPr>
                  </w:pPr>
                  <w:r>
                    <w:rPr>
                      <w:color w:val="auto"/>
                      <w:sz w:val="21"/>
                      <w:szCs w:val="21"/>
                    </w:rPr>
                    <w:t>纬度</w:t>
                  </w:r>
                </w:p>
              </w:tc>
              <w:tc>
                <w:tcPr>
                  <w:tcW w:w="2332" w:type="dxa"/>
                  <w:tcBorders>
                    <w:tl2br w:val="nil"/>
                    <w:tr2bl w:val="nil"/>
                  </w:tcBorders>
                  <w:noWrap w:val="0"/>
                  <w:vAlign w:val="center"/>
                </w:tcPr>
                <w:p w14:paraId="6F0B71B7">
                  <w:pPr>
                    <w:spacing w:line="360" w:lineRule="exact"/>
                    <w:jc w:val="center"/>
                    <w:rPr>
                      <w:color w:val="auto"/>
                      <w:sz w:val="21"/>
                      <w:szCs w:val="21"/>
                    </w:rPr>
                  </w:pPr>
                  <w:r>
                    <w:rPr>
                      <w:color w:val="auto"/>
                      <w:sz w:val="21"/>
                      <w:szCs w:val="21"/>
                    </w:rPr>
                    <w:t>27°7′</w:t>
                  </w:r>
                  <w:r>
                    <w:rPr>
                      <w:rFonts w:hint="eastAsia" w:eastAsia="宋体"/>
                      <w:color w:val="auto"/>
                      <w:sz w:val="21"/>
                      <w:szCs w:val="21"/>
                      <w:lang w:val="en-US" w:eastAsia="zh-CN"/>
                    </w:rPr>
                    <w:t>59.248</w:t>
                  </w:r>
                  <w:r>
                    <w:rPr>
                      <w:color w:val="auto"/>
                      <w:sz w:val="21"/>
                      <w:szCs w:val="21"/>
                    </w:rPr>
                    <w:t>″</w:t>
                  </w:r>
                </w:p>
              </w:tc>
            </w:tr>
            <w:tr w14:paraId="0A73C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306" w:type="dxa"/>
                  <w:tcBorders>
                    <w:tl2br w:val="nil"/>
                    <w:tr2bl w:val="nil"/>
                  </w:tcBorders>
                  <w:noWrap w:val="0"/>
                  <w:vAlign w:val="center"/>
                </w:tcPr>
                <w:p w14:paraId="6CAE8241">
                  <w:pPr>
                    <w:spacing w:line="360" w:lineRule="exact"/>
                    <w:jc w:val="center"/>
                    <w:rPr>
                      <w:color w:val="auto"/>
                      <w:sz w:val="21"/>
                      <w:szCs w:val="21"/>
                    </w:rPr>
                  </w:pPr>
                  <w:r>
                    <w:rPr>
                      <w:color w:val="auto"/>
                      <w:sz w:val="21"/>
                      <w:szCs w:val="21"/>
                    </w:rPr>
                    <w:t>主要危险物质及分布</w:t>
                  </w:r>
                </w:p>
              </w:tc>
              <w:tc>
                <w:tcPr>
                  <w:tcW w:w="6136" w:type="dxa"/>
                  <w:gridSpan w:val="4"/>
                  <w:tcBorders>
                    <w:tl2br w:val="nil"/>
                    <w:tr2bl w:val="nil"/>
                  </w:tcBorders>
                  <w:noWrap w:val="0"/>
                  <w:vAlign w:val="center"/>
                </w:tcPr>
                <w:p w14:paraId="2E79CA38">
                  <w:pPr>
                    <w:spacing w:line="360" w:lineRule="exact"/>
                    <w:jc w:val="left"/>
                    <w:rPr>
                      <w:color w:val="auto"/>
                      <w:sz w:val="21"/>
                      <w:szCs w:val="21"/>
                    </w:rPr>
                  </w:pPr>
                  <w:r>
                    <w:rPr>
                      <w:rFonts w:hint="eastAsia"/>
                      <w:color w:val="auto"/>
                      <w:sz w:val="21"/>
                      <w:szCs w:val="21"/>
                    </w:rPr>
                    <w:t>机油暂存于原料仓库，</w:t>
                  </w:r>
                  <w:r>
                    <w:rPr>
                      <w:color w:val="auto"/>
                      <w:sz w:val="21"/>
                      <w:szCs w:val="21"/>
                    </w:rPr>
                    <w:t>危险废物暂存于危废暂存间</w:t>
                  </w:r>
                </w:p>
              </w:tc>
            </w:tr>
            <w:tr w14:paraId="3BABD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06" w:type="dxa"/>
                  <w:tcBorders>
                    <w:tl2br w:val="nil"/>
                    <w:tr2bl w:val="nil"/>
                  </w:tcBorders>
                  <w:noWrap w:val="0"/>
                  <w:vAlign w:val="center"/>
                </w:tcPr>
                <w:p w14:paraId="14D55288">
                  <w:pPr>
                    <w:spacing w:line="360" w:lineRule="exact"/>
                    <w:jc w:val="center"/>
                    <w:rPr>
                      <w:color w:val="auto"/>
                      <w:sz w:val="21"/>
                      <w:szCs w:val="21"/>
                    </w:rPr>
                  </w:pPr>
                  <w:r>
                    <w:rPr>
                      <w:color w:val="auto"/>
                      <w:sz w:val="21"/>
                      <w:szCs w:val="21"/>
                    </w:rPr>
                    <w:t>环境影响途径及危害后果（大气、地表水、地下水等）</w:t>
                  </w:r>
                </w:p>
              </w:tc>
              <w:tc>
                <w:tcPr>
                  <w:tcW w:w="6136" w:type="dxa"/>
                  <w:gridSpan w:val="4"/>
                  <w:tcBorders>
                    <w:tl2br w:val="nil"/>
                    <w:tr2bl w:val="nil"/>
                  </w:tcBorders>
                  <w:noWrap w:val="0"/>
                  <w:vAlign w:val="center"/>
                </w:tcPr>
                <w:p w14:paraId="0498DD81">
                  <w:pPr>
                    <w:numPr>
                      <w:ilvl w:val="0"/>
                      <w:numId w:val="16"/>
                    </w:numPr>
                    <w:spacing w:line="360" w:lineRule="exact"/>
                    <w:jc w:val="left"/>
                    <w:rPr>
                      <w:rFonts w:hint="eastAsia"/>
                      <w:color w:val="auto"/>
                      <w:sz w:val="21"/>
                      <w:szCs w:val="21"/>
                    </w:rPr>
                  </w:pPr>
                  <w:r>
                    <w:rPr>
                      <w:color w:val="auto"/>
                      <w:sz w:val="21"/>
                      <w:szCs w:val="21"/>
                    </w:rPr>
                    <w:t>贮存设施损坏，造成泄露的事故风险</w:t>
                  </w:r>
                  <w:r>
                    <w:rPr>
                      <w:rFonts w:hint="eastAsia"/>
                      <w:color w:val="auto"/>
                      <w:sz w:val="21"/>
                      <w:szCs w:val="21"/>
                    </w:rPr>
                    <w:t>；</w:t>
                  </w:r>
                </w:p>
                <w:p w14:paraId="631358D3">
                  <w:pPr>
                    <w:numPr>
                      <w:ilvl w:val="0"/>
                      <w:numId w:val="16"/>
                    </w:numPr>
                    <w:spacing w:line="360" w:lineRule="exact"/>
                    <w:jc w:val="left"/>
                    <w:rPr>
                      <w:color w:val="auto"/>
                      <w:sz w:val="21"/>
                      <w:szCs w:val="21"/>
                    </w:rPr>
                  </w:pPr>
                  <w:r>
                    <w:rPr>
                      <w:rFonts w:hint="eastAsia"/>
                      <w:color w:val="auto"/>
                      <w:sz w:val="21"/>
                      <w:szCs w:val="21"/>
                    </w:rPr>
                    <w:t>火灾事故</w:t>
                  </w:r>
                  <w:r>
                    <w:rPr>
                      <w:color w:val="auto"/>
                      <w:sz w:val="21"/>
                      <w:szCs w:val="21"/>
                    </w:rPr>
                    <w:t>，造成</w:t>
                  </w:r>
                  <w:r>
                    <w:rPr>
                      <w:rFonts w:hint="eastAsia"/>
                      <w:color w:val="auto"/>
                      <w:sz w:val="21"/>
                      <w:szCs w:val="21"/>
                    </w:rPr>
                    <w:t>区域环境受到影响</w:t>
                  </w:r>
                  <w:r>
                    <w:rPr>
                      <w:color w:val="auto"/>
                      <w:sz w:val="21"/>
                      <w:szCs w:val="21"/>
                    </w:rPr>
                    <w:t>的事故风险。</w:t>
                  </w:r>
                </w:p>
              </w:tc>
            </w:tr>
            <w:tr w14:paraId="5F74C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2306" w:type="dxa"/>
                  <w:tcBorders>
                    <w:tl2br w:val="nil"/>
                    <w:tr2bl w:val="nil"/>
                  </w:tcBorders>
                  <w:noWrap w:val="0"/>
                  <w:vAlign w:val="center"/>
                </w:tcPr>
                <w:p w14:paraId="1C9F09EF">
                  <w:pPr>
                    <w:spacing w:line="360" w:lineRule="exact"/>
                    <w:jc w:val="center"/>
                    <w:rPr>
                      <w:color w:val="auto"/>
                      <w:sz w:val="21"/>
                      <w:szCs w:val="21"/>
                    </w:rPr>
                  </w:pPr>
                  <w:r>
                    <w:rPr>
                      <w:color w:val="auto"/>
                      <w:sz w:val="21"/>
                      <w:szCs w:val="21"/>
                    </w:rPr>
                    <w:t>风险防范措施要求</w:t>
                  </w:r>
                </w:p>
              </w:tc>
              <w:tc>
                <w:tcPr>
                  <w:tcW w:w="6136" w:type="dxa"/>
                  <w:gridSpan w:val="4"/>
                  <w:tcBorders>
                    <w:tl2br w:val="nil"/>
                    <w:tr2bl w:val="nil"/>
                  </w:tcBorders>
                  <w:noWrap w:val="0"/>
                  <w:vAlign w:val="center"/>
                </w:tcPr>
                <w:p w14:paraId="1B755D64">
                  <w:pPr>
                    <w:spacing w:line="360" w:lineRule="exact"/>
                    <w:rPr>
                      <w:color w:val="auto"/>
                      <w:sz w:val="21"/>
                      <w:szCs w:val="21"/>
                    </w:rPr>
                  </w:pPr>
                  <w:r>
                    <w:rPr>
                      <w:rFonts w:hint="eastAsia"/>
                      <w:color w:val="auto"/>
                      <w:sz w:val="21"/>
                      <w:szCs w:val="21"/>
                    </w:rPr>
                    <w:t>1、</w:t>
                  </w:r>
                  <w:r>
                    <w:rPr>
                      <w:color w:val="auto"/>
                      <w:sz w:val="21"/>
                      <w:szCs w:val="21"/>
                    </w:rPr>
                    <w:t>储存设施须按要求进行地面、侧面防渗、设置围堰或托盘等，并配置消防灭火器材及泄漏收集材物资。</w:t>
                  </w:r>
                  <w:r>
                    <w:rPr>
                      <w:rFonts w:hint="eastAsia" w:ascii="宋体" w:hAnsi="宋体"/>
                      <w:color w:val="auto"/>
                      <w:sz w:val="21"/>
                      <w:szCs w:val="21"/>
                    </w:rPr>
                    <w:t>危废暂存间应设置截流沟和收集池，严格按照危废暂存要求进行储存。</w:t>
                  </w:r>
                </w:p>
                <w:p w14:paraId="116CF6C9">
                  <w:pPr>
                    <w:pStyle w:val="2"/>
                    <w:spacing w:line="360" w:lineRule="exact"/>
                    <w:rPr>
                      <w:rFonts w:ascii="Times New Roman" w:hAnsi="Times New Roman" w:cs="Times New Roman"/>
                      <w:color w:val="auto"/>
                      <w:sz w:val="21"/>
                      <w:szCs w:val="21"/>
                    </w:rPr>
                  </w:pPr>
                  <w:r>
                    <w:rPr>
                      <w:rFonts w:hint="eastAsia" w:ascii="Times New Roman" w:hAnsi="Times New Roman" w:cs="Times New Roman"/>
                      <w:color w:val="auto"/>
                      <w:sz w:val="21"/>
                      <w:szCs w:val="21"/>
                    </w:rPr>
                    <w:t>2、危险化学品原料</w:t>
                  </w:r>
                  <w:r>
                    <w:rPr>
                      <w:rFonts w:ascii="Times New Roman" w:hAnsi="Times New Roman" w:cs="Times New Roman"/>
                      <w:color w:val="auto"/>
                      <w:sz w:val="21"/>
                      <w:szCs w:val="21"/>
                    </w:rPr>
                    <w:t>使用过程中，制定严格的操作、管理制度，工作人员应培训上岗，并经常检查，防止“跑、冒、滴、漏”的发生。</w:t>
                  </w:r>
                </w:p>
              </w:tc>
            </w:tr>
            <w:tr w14:paraId="76E11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jc w:val="center"/>
              </w:trPr>
              <w:tc>
                <w:tcPr>
                  <w:tcW w:w="8442" w:type="dxa"/>
                  <w:gridSpan w:val="5"/>
                  <w:tcBorders>
                    <w:tl2br w:val="nil"/>
                    <w:tr2bl w:val="nil"/>
                  </w:tcBorders>
                  <w:noWrap w:val="0"/>
                  <w:vAlign w:val="center"/>
                </w:tcPr>
                <w:p w14:paraId="7A71E14C">
                  <w:pPr>
                    <w:spacing w:line="360" w:lineRule="exact"/>
                    <w:jc w:val="left"/>
                    <w:rPr>
                      <w:color w:val="auto"/>
                      <w:sz w:val="21"/>
                      <w:szCs w:val="21"/>
                    </w:rPr>
                  </w:pPr>
                  <w:r>
                    <w:rPr>
                      <w:color w:val="auto"/>
                      <w:sz w:val="21"/>
                      <w:szCs w:val="21"/>
                    </w:rPr>
                    <w:t>填表说明（列出项目相关信息及评价说明）：</w:t>
                  </w:r>
                </w:p>
                <w:p w14:paraId="154A82B8">
                  <w:pPr>
                    <w:spacing w:line="360" w:lineRule="exact"/>
                    <w:ind w:firstLine="420" w:firstLineChars="200"/>
                    <w:jc w:val="left"/>
                    <w:rPr>
                      <w:color w:val="auto"/>
                      <w:sz w:val="21"/>
                      <w:szCs w:val="21"/>
                    </w:rPr>
                  </w:pPr>
                  <w:r>
                    <w:rPr>
                      <w:color w:val="auto"/>
                      <w:sz w:val="21"/>
                      <w:szCs w:val="21"/>
                    </w:rPr>
                    <w:t>本项目主要风险物质为</w:t>
                  </w:r>
                  <w:r>
                    <w:rPr>
                      <w:rFonts w:hint="eastAsia"/>
                      <w:color w:val="auto"/>
                      <w:sz w:val="21"/>
                      <w:szCs w:val="21"/>
                    </w:rPr>
                    <w:t>机油</w:t>
                  </w:r>
                  <w:r>
                    <w:rPr>
                      <w:color w:val="auto"/>
                      <w:sz w:val="21"/>
                      <w:szCs w:val="21"/>
                    </w:rPr>
                    <w:t>、</w:t>
                  </w:r>
                  <w:r>
                    <w:rPr>
                      <w:rFonts w:hint="eastAsia"/>
                      <w:color w:val="auto"/>
                      <w:sz w:val="21"/>
                      <w:szCs w:val="21"/>
                    </w:rPr>
                    <w:t>废机油、焦油</w:t>
                  </w:r>
                  <w:r>
                    <w:rPr>
                      <w:color w:val="auto"/>
                      <w:sz w:val="21"/>
                      <w:szCs w:val="21"/>
                    </w:rPr>
                    <w:t>和危险废物，根据《建设项目环境风险评价技术导则》（HJ169-2018）附录B中危险物质，确定物质的总量与临界量比值Q=</w:t>
                  </w:r>
                  <w:r>
                    <w:rPr>
                      <w:color w:val="auto"/>
                      <w:kern w:val="0"/>
                      <w:sz w:val="21"/>
                      <w:szCs w:val="21"/>
                      <w:lang w:bidi="ar"/>
                    </w:rPr>
                    <w:t>0.0</w:t>
                  </w:r>
                  <w:r>
                    <w:rPr>
                      <w:rFonts w:hint="eastAsia" w:eastAsia="宋体"/>
                      <w:color w:val="auto"/>
                      <w:kern w:val="0"/>
                      <w:sz w:val="21"/>
                      <w:szCs w:val="21"/>
                      <w:lang w:val="en-US" w:eastAsia="zh-CN" w:bidi="ar"/>
                    </w:rPr>
                    <w:t>00104</w:t>
                  </w:r>
                  <w:r>
                    <w:rPr>
                      <w:color w:val="auto"/>
                      <w:sz w:val="21"/>
                      <w:szCs w:val="21"/>
                    </w:rPr>
                    <w:t>＜1，该项目环境风险潜势为</w:t>
                  </w:r>
                  <w:r>
                    <w:rPr>
                      <w:rFonts w:hint="eastAsia" w:ascii="宋体" w:hAnsi="宋体" w:cs="宋体"/>
                      <w:color w:val="auto"/>
                      <w:sz w:val="21"/>
                      <w:szCs w:val="21"/>
                    </w:rPr>
                    <w:t>Ⅰ</w:t>
                  </w:r>
                  <w:r>
                    <w:rPr>
                      <w:color w:val="auto"/>
                      <w:sz w:val="21"/>
                      <w:szCs w:val="21"/>
                    </w:rPr>
                    <w:t>，评价等级为简单分析。</w:t>
                  </w:r>
                </w:p>
                <w:p w14:paraId="0286BDFC">
                  <w:pPr>
                    <w:spacing w:line="360" w:lineRule="exact"/>
                    <w:ind w:firstLine="420" w:firstLineChars="200"/>
                    <w:jc w:val="left"/>
                    <w:rPr>
                      <w:color w:val="auto"/>
                      <w:sz w:val="21"/>
                      <w:szCs w:val="21"/>
                    </w:rPr>
                  </w:pPr>
                  <w:r>
                    <w:rPr>
                      <w:color w:val="auto"/>
                      <w:sz w:val="21"/>
                      <w:szCs w:val="21"/>
                    </w:rPr>
                    <w:t>建设单位在认真落实项目环境风险防范措施后，对周围敏感目标的影响较小，项目的环境风险是可防控的。</w:t>
                  </w:r>
                </w:p>
              </w:tc>
            </w:tr>
          </w:tbl>
          <w:p w14:paraId="7714765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rPr>
                <w:rFonts w:hint="eastAsia"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七、</w:t>
            </w:r>
            <w:r>
              <w:rPr>
                <w:rFonts w:hint="eastAsia" w:ascii="Times New Roman" w:hAnsi="Times New Roman" w:cs="Times New Roman"/>
                <w:b/>
                <w:bCs/>
                <w:color w:val="auto"/>
                <w:sz w:val="24"/>
                <w:szCs w:val="24"/>
                <w:lang w:val="en-US" w:eastAsia="zh-CN"/>
              </w:rPr>
              <w:t>生态</w:t>
            </w:r>
          </w:p>
          <w:p w14:paraId="76BC84CE">
            <w:pPr>
              <w:pStyle w:val="8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eastAsia="宋体"/>
                <w:b w:val="0"/>
                <w:bCs/>
                <w:color w:val="auto"/>
                <w:kern w:val="2"/>
                <w:sz w:val="24"/>
                <w:szCs w:val="24"/>
                <w:lang w:val="en-US" w:eastAsia="zh-CN" w:bidi="ar-SA"/>
              </w:rPr>
            </w:pPr>
            <w:r>
              <w:rPr>
                <w:rFonts w:hint="default" w:cs="Times New Roman"/>
                <w:b w:val="0"/>
                <w:bCs/>
                <w:color w:val="auto"/>
                <w:sz w:val="24"/>
                <w:szCs w:val="24"/>
              </w:rPr>
              <w:t>本项目位于</w:t>
            </w:r>
            <w:r>
              <w:rPr>
                <w:rFonts w:hint="default" w:cs="Times New Roman"/>
                <w:b w:val="0"/>
                <w:bCs/>
                <w:color w:val="auto"/>
                <w:sz w:val="24"/>
                <w:szCs w:val="24"/>
                <w:lang w:val="en-US" w:eastAsia="zh-CN"/>
              </w:rPr>
              <w:t>江西省九江市永修县云山经济开发区星火工业园荣祺大道南侧</w:t>
            </w:r>
            <w:r>
              <w:rPr>
                <w:rFonts w:hint="default" w:cs="Times New Roman"/>
                <w:b w:val="0"/>
                <w:bCs/>
                <w:color w:val="auto"/>
                <w:sz w:val="24"/>
                <w:szCs w:val="24"/>
              </w:rPr>
              <w:t>，为工业用地，</w:t>
            </w:r>
            <w:r>
              <w:rPr>
                <w:rFonts w:hint="eastAsia" w:cs="Times New Roman"/>
                <w:b w:val="0"/>
                <w:bCs/>
                <w:color w:val="auto"/>
                <w:sz w:val="24"/>
                <w:szCs w:val="24"/>
                <w:lang w:val="en-US" w:eastAsia="zh-CN"/>
              </w:rPr>
              <w:t>且项目位于工业园区内</w:t>
            </w:r>
            <w:r>
              <w:rPr>
                <w:rFonts w:hint="default" w:cs="Times New Roman"/>
                <w:b w:val="0"/>
                <w:bCs/>
                <w:snapToGrid w:val="0"/>
                <w:color w:val="auto"/>
                <w:spacing w:val="4"/>
                <w:kern w:val="18"/>
                <w:sz w:val="24"/>
                <w:szCs w:val="24"/>
              </w:rPr>
              <w:t>，用地范围内无生态环境保护目标</w:t>
            </w:r>
            <w:r>
              <w:rPr>
                <w:rFonts w:hint="eastAsia" w:cs="Times New Roman"/>
                <w:b w:val="0"/>
                <w:bCs/>
                <w:snapToGrid w:val="0"/>
                <w:color w:val="auto"/>
                <w:spacing w:val="4"/>
                <w:kern w:val="18"/>
                <w:sz w:val="24"/>
                <w:szCs w:val="24"/>
                <w:lang w:eastAsia="zh-CN"/>
              </w:rPr>
              <w:t>。</w:t>
            </w:r>
          </w:p>
          <w:p w14:paraId="589FCCEE">
            <w:pPr>
              <w:pStyle w:val="8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b/>
                <w:bCs/>
                <w:color w:val="auto"/>
                <w:kern w:val="2"/>
                <w:sz w:val="24"/>
                <w:szCs w:val="24"/>
                <w:lang w:val="en-US" w:eastAsia="zh-CN" w:bidi="ar-SA"/>
              </w:rPr>
            </w:pPr>
            <w:r>
              <w:rPr>
                <w:rFonts w:hint="eastAsia"/>
                <w:b/>
                <w:bCs/>
                <w:color w:val="auto"/>
                <w:kern w:val="2"/>
                <w:sz w:val="24"/>
                <w:szCs w:val="24"/>
                <w:lang w:val="en-US" w:eastAsia="zh-CN" w:bidi="ar-SA"/>
              </w:rPr>
              <w:t>八、电磁辐射</w:t>
            </w:r>
          </w:p>
          <w:p w14:paraId="6253285D">
            <w:pPr>
              <w:pageBreakBefore w:val="0"/>
              <w:kinsoku/>
              <w:wordWrap/>
              <w:bidi w:val="0"/>
              <w:adjustRightInd/>
              <w:snapToGrid/>
              <w:spacing w:beforeAutospacing="0" w:afterAutospacing="0" w:line="360" w:lineRule="auto"/>
              <w:ind w:left="0" w:leftChars="0" w:right="0" w:firstLine="480" w:firstLineChars="200"/>
              <w:rPr>
                <w:rFonts w:hint="eastAsia" w:ascii="宋体" w:hAnsi="宋体" w:eastAsia="宋体" w:cs="宋体"/>
                <w:b/>
                <w:bCs/>
                <w:color w:val="auto"/>
                <w:spacing w:val="4"/>
                <w:kern w:val="18"/>
                <w:sz w:val="24"/>
                <w:szCs w:val="24"/>
                <w:highlight w:val="none"/>
                <w:lang w:val="en-US" w:eastAsia="zh-CN" w:bidi="ar-SA"/>
              </w:rPr>
            </w:pPr>
            <w:r>
              <w:rPr>
                <w:rStyle w:val="83"/>
                <w:color w:val="auto"/>
                <w:sz w:val="24"/>
                <w:szCs w:val="24"/>
              </w:rPr>
              <w:t>本项目不涉及。</w:t>
            </w:r>
          </w:p>
          <w:p w14:paraId="23D06CF8">
            <w:pPr>
              <w:pStyle w:val="8"/>
              <w:keepNext w:val="0"/>
              <w:keepLines w:val="0"/>
              <w:pageBreakBefore w:val="0"/>
              <w:widowControl/>
              <w:kinsoku/>
              <w:wordWrap/>
              <w:overflowPunct/>
              <w:topLinePunct w:val="0"/>
              <w:autoSpaceDE/>
              <w:autoSpaceDN/>
              <w:bidi w:val="0"/>
              <w:adjustRightInd w:val="0"/>
              <w:snapToGrid w:val="0"/>
              <w:spacing w:before="0" w:after="0" w:line="360" w:lineRule="auto"/>
              <w:ind w:right="0" w:firstLine="498" w:firstLineChars="200"/>
              <w:textAlignment w:val="auto"/>
              <w:rPr>
                <w:rFonts w:hint="eastAsia" w:ascii="宋体" w:hAnsi="宋体" w:eastAsia="宋体" w:cs="宋体"/>
                <w:b/>
                <w:bCs/>
                <w:color w:val="auto"/>
                <w:spacing w:val="4"/>
                <w:kern w:val="18"/>
                <w:sz w:val="24"/>
                <w:szCs w:val="24"/>
                <w:highlight w:val="none"/>
                <w:lang w:val="en-US" w:eastAsia="zh-CN" w:bidi="ar-SA"/>
              </w:rPr>
            </w:pPr>
            <w:r>
              <w:rPr>
                <w:rFonts w:hint="eastAsia" w:ascii="宋体" w:hAnsi="宋体" w:eastAsia="宋体" w:cs="宋体"/>
                <w:b/>
                <w:bCs/>
                <w:color w:val="auto"/>
                <w:spacing w:val="4"/>
                <w:kern w:val="18"/>
                <w:sz w:val="24"/>
                <w:szCs w:val="24"/>
                <w:highlight w:val="none"/>
                <w:lang w:val="en-US" w:eastAsia="zh-CN" w:bidi="ar-SA"/>
              </w:rPr>
              <w:t>九、环境管理</w:t>
            </w:r>
          </w:p>
          <w:p w14:paraId="3A658E1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（1）环境管理机构设置</w:t>
            </w:r>
          </w:p>
          <w:p w14:paraId="66D86A2E">
            <w:pPr>
              <w:spacing w:line="360" w:lineRule="auto"/>
              <w:ind w:firstLine="480" w:firstLineChars="200"/>
              <w:rPr>
                <w:color w:val="auto"/>
                <w:sz w:val="24"/>
              </w:rPr>
            </w:pPr>
            <w:r>
              <w:rPr>
                <w:color w:val="auto"/>
                <w:sz w:val="24"/>
              </w:rPr>
              <w:t>为了本工程在运营期能更好地执行和遵守国家、省及地方的有关环境保护法律、法规、政策及标准，接受地方环境保护主管部门的环境监督，调整和制订环境规划和目标，进行一切与改善环境有关的管理活动，同时对工程运营期产生的污染物进行监测、分析、了解工程对环境的影响状况，建设单位应设置专职的环境管理人员，配备一名管理人员分管环境保护管理工作，编入一名技术人员参与项目的环保设施·管理，同时需负责产生污染防治设施运行管理。由于环保工作政策性强，涉及多学科、综合性知识，建议该项目的专职环境管理人员选用具备环保专业知识并有一定工作经验的专业人员担任。</w:t>
            </w:r>
          </w:p>
          <w:p w14:paraId="5F7969D1">
            <w:pPr>
              <w:spacing w:line="360" w:lineRule="auto"/>
              <w:ind w:firstLine="480" w:firstLineChars="200"/>
              <w:rPr>
                <w:color w:val="auto"/>
                <w:sz w:val="24"/>
              </w:rPr>
            </w:pPr>
            <w:r>
              <w:rPr>
                <w:color w:val="auto"/>
                <w:sz w:val="24"/>
              </w:rPr>
              <w:t>（2）环境管理制度</w:t>
            </w:r>
          </w:p>
          <w:p w14:paraId="7ED38F32">
            <w:pPr>
              <w:spacing w:line="360" w:lineRule="auto"/>
              <w:ind w:firstLine="480" w:firstLineChars="200"/>
              <w:rPr>
                <w:color w:val="auto"/>
                <w:sz w:val="24"/>
              </w:rPr>
            </w:pPr>
            <w:r>
              <w:rPr>
                <w:color w:val="auto"/>
                <w:sz w:val="24"/>
              </w:rPr>
              <w:t>①贯彻执行“三同时”制度：设计单位必须将环境保护设施与主体工程同时设计，工程建设单位必须保证防治污染及其它公害的设施与主体工程项目同时施工、同时投入运行，工程竣工后，应提交有环保内容的竣工验收报告或专项竣工验收报告，经</w:t>
            </w:r>
            <w:r>
              <w:rPr>
                <w:rFonts w:hint="eastAsia" w:eastAsia="宋体"/>
                <w:color w:val="auto"/>
                <w:sz w:val="24"/>
                <w:lang w:eastAsia="zh-CN"/>
              </w:rPr>
              <w:t>企业自主</w:t>
            </w:r>
            <w:r>
              <w:rPr>
                <w:color w:val="auto"/>
                <w:sz w:val="24"/>
              </w:rPr>
              <w:t>验收</w:t>
            </w:r>
            <w:r>
              <w:rPr>
                <w:rFonts w:hint="eastAsia" w:eastAsia="宋体"/>
                <w:color w:val="auto"/>
                <w:sz w:val="24"/>
                <w:lang w:eastAsia="zh-CN"/>
              </w:rPr>
              <w:t>合格</w:t>
            </w:r>
            <w:r>
              <w:rPr>
                <w:color w:val="auto"/>
                <w:sz w:val="24"/>
              </w:rPr>
              <w:t>后，方可投入运行。</w:t>
            </w:r>
          </w:p>
          <w:p w14:paraId="25ED1C44">
            <w:pPr>
              <w:spacing w:line="360" w:lineRule="auto"/>
              <w:ind w:firstLine="480" w:firstLineChars="200"/>
              <w:rPr>
                <w:color w:val="auto"/>
                <w:sz w:val="24"/>
              </w:rPr>
            </w:pPr>
            <w:r>
              <w:rPr>
                <w:color w:val="auto"/>
                <w:sz w:val="24"/>
              </w:rPr>
              <w:t>②执行排污申报登记：按照国家和地方环境保护规定，企业应及时向当地环境保护部门进行污染物排放申报登记。经环保部门批准后，方可按分配的指标排放。</w:t>
            </w:r>
          </w:p>
          <w:p w14:paraId="55F405ED">
            <w:pPr>
              <w:spacing w:line="360" w:lineRule="auto"/>
              <w:ind w:firstLine="480" w:firstLineChars="200"/>
              <w:rPr>
                <w:color w:val="auto"/>
                <w:sz w:val="24"/>
              </w:rPr>
            </w:pPr>
            <w:r>
              <w:rPr>
                <w:color w:val="auto"/>
                <w:sz w:val="24"/>
              </w:rPr>
              <w:t>③环保设施运行管理制度：应建立环保设施定期检查制度和污染治理措施岗位责任制，实行污染治理岗位运行记录制度，以确保污染治理设施稳定高效运行。当污染治理设施发生故障时，应及时组织抢修，并根据实际情况采取相应措施，防止污染事故的发生。</w:t>
            </w:r>
          </w:p>
          <w:p w14:paraId="517936B7">
            <w:pPr>
              <w:numPr>
                <w:ilvl w:val="0"/>
                <w:numId w:val="0"/>
              </w:numPr>
              <w:spacing w:line="360" w:lineRule="auto"/>
              <w:ind w:leftChars="200"/>
              <w:rPr>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color w:val="auto"/>
                <w:sz w:val="24"/>
              </w:rPr>
              <w:t>环境监测计划</w:t>
            </w:r>
          </w:p>
          <w:p w14:paraId="1C60DEB7">
            <w:pPr>
              <w:spacing w:line="360" w:lineRule="auto"/>
              <w:ind w:firstLine="620" w:firstLineChars="250"/>
              <w:rPr>
                <w:rFonts w:ascii="Times New Roman" w:hAnsi="Times New Roman"/>
                <w:color w:val="auto"/>
                <w:spacing w:val="4"/>
                <w:kern w:val="0"/>
                <w:sz w:val="24"/>
              </w:rPr>
            </w:pPr>
            <w:r>
              <w:rPr>
                <w:rFonts w:ascii="Times New Roman" w:hAnsi="Times New Roman"/>
                <w:color w:val="auto"/>
                <w:spacing w:val="4"/>
                <w:kern w:val="0"/>
                <w:sz w:val="24"/>
              </w:rPr>
              <w:t>项目建设时，必须按规范设置排污口。</w:t>
            </w:r>
          </w:p>
          <w:p w14:paraId="171CC83D">
            <w:pPr>
              <w:spacing w:line="360" w:lineRule="auto"/>
              <w:ind w:firstLine="620" w:firstLineChars="250"/>
              <w:rPr>
                <w:rFonts w:ascii="Times New Roman" w:hAnsi="Times New Roman"/>
                <w:color w:val="auto"/>
                <w:spacing w:val="4"/>
                <w:kern w:val="0"/>
                <w:sz w:val="24"/>
              </w:rPr>
            </w:pPr>
            <w:r>
              <w:rPr>
                <w:rFonts w:ascii="Times New Roman" w:hAnsi="Times New Roman"/>
                <w:color w:val="auto"/>
                <w:spacing w:val="4"/>
                <w:kern w:val="0"/>
                <w:sz w:val="24"/>
              </w:rPr>
              <w:t>在项目设计时应预埋采样口或采样阀，采样口或采样阀设置要有利于废水的流量测量，并制定采样监测计划。</w:t>
            </w:r>
            <w:r>
              <w:rPr>
                <w:rFonts w:hint="eastAsia"/>
                <w:color w:val="auto"/>
                <w:spacing w:val="4"/>
                <w:kern w:val="0"/>
                <w:sz w:val="24"/>
                <w:lang w:val="en-US" w:eastAsia="zh-CN"/>
              </w:rPr>
              <w:t>A、</w:t>
            </w:r>
            <w:r>
              <w:rPr>
                <w:rFonts w:ascii="Times New Roman" w:hAnsi="Times New Roman"/>
                <w:color w:val="auto"/>
                <w:spacing w:val="4"/>
                <w:kern w:val="0"/>
                <w:sz w:val="24"/>
              </w:rPr>
              <w:t>废水排口附近醒目处应树立环保图形标志牌。B、废气排放口应设置永久采样、监测的采样口和采样监测平台。C、固废贮存（堆放）处应设置标志牌。</w:t>
            </w:r>
          </w:p>
          <w:p w14:paraId="08EAF697">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color w:val="auto"/>
                <w:sz w:val="24"/>
                <w:szCs w:val="24"/>
              </w:rPr>
            </w:pPr>
            <w:r>
              <w:rPr>
                <w:rFonts w:hint="eastAsia" w:eastAsia="宋体"/>
                <w:color w:val="auto"/>
                <w:spacing w:val="4"/>
                <w:kern w:val="0"/>
                <w:sz w:val="24"/>
                <w:szCs w:val="24"/>
                <w:lang w:eastAsia="zh-CN"/>
              </w:rPr>
              <w:t>根据</w:t>
            </w:r>
            <w:r>
              <w:rPr>
                <w:rFonts w:hint="eastAsia" w:ascii="宋体" w:hAnsi="宋体" w:eastAsia="宋体" w:cs="宋体"/>
                <w:color w:val="auto"/>
                <w:kern w:val="0"/>
                <w:sz w:val="24"/>
                <w:szCs w:val="24"/>
                <w:lang w:val="en-US" w:eastAsia="zh-CN" w:bidi="ar"/>
              </w:rPr>
              <w:t>《排污单位自行监测技术指南 总则》（HJ 819-2017），参考《排污许可证申请与核发技术规范 废弃资源加工工业》（HJ1034-2019）中自行监测要求，技改后项目运营期环境监测计划见下表。</w:t>
            </w:r>
          </w:p>
          <w:p w14:paraId="403B43AF">
            <w:pPr>
              <w:spacing w:line="360" w:lineRule="auto"/>
              <w:ind w:firstLine="496" w:firstLineChars="200"/>
              <w:rPr>
                <w:rFonts w:ascii="Times New Roman" w:hAnsi="Times New Roman" w:eastAsia="宋体" w:cs="Times New Roman"/>
                <w:bCs/>
                <w:color w:val="auto"/>
                <w:spacing w:val="4"/>
                <w:kern w:val="0"/>
                <w:sz w:val="24"/>
              </w:rPr>
            </w:pPr>
            <w:r>
              <w:rPr>
                <w:rFonts w:ascii="Times New Roman" w:hAnsi="Times New Roman" w:eastAsia="宋体" w:cs="Times New Roman"/>
                <w:bCs/>
                <w:color w:val="auto"/>
                <w:spacing w:val="4"/>
                <w:kern w:val="0"/>
                <w:sz w:val="24"/>
              </w:rPr>
              <w:t>①废气污染源监测计划见</w:t>
            </w:r>
            <w:r>
              <w:rPr>
                <w:rFonts w:hint="eastAsia" w:ascii="Times New Roman" w:hAnsi="Times New Roman" w:eastAsia="宋体" w:cs="Times New Roman"/>
                <w:bCs/>
                <w:color w:val="auto"/>
                <w:spacing w:val="4"/>
                <w:kern w:val="0"/>
                <w:sz w:val="24"/>
                <w:lang w:eastAsia="zh-CN"/>
              </w:rPr>
              <w:t>下</w:t>
            </w:r>
            <w:r>
              <w:rPr>
                <w:rFonts w:ascii="Times New Roman" w:hAnsi="Times New Roman" w:eastAsia="宋体" w:cs="Times New Roman"/>
                <w:bCs/>
                <w:color w:val="auto"/>
                <w:spacing w:val="4"/>
                <w:kern w:val="0"/>
                <w:sz w:val="24"/>
              </w:rPr>
              <w:t>表。</w:t>
            </w:r>
          </w:p>
          <w:p w14:paraId="2A1102EF">
            <w:pPr>
              <w:autoSpaceDE w:val="0"/>
              <w:autoSpaceDN w:val="0"/>
              <w:adjustRightInd w:val="0"/>
              <w:jc w:val="center"/>
              <w:rPr>
                <w:b/>
                <w:color w:val="auto"/>
                <w:szCs w:val="21"/>
              </w:rPr>
            </w:pPr>
            <w:r>
              <w:rPr>
                <w:b/>
                <w:color w:val="auto"/>
                <w:szCs w:val="21"/>
              </w:rPr>
              <w:t>表</w:t>
            </w:r>
            <w:r>
              <w:rPr>
                <w:rFonts w:hint="eastAsia"/>
                <w:b/>
                <w:color w:val="auto"/>
                <w:szCs w:val="21"/>
              </w:rPr>
              <w:t>4</w:t>
            </w:r>
            <w:r>
              <w:rPr>
                <w:rFonts w:hint="eastAsia"/>
                <w:b/>
                <w:color w:val="auto"/>
                <w:szCs w:val="21"/>
                <w:lang w:val="en-US" w:eastAsia="zh-CN"/>
              </w:rPr>
              <w:t>-17</w:t>
            </w:r>
            <w:r>
              <w:rPr>
                <w:b/>
                <w:color w:val="auto"/>
                <w:szCs w:val="21"/>
              </w:rPr>
              <w:t xml:space="preserve">  </w:t>
            </w:r>
            <w:r>
              <w:rPr>
                <w:rFonts w:hint="eastAsia" w:eastAsia="宋体"/>
                <w:b/>
                <w:color w:val="auto"/>
                <w:szCs w:val="21"/>
                <w:lang w:val="en-US" w:eastAsia="zh-CN"/>
              </w:rPr>
              <w:t>废气</w:t>
            </w:r>
            <w:r>
              <w:rPr>
                <w:b/>
                <w:color w:val="auto"/>
                <w:szCs w:val="21"/>
              </w:rPr>
              <w:t>环境监测计划一览表</w:t>
            </w:r>
          </w:p>
          <w:tbl>
            <w:tblPr>
              <w:tblStyle w:val="21"/>
              <w:tblpPr w:leftFromText="180" w:rightFromText="180" w:vertAnchor="text" w:horzAnchor="margin" w:tblpXSpec="center" w:tblpY="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566"/>
              <w:gridCol w:w="2024"/>
              <w:gridCol w:w="2764"/>
              <w:gridCol w:w="1861"/>
            </w:tblGrid>
            <w:tr w14:paraId="63233D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atLeast"/>
                <w:jc w:val="center"/>
              </w:trPr>
              <w:tc>
                <w:tcPr>
                  <w:tcW w:w="1566" w:type="dxa"/>
                  <w:tcBorders>
                    <w:tl2br w:val="nil"/>
                    <w:tr2bl w:val="nil"/>
                  </w:tcBorders>
                  <w:noWrap w:val="0"/>
                  <w:vAlign w:val="center"/>
                </w:tcPr>
                <w:p w14:paraId="36A7115D">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阶段</w:t>
                  </w:r>
                </w:p>
              </w:tc>
              <w:tc>
                <w:tcPr>
                  <w:tcW w:w="2024" w:type="dxa"/>
                  <w:tcBorders>
                    <w:tl2br w:val="nil"/>
                    <w:tr2bl w:val="nil"/>
                  </w:tcBorders>
                  <w:noWrap w:val="0"/>
                  <w:vAlign w:val="center"/>
                </w:tcPr>
                <w:p w14:paraId="4017731C">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监测地点</w:t>
                  </w:r>
                </w:p>
              </w:tc>
              <w:tc>
                <w:tcPr>
                  <w:tcW w:w="2764" w:type="dxa"/>
                  <w:tcBorders>
                    <w:tl2br w:val="nil"/>
                    <w:tr2bl w:val="nil"/>
                  </w:tcBorders>
                  <w:noWrap w:val="0"/>
                  <w:vAlign w:val="center"/>
                </w:tcPr>
                <w:p w14:paraId="22C71D00">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监测</w:t>
                  </w:r>
                  <w:r>
                    <w:rPr>
                      <w:rFonts w:hint="eastAsia" w:cs="Times New Roman"/>
                      <w:b/>
                      <w:bCs/>
                      <w:color w:val="auto"/>
                      <w:sz w:val="21"/>
                      <w:szCs w:val="21"/>
                      <w:lang w:val="en-US" w:eastAsia="zh-CN"/>
                    </w:rPr>
                    <w:t>指标</w:t>
                  </w:r>
                </w:p>
              </w:tc>
              <w:tc>
                <w:tcPr>
                  <w:tcW w:w="1861" w:type="dxa"/>
                  <w:tcBorders>
                    <w:tl2br w:val="nil"/>
                    <w:tr2bl w:val="nil"/>
                  </w:tcBorders>
                  <w:noWrap w:val="0"/>
                  <w:vAlign w:val="center"/>
                </w:tcPr>
                <w:p w14:paraId="2570DD2E">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监测频率</w:t>
                  </w:r>
                </w:p>
              </w:tc>
            </w:tr>
            <w:tr w14:paraId="34C7B9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atLeast"/>
                <w:jc w:val="center"/>
              </w:trPr>
              <w:tc>
                <w:tcPr>
                  <w:tcW w:w="1566" w:type="dxa"/>
                  <w:vMerge w:val="restart"/>
                  <w:tcBorders>
                    <w:tl2br w:val="nil"/>
                    <w:tr2bl w:val="nil"/>
                  </w:tcBorders>
                  <w:noWrap w:val="0"/>
                  <w:vAlign w:val="center"/>
                </w:tcPr>
                <w:p w14:paraId="3C885EB6">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营运期</w:t>
                  </w:r>
                </w:p>
              </w:tc>
              <w:tc>
                <w:tcPr>
                  <w:tcW w:w="2024" w:type="dxa"/>
                  <w:tcBorders>
                    <w:tl2br w:val="nil"/>
                    <w:tr2bl w:val="nil"/>
                  </w:tcBorders>
                  <w:shd w:val="clear" w:color="auto" w:fill="auto"/>
                  <w:noWrap w:val="0"/>
                  <w:vAlign w:val="center"/>
                </w:tcPr>
                <w:p w14:paraId="21A32BFB">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kern w:val="44"/>
                      <w:sz w:val="21"/>
                      <w:szCs w:val="21"/>
                      <w:lang w:val="en-US" w:eastAsia="zh-CN" w:bidi="ar-SA"/>
                    </w:rPr>
                  </w:pPr>
                  <w:r>
                    <w:rPr>
                      <w:rFonts w:hint="eastAsia" w:ascii="Times New Roman" w:hAnsi="Times New Roman" w:cs="Times New Roman"/>
                      <w:bCs/>
                      <w:color w:val="auto"/>
                      <w:kern w:val="44"/>
                      <w:sz w:val="21"/>
                      <w:szCs w:val="21"/>
                      <w:lang w:val="en-US" w:eastAsia="zh-CN" w:bidi="ar-SA"/>
                    </w:rPr>
                    <w:t>DA001</w:t>
                  </w:r>
                </w:p>
              </w:tc>
              <w:tc>
                <w:tcPr>
                  <w:tcW w:w="2764" w:type="dxa"/>
                  <w:tcBorders>
                    <w:tl2br w:val="nil"/>
                    <w:tr2bl w:val="nil"/>
                  </w:tcBorders>
                  <w:shd w:val="clear" w:color="auto" w:fill="auto"/>
                  <w:noWrap w:val="0"/>
                  <w:vAlign w:val="center"/>
                </w:tcPr>
                <w:p w14:paraId="3F3E9ECB">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kern w:val="44"/>
                      <w:sz w:val="21"/>
                      <w:szCs w:val="21"/>
                      <w:lang w:val="en-US" w:eastAsia="zh-CN" w:bidi="ar-SA"/>
                    </w:rPr>
                  </w:pP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lang w:val="en-US" w:eastAsia="zh-CN"/>
                    </w:rPr>
                    <w:t>、颗粒物、臭气浓度</w:t>
                  </w:r>
                </w:p>
              </w:tc>
              <w:tc>
                <w:tcPr>
                  <w:tcW w:w="1861" w:type="dxa"/>
                  <w:tcBorders>
                    <w:tl2br w:val="nil"/>
                    <w:tr2bl w:val="nil"/>
                  </w:tcBorders>
                  <w:shd w:val="clear" w:color="auto" w:fill="auto"/>
                  <w:noWrap w:val="0"/>
                  <w:vAlign w:val="center"/>
                </w:tcPr>
                <w:p w14:paraId="1164C916">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kern w:val="44"/>
                      <w:sz w:val="21"/>
                      <w:szCs w:val="21"/>
                      <w:lang w:val="en-US" w:eastAsia="zh-CN" w:bidi="ar-SA"/>
                    </w:rPr>
                  </w:pPr>
                  <w:r>
                    <w:rPr>
                      <w:rFonts w:hint="default" w:ascii="Times New Roman" w:hAnsi="Times New Roman" w:cs="Times New Roman"/>
                      <w:color w:val="auto"/>
                      <w:sz w:val="21"/>
                      <w:szCs w:val="21"/>
                    </w:rPr>
                    <w:t>1次/</w:t>
                  </w:r>
                  <w:r>
                    <w:rPr>
                      <w:rFonts w:hint="eastAsia" w:cs="Times New Roman"/>
                      <w:color w:val="auto"/>
                      <w:sz w:val="21"/>
                      <w:szCs w:val="21"/>
                      <w:lang w:val="en-US" w:eastAsia="zh-CN"/>
                    </w:rPr>
                    <w:t>半</w:t>
                  </w:r>
                  <w:r>
                    <w:rPr>
                      <w:rFonts w:hint="default" w:ascii="Times New Roman" w:hAnsi="Times New Roman" w:cs="Times New Roman"/>
                      <w:color w:val="auto"/>
                      <w:sz w:val="21"/>
                      <w:szCs w:val="21"/>
                    </w:rPr>
                    <w:t>年</w:t>
                  </w:r>
                </w:p>
              </w:tc>
            </w:tr>
            <w:tr w14:paraId="0544B7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atLeast"/>
                <w:jc w:val="center"/>
              </w:trPr>
              <w:tc>
                <w:tcPr>
                  <w:tcW w:w="1566" w:type="dxa"/>
                  <w:vMerge w:val="continue"/>
                  <w:tcBorders>
                    <w:tl2br w:val="nil"/>
                    <w:tr2bl w:val="nil"/>
                  </w:tcBorders>
                  <w:noWrap w:val="0"/>
                  <w:vAlign w:val="center"/>
                </w:tcPr>
                <w:p w14:paraId="59BCB9D0">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color w:val="auto"/>
                      <w:sz w:val="21"/>
                      <w:szCs w:val="21"/>
                    </w:rPr>
                  </w:pPr>
                </w:p>
              </w:tc>
              <w:tc>
                <w:tcPr>
                  <w:tcW w:w="2024" w:type="dxa"/>
                  <w:tcBorders>
                    <w:tl2br w:val="nil"/>
                    <w:tr2bl w:val="nil"/>
                  </w:tcBorders>
                  <w:shd w:val="clear" w:color="auto" w:fill="auto"/>
                  <w:noWrap w:val="0"/>
                  <w:vAlign w:val="center"/>
                </w:tcPr>
                <w:p w14:paraId="50F7F545">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eastAsia" w:ascii="Times New Roman" w:hAnsi="Times New Roman" w:eastAsia="宋体" w:cs="Times New Roman"/>
                      <w:bCs/>
                      <w:color w:val="auto"/>
                      <w:kern w:val="44"/>
                      <w:sz w:val="21"/>
                      <w:szCs w:val="21"/>
                      <w:lang w:val="en-US" w:eastAsia="zh-CN" w:bidi="ar-SA"/>
                    </w:rPr>
                  </w:pPr>
                  <w:r>
                    <w:rPr>
                      <w:rFonts w:hint="eastAsia" w:ascii="Times New Roman" w:hAnsi="Times New Roman" w:cs="Times New Roman"/>
                      <w:color w:val="auto"/>
                      <w:sz w:val="21"/>
                      <w:szCs w:val="21"/>
                      <w:lang w:eastAsia="zh-CN"/>
                    </w:rPr>
                    <w:t>厂界</w:t>
                  </w:r>
                </w:p>
              </w:tc>
              <w:tc>
                <w:tcPr>
                  <w:tcW w:w="2764" w:type="dxa"/>
                  <w:tcBorders>
                    <w:tl2br w:val="nil"/>
                    <w:tr2bl w:val="nil"/>
                  </w:tcBorders>
                  <w:shd w:val="clear" w:color="auto" w:fill="auto"/>
                  <w:noWrap w:val="0"/>
                  <w:vAlign w:val="center"/>
                </w:tcPr>
                <w:p w14:paraId="6F6EB6ED">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kern w:val="44"/>
                      <w:sz w:val="21"/>
                      <w:szCs w:val="21"/>
                      <w:lang w:val="en-US" w:eastAsia="zh-CN" w:bidi="ar-SA"/>
                    </w:rPr>
                  </w:pPr>
                  <w:r>
                    <w:rPr>
                      <w:rFonts w:hint="eastAsia"/>
                      <w:color w:val="auto"/>
                      <w:sz w:val="21"/>
                      <w:szCs w:val="21"/>
                      <w:lang w:val="en-US" w:eastAsia="zh-CN"/>
                    </w:rPr>
                    <w:t>VOC</w:t>
                  </w:r>
                  <w:r>
                    <w:rPr>
                      <w:rFonts w:hint="eastAsia"/>
                      <w:color w:val="auto"/>
                      <w:sz w:val="21"/>
                      <w:szCs w:val="21"/>
                      <w:vertAlign w:val="subscript"/>
                      <w:lang w:val="en-US" w:eastAsia="zh-CN"/>
                    </w:rPr>
                    <w:t>S</w:t>
                  </w:r>
                  <w:r>
                    <w:rPr>
                      <w:rFonts w:hint="eastAsia"/>
                      <w:color w:val="auto"/>
                      <w:sz w:val="21"/>
                      <w:szCs w:val="21"/>
                      <w:lang w:val="en-US" w:eastAsia="zh-CN"/>
                    </w:rPr>
                    <w:t>、颗粒物、臭气浓度、NH3、H2S</w:t>
                  </w:r>
                </w:p>
              </w:tc>
              <w:tc>
                <w:tcPr>
                  <w:tcW w:w="1861" w:type="dxa"/>
                  <w:tcBorders>
                    <w:tl2br w:val="nil"/>
                    <w:tr2bl w:val="nil"/>
                  </w:tcBorders>
                  <w:shd w:val="clear" w:color="auto" w:fill="auto"/>
                  <w:noWrap w:val="0"/>
                  <w:vAlign w:val="center"/>
                </w:tcPr>
                <w:p w14:paraId="6E428387">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eastAsia="宋体" w:cs="Times New Roman"/>
                      <w:bCs/>
                      <w:color w:val="auto"/>
                      <w:kern w:val="44"/>
                      <w:sz w:val="21"/>
                      <w:szCs w:val="21"/>
                      <w:lang w:val="en-US" w:eastAsia="zh-CN" w:bidi="ar-SA"/>
                    </w:rPr>
                  </w:pPr>
                  <w:r>
                    <w:rPr>
                      <w:rFonts w:hint="default" w:ascii="Times New Roman" w:hAnsi="Times New Roman" w:cs="Times New Roman"/>
                      <w:color w:val="auto"/>
                      <w:sz w:val="21"/>
                      <w:szCs w:val="21"/>
                    </w:rPr>
                    <w:t>1次/年</w:t>
                  </w:r>
                </w:p>
              </w:tc>
            </w:tr>
            <w:tr w14:paraId="671FB1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atLeast"/>
                <w:jc w:val="center"/>
              </w:trPr>
              <w:tc>
                <w:tcPr>
                  <w:tcW w:w="1566" w:type="dxa"/>
                  <w:vMerge w:val="continue"/>
                  <w:tcBorders>
                    <w:tl2br w:val="nil"/>
                    <w:tr2bl w:val="nil"/>
                  </w:tcBorders>
                  <w:noWrap w:val="0"/>
                  <w:vAlign w:val="center"/>
                </w:tcPr>
                <w:p w14:paraId="1FAE9613">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color w:val="auto"/>
                      <w:sz w:val="21"/>
                      <w:szCs w:val="21"/>
                    </w:rPr>
                  </w:pPr>
                </w:p>
              </w:tc>
              <w:tc>
                <w:tcPr>
                  <w:tcW w:w="2024" w:type="dxa"/>
                  <w:tcBorders>
                    <w:tl2br w:val="nil"/>
                    <w:tr2bl w:val="nil"/>
                  </w:tcBorders>
                  <w:shd w:val="clear" w:color="auto" w:fill="auto"/>
                  <w:noWrap w:val="0"/>
                  <w:vAlign w:val="center"/>
                </w:tcPr>
                <w:p w14:paraId="0A5AC7C1">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厂区内</w:t>
                  </w:r>
                </w:p>
              </w:tc>
              <w:tc>
                <w:tcPr>
                  <w:tcW w:w="2764" w:type="dxa"/>
                  <w:tcBorders>
                    <w:tl2br w:val="nil"/>
                    <w:tr2bl w:val="nil"/>
                  </w:tcBorders>
                  <w:shd w:val="clear" w:color="auto" w:fill="auto"/>
                  <w:noWrap w:val="0"/>
                  <w:vAlign w:val="center"/>
                </w:tcPr>
                <w:p w14:paraId="65A3DB31">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非甲烷总烃</w:t>
                  </w:r>
                </w:p>
              </w:tc>
              <w:tc>
                <w:tcPr>
                  <w:tcW w:w="1861" w:type="dxa"/>
                  <w:tcBorders>
                    <w:tl2br w:val="nil"/>
                    <w:tr2bl w:val="nil"/>
                  </w:tcBorders>
                  <w:shd w:val="clear" w:color="auto" w:fill="auto"/>
                  <w:noWrap w:val="0"/>
                  <w:vAlign w:val="center"/>
                </w:tcPr>
                <w:p w14:paraId="5761BB7B">
                  <w:pPr>
                    <w:pStyle w:val="88"/>
                    <w:keepNext w:val="0"/>
                    <w:keepLines w:val="0"/>
                    <w:pageBreakBefore w:val="0"/>
                    <w:kinsoku/>
                    <w:wordWrap/>
                    <w:overflowPunct/>
                    <w:topLinePunct w:val="0"/>
                    <w:autoSpaceDE/>
                    <w:autoSpaceDN/>
                    <w:bidi w:val="0"/>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w:t>
                  </w:r>
                </w:p>
              </w:tc>
            </w:tr>
          </w:tbl>
          <w:p w14:paraId="0A50B7C3">
            <w:pPr>
              <w:spacing w:line="360" w:lineRule="auto"/>
              <w:ind w:firstLine="496" w:firstLineChars="200"/>
              <w:rPr>
                <w:rFonts w:hint="eastAsia" w:ascii="Times New Roman" w:hAnsi="Times New Roman" w:eastAsia="宋体" w:cs="Times New Roman"/>
                <w:bCs/>
                <w:color w:val="auto"/>
                <w:spacing w:val="4"/>
                <w:kern w:val="0"/>
                <w:sz w:val="24"/>
                <w:lang w:eastAsia="zh-CN"/>
              </w:rPr>
            </w:pPr>
            <w:r>
              <w:rPr>
                <w:rFonts w:hint="eastAsia" w:ascii="Times New Roman" w:hAnsi="Times New Roman" w:eastAsia="宋体" w:cs="Times New Roman"/>
                <w:bCs/>
                <w:color w:val="auto"/>
                <w:spacing w:val="4"/>
                <w:kern w:val="0"/>
                <w:sz w:val="24"/>
              </w:rPr>
              <w:t>②</w:t>
            </w:r>
            <w:r>
              <w:rPr>
                <w:rFonts w:hint="eastAsia" w:ascii="Times New Roman" w:hAnsi="Times New Roman" w:eastAsia="宋体" w:cs="Times New Roman"/>
                <w:bCs/>
                <w:color w:val="auto"/>
                <w:spacing w:val="4"/>
                <w:kern w:val="0"/>
                <w:sz w:val="24"/>
                <w:lang w:eastAsia="zh-CN"/>
              </w:rPr>
              <w:t>废水</w:t>
            </w:r>
            <w:r>
              <w:rPr>
                <w:rFonts w:ascii="Times New Roman" w:hAnsi="Times New Roman" w:eastAsia="宋体" w:cs="Times New Roman"/>
                <w:bCs/>
                <w:color w:val="auto"/>
                <w:spacing w:val="4"/>
                <w:kern w:val="0"/>
                <w:sz w:val="24"/>
              </w:rPr>
              <w:t>污染源监测计划见</w:t>
            </w:r>
            <w:r>
              <w:rPr>
                <w:rFonts w:hint="eastAsia" w:ascii="Times New Roman" w:hAnsi="Times New Roman" w:eastAsia="宋体" w:cs="Times New Roman"/>
                <w:bCs/>
                <w:color w:val="auto"/>
                <w:spacing w:val="4"/>
                <w:kern w:val="0"/>
                <w:sz w:val="24"/>
                <w:lang w:eastAsia="zh-CN"/>
              </w:rPr>
              <w:t>下</w:t>
            </w:r>
            <w:r>
              <w:rPr>
                <w:rFonts w:ascii="Times New Roman" w:hAnsi="Times New Roman" w:eastAsia="宋体" w:cs="Times New Roman"/>
                <w:bCs/>
                <w:color w:val="auto"/>
                <w:spacing w:val="4"/>
                <w:kern w:val="0"/>
                <w:sz w:val="24"/>
              </w:rPr>
              <w:t>表</w:t>
            </w:r>
            <w:r>
              <w:rPr>
                <w:rFonts w:hint="eastAsia" w:ascii="Times New Roman" w:hAnsi="Times New Roman" w:eastAsia="宋体" w:cs="Times New Roman"/>
                <w:bCs/>
                <w:color w:val="auto"/>
                <w:spacing w:val="4"/>
                <w:kern w:val="0"/>
                <w:sz w:val="24"/>
                <w:lang w:eastAsia="zh-CN"/>
              </w:rPr>
              <w:t>。</w:t>
            </w:r>
          </w:p>
          <w:p w14:paraId="48CBE7BC">
            <w:pPr>
              <w:pStyle w:val="16"/>
              <w:jc w:val="center"/>
              <w:rPr>
                <w:b/>
                <w:color w:val="auto"/>
                <w:w w:val="100"/>
                <w:sz w:val="21"/>
                <w:szCs w:val="21"/>
              </w:rPr>
            </w:pPr>
            <w:r>
              <w:rPr>
                <w:b/>
                <w:color w:val="auto"/>
                <w:w w:val="100"/>
                <w:sz w:val="21"/>
                <w:szCs w:val="21"/>
              </w:rPr>
              <w:t>表</w:t>
            </w:r>
            <w:r>
              <w:rPr>
                <w:rFonts w:hint="eastAsia"/>
                <w:b/>
                <w:color w:val="auto"/>
                <w:w w:val="100"/>
                <w:sz w:val="21"/>
                <w:szCs w:val="21"/>
              </w:rPr>
              <w:t>4</w:t>
            </w:r>
            <w:r>
              <w:rPr>
                <w:rFonts w:hint="eastAsia"/>
                <w:b/>
                <w:color w:val="auto"/>
                <w:w w:val="100"/>
                <w:sz w:val="21"/>
                <w:szCs w:val="21"/>
                <w:lang w:val="en-US" w:eastAsia="zh-CN"/>
              </w:rPr>
              <w:t>-18</w:t>
            </w:r>
            <w:r>
              <w:rPr>
                <w:b/>
                <w:color w:val="auto"/>
                <w:w w:val="100"/>
                <w:sz w:val="21"/>
                <w:szCs w:val="21"/>
              </w:rPr>
              <w:t xml:space="preserve">  </w:t>
            </w:r>
            <w:r>
              <w:rPr>
                <w:rFonts w:hint="eastAsia"/>
                <w:b/>
                <w:color w:val="auto"/>
                <w:w w:val="100"/>
                <w:sz w:val="21"/>
                <w:szCs w:val="21"/>
                <w:lang w:eastAsia="zh-CN"/>
              </w:rPr>
              <w:t>废水污染</w:t>
            </w:r>
            <w:r>
              <w:rPr>
                <w:b/>
                <w:color w:val="auto"/>
                <w:w w:val="100"/>
                <w:sz w:val="21"/>
                <w:szCs w:val="21"/>
              </w:rPr>
              <w:t>监测计划表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2062"/>
              <w:gridCol w:w="3441"/>
              <w:gridCol w:w="1553"/>
            </w:tblGrid>
            <w:tr w14:paraId="0CADC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5" w:type="pct"/>
                  <w:vAlign w:val="center"/>
                </w:tcPr>
                <w:p w14:paraId="3C1CD364">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b/>
                      <w:color w:val="auto"/>
                      <w:sz w:val="21"/>
                      <w:szCs w:val="21"/>
                    </w:rPr>
                  </w:pPr>
                  <w:r>
                    <w:rPr>
                      <w:b/>
                      <w:color w:val="auto"/>
                      <w:sz w:val="21"/>
                      <w:szCs w:val="21"/>
                    </w:rPr>
                    <w:t>阶段</w:t>
                  </w:r>
                </w:p>
              </w:tc>
              <w:tc>
                <w:tcPr>
                  <w:tcW w:w="1255" w:type="pct"/>
                  <w:vAlign w:val="center"/>
                </w:tcPr>
                <w:p w14:paraId="0D441F7E">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b/>
                      <w:color w:val="auto"/>
                      <w:sz w:val="21"/>
                      <w:szCs w:val="21"/>
                    </w:rPr>
                  </w:pPr>
                  <w:r>
                    <w:rPr>
                      <w:b/>
                      <w:color w:val="auto"/>
                      <w:sz w:val="21"/>
                      <w:szCs w:val="21"/>
                    </w:rPr>
                    <w:t>监测地点</w:t>
                  </w:r>
                </w:p>
              </w:tc>
              <w:tc>
                <w:tcPr>
                  <w:tcW w:w="2094" w:type="pct"/>
                  <w:vAlign w:val="center"/>
                </w:tcPr>
                <w:p w14:paraId="623CC0CC">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eastAsia" w:eastAsia="宋体"/>
                      <w:b/>
                      <w:color w:val="auto"/>
                      <w:sz w:val="21"/>
                      <w:szCs w:val="21"/>
                      <w:lang w:eastAsia="zh-CN"/>
                    </w:rPr>
                  </w:pPr>
                  <w:r>
                    <w:rPr>
                      <w:b/>
                      <w:color w:val="auto"/>
                      <w:sz w:val="21"/>
                      <w:szCs w:val="21"/>
                    </w:rPr>
                    <w:t>监测</w:t>
                  </w:r>
                  <w:r>
                    <w:rPr>
                      <w:rFonts w:hint="eastAsia"/>
                      <w:b/>
                      <w:color w:val="auto"/>
                      <w:sz w:val="21"/>
                      <w:szCs w:val="21"/>
                      <w:lang w:val="en-US" w:eastAsia="zh-CN"/>
                    </w:rPr>
                    <w:t>指标</w:t>
                  </w:r>
                </w:p>
              </w:tc>
              <w:tc>
                <w:tcPr>
                  <w:tcW w:w="946" w:type="pct"/>
                  <w:vAlign w:val="center"/>
                </w:tcPr>
                <w:p w14:paraId="71970497">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b/>
                      <w:color w:val="auto"/>
                      <w:sz w:val="21"/>
                      <w:szCs w:val="21"/>
                    </w:rPr>
                  </w:pPr>
                  <w:r>
                    <w:rPr>
                      <w:b/>
                      <w:color w:val="auto"/>
                      <w:sz w:val="21"/>
                      <w:szCs w:val="21"/>
                    </w:rPr>
                    <w:t>监测频率</w:t>
                  </w:r>
                </w:p>
              </w:tc>
            </w:tr>
            <w:tr w14:paraId="1B8FF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5" w:type="pct"/>
                  <w:vAlign w:val="center"/>
                </w:tcPr>
                <w:p w14:paraId="03E8537C">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运营期</w:t>
                  </w:r>
                </w:p>
              </w:tc>
              <w:tc>
                <w:tcPr>
                  <w:tcW w:w="1255" w:type="pct"/>
                  <w:vAlign w:val="center"/>
                </w:tcPr>
                <w:p w14:paraId="43680C9F">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ascii="Times New Roman" w:hAnsi="Times New Roman"/>
                      <w:color w:val="auto"/>
                      <w:sz w:val="21"/>
                      <w:szCs w:val="21"/>
                    </w:rPr>
                  </w:pPr>
                  <w:r>
                    <w:rPr>
                      <w:rFonts w:hint="eastAsia"/>
                      <w:color w:val="auto"/>
                      <w:sz w:val="21"/>
                      <w:szCs w:val="21"/>
                      <w:lang w:val="en-US" w:eastAsia="zh-CN"/>
                    </w:rPr>
                    <w:t>废水</w:t>
                  </w:r>
                  <w:r>
                    <w:rPr>
                      <w:rFonts w:ascii="Times New Roman" w:hAnsi="Times New Roman"/>
                      <w:color w:val="auto"/>
                      <w:sz w:val="21"/>
                      <w:szCs w:val="21"/>
                    </w:rPr>
                    <w:t>总排口</w:t>
                  </w:r>
                </w:p>
              </w:tc>
              <w:tc>
                <w:tcPr>
                  <w:tcW w:w="2094" w:type="pct"/>
                  <w:vAlign w:val="center"/>
                </w:tcPr>
                <w:p w14:paraId="37CF0BA4">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流量、</w:t>
                  </w:r>
                  <w:r>
                    <w:rPr>
                      <w:rFonts w:ascii="Times New Roman" w:hAnsi="Times New Roman"/>
                      <w:color w:val="auto"/>
                      <w:sz w:val="21"/>
                      <w:szCs w:val="21"/>
                    </w:rPr>
                    <w:t>pH值、SS、BOD</w:t>
                  </w:r>
                  <w:r>
                    <w:rPr>
                      <w:rFonts w:ascii="Times New Roman" w:hAnsi="Times New Roman"/>
                      <w:color w:val="auto"/>
                      <w:sz w:val="21"/>
                      <w:szCs w:val="21"/>
                      <w:vertAlign w:val="subscript"/>
                    </w:rPr>
                    <w:t>5</w:t>
                  </w:r>
                  <w:r>
                    <w:rPr>
                      <w:rFonts w:ascii="Times New Roman" w:hAnsi="Times New Roman"/>
                      <w:color w:val="auto"/>
                      <w:sz w:val="21"/>
                      <w:szCs w:val="21"/>
                    </w:rPr>
                    <w:t>、COD、氨氮、总磷、总氮</w:t>
                  </w:r>
                  <w:r>
                    <w:rPr>
                      <w:rFonts w:hint="eastAsia" w:ascii="Times New Roman" w:hAnsi="Times New Roman"/>
                      <w:color w:val="auto"/>
                      <w:sz w:val="21"/>
                      <w:szCs w:val="21"/>
                      <w:lang w:eastAsia="zh-CN"/>
                    </w:rPr>
                    <w:t>、</w:t>
                  </w:r>
                  <w:r>
                    <w:rPr>
                      <w:rFonts w:hint="eastAsia"/>
                      <w:color w:val="auto"/>
                      <w:sz w:val="21"/>
                      <w:szCs w:val="21"/>
                      <w:lang w:val="en-US" w:eastAsia="zh-CN"/>
                    </w:rPr>
                    <w:t>石油类</w:t>
                  </w:r>
                </w:p>
              </w:tc>
              <w:tc>
                <w:tcPr>
                  <w:tcW w:w="946" w:type="pct"/>
                  <w:vAlign w:val="center"/>
                </w:tcPr>
                <w:p w14:paraId="268BF51F">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1次/</w:t>
                  </w:r>
                  <w:r>
                    <w:rPr>
                      <w:rFonts w:hint="eastAsia"/>
                      <w:color w:val="auto"/>
                      <w:sz w:val="21"/>
                      <w:szCs w:val="21"/>
                      <w:lang w:val="en-US" w:eastAsia="zh-CN"/>
                    </w:rPr>
                    <w:t>半</w:t>
                  </w:r>
                  <w:r>
                    <w:rPr>
                      <w:rFonts w:ascii="Times New Roman" w:hAnsi="Times New Roman"/>
                      <w:color w:val="auto"/>
                      <w:sz w:val="21"/>
                      <w:szCs w:val="21"/>
                    </w:rPr>
                    <w:t>年</w:t>
                  </w:r>
                </w:p>
              </w:tc>
            </w:tr>
          </w:tbl>
          <w:p w14:paraId="42F55F0D">
            <w:pPr>
              <w:spacing w:line="360" w:lineRule="auto"/>
              <w:ind w:firstLine="496" w:firstLineChars="200"/>
              <w:rPr>
                <w:rFonts w:ascii="Times New Roman" w:hAnsi="Times New Roman" w:eastAsia="宋体" w:cs="Times New Roman"/>
                <w:bCs/>
                <w:color w:val="auto"/>
                <w:spacing w:val="4"/>
                <w:kern w:val="0"/>
                <w:sz w:val="24"/>
              </w:rPr>
            </w:pPr>
            <w:r>
              <w:rPr>
                <w:rFonts w:hint="eastAsia" w:ascii="Times New Roman" w:hAnsi="Times New Roman" w:eastAsia="宋体" w:cs="Times New Roman"/>
                <w:bCs/>
                <w:color w:val="auto"/>
                <w:spacing w:val="4"/>
                <w:kern w:val="0"/>
                <w:sz w:val="24"/>
              </w:rPr>
              <w:t>③</w:t>
            </w:r>
            <w:r>
              <w:rPr>
                <w:rFonts w:ascii="Times New Roman" w:hAnsi="Times New Roman" w:eastAsia="宋体" w:cs="Times New Roman"/>
                <w:bCs/>
                <w:color w:val="auto"/>
                <w:spacing w:val="4"/>
                <w:kern w:val="0"/>
                <w:sz w:val="24"/>
              </w:rPr>
              <w:t>噪声污染源监测计划见</w:t>
            </w:r>
            <w:r>
              <w:rPr>
                <w:rFonts w:hint="eastAsia" w:ascii="Times New Roman" w:hAnsi="Times New Roman" w:eastAsia="宋体" w:cs="Times New Roman"/>
                <w:bCs/>
                <w:color w:val="auto"/>
                <w:spacing w:val="4"/>
                <w:kern w:val="0"/>
                <w:sz w:val="24"/>
                <w:lang w:eastAsia="zh-CN"/>
              </w:rPr>
              <w:t>下</w:t>
            </w:r>
            <w:r>
              <w:rPr>
                <w:rFonts w:ascii="Times New Roman" w:hAnsi="Times New Roman" w:eastAsia="宋体" w:cs="Times New Roman"/>
                <w:bCs/>
                <w:color w:val="auto"/>
                <w:spacing w:val="4"/>
                <w:kern w:val="0"/>
                <w:sz w:val="24"/>
              </w:rPr>
              <w:t>表。</w:t>
            </w:r>
          </w:p>
          <w:p w14:paraId="2A5616BE">
            <w:pPr>
              <w:pStyle w:val="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rPr>
            </w:pPr>
            <w:r>
              <w:rPr>
                <w:rFonts w:hint="eastAsia" w:ascii="宋体" w:hAnsi="宋体" w:eastAsia="宋体" w:cs="宋体"/>
                <w:b/>
                <w:bCs/>
                <w:color w:val="auto"/>
                <w:sz w:val="21"/>
                <w:szCs w:val="21"/>
              </w:rPr>
              <w:t>表4</w:t>
            </w:r>
            <w:r>
              <w:rPr>
                <w:rFonts w:hint="eastAsia" w:ascii="宋体" w:hAnsi="宋体" w:eastAsia="宋体" w:cs="宋体"/>
                <w:b/>
                <w:bCs/>
                <w:color w:val="auto"/>
                <w:sz w:val="21"/>
                <w:szCs w:val="21"/>
                <w:lang w:val="en-US" w:eastAsia="zh-CN"/>
              </w:rPr>
              <w:t>-</w:t>
            </w:r>
            <w:r>
              <w:rPr>
                <w:rFonts w:hint="eastAsia" w:ascii="宋体" w:eastAsia="宋体" w:cs="宋体"/>
                <w:b/>
                <w:bCs/>
                <w:color w:val="auto"/>
                <w:sz w:val="21"/>
                <w:szCs w:val="21"/>
                <w:lang w:val="en-US" w:eastAsia="zh-CN"/>
              </w:rPr>
              <w:t xml:space="preserve">19 </w:t>
            </w:r>
            <w:r>
              <w:rPr>
                <w:rFonts w:hint="eastAsia" w:ascii="宋体" w:hAnsi="宋体" w:eastAsia="宋体" w:cs="宋体"/>
                <w:b/>
                <w:bCs/>
                <w:color w:val="auto"/>
                <w:sz w:val="21"/>
                <w:szCs w:val="21"/>
              </w:rPr>
              <w:t xml:space="preserve"> 噪声监测计划表</w:t>
            </w:r>
          </w:p>
          <w:tbl>
            <w:tblPr>
              <w:tblStyle w:val="21"/>
              <w:tblpPr w:leftFromText="180" w:rightFromText="180" w:vertAnchor="text" w:horzAnchor="margin" w:tblpXSpec="center" w:tblpY="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716"/>
              <w:gridCol w:w="2693"/>
              <w:gridCol w:w="1774"/>
              <w:gridCol w:w="2032"/>
            </w:tblGrid>
            <w:tr w14:paraId="4C2BE2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173" w:type="dxa"/>
                  <w:noWrap w:val="0"/>
                  <w:vAlign w:val="center"/>
                </w:tcPr>
                <w:p w14:paraId="7F5C78BC">
                  <w:pPr>
                    <w:pStyle w:val="99"/>
                    <w:bidi w:val="0"/>
                    <w:rPr>
                      <w:rFonts w:hint="eastAsia" w:ascii="宋体" w:hAnsi="宋体" w:eastAsia="宋体" w:cs="宋体"/>
                      <w:b/>
                      <w:bCs/>
                      <w:color w:val="auto"/>
                    </w:rPr>
                  </w:pPr>
                  <w:r>
                    <w:rPr>
                      <w:rFonts w:hint="eastAsia" w:ascii="宋体" w:hAnsi="宋体" w:eastAsia="宋体" w:cs="宋体"/>
                      <w:b/>
                      <w:bCs/>
                      <w:color w:val="auto"/>
                    </w:rPr>
                    <w:t>阶段</w:t>
                  </w:r>
                </w:p>
              </w:tc>
              <w:tc>
                <w:tcPr>
                  <w:tcW w:w="1840" w:type="dxa"/>
                  <w:noWrap w:val="0"/>
                  <w:vAlign w:val="center"/>
                </w:tcPr>
                <w:p w14:paraId="676ACD79">
                  <w:pPr>
                    <w:pStyle w:val="99"/>
                    <w:bidi w:val="0"/>
                    <w:rPr>
                      <w:rFonts w:hint="eastAsia" w:ascii="宋体" w:hAnsi="宋体" w:eastAsia="宋体" w:cs="宋体"/>
                      <w:b/>
                      <w:bCs/>
                      <w:color w:val="auto"/>
                    </w:rPr>
                  </w:pPr>
                  <w:r>
                    <w:rPr>
                      <w:rFonts w:hint="eastAsia" w:ascii="宋体" w:hAnsi="宋体" w:eastAsia="宋体" w:cs="宋体"/>
                      <w:b/>
                      <w:bCs/>
                      <w:color w:val="auto"/>
                    </w:rPr>
                    <w:t>监测地点</w:t>
                  </w:r>
                </w:p>
              </w:tc>
              <w:tc>
                <w:tcPr>
                  <w:tcW w:w="1212" w:type="dxa"/>
                  <w:noWrap w:val="0"/>
                  <w:vAlign w:val="center"/>
                </w:tcPr>
                <w:p w14:paraId="68FD1A19">
                  <w:pPr>
                    <w:pStyle w:val="99"/>
                    <w:bidi w:val="0"/>
                    <w:rPr>
                      <w:rFonts w:hint="eastAsia" w:ascii="宋体" w:hAnsi="宋体" w:eastAsia="宋体" w:cs="宋体"/>
                      <w:b/>
                      <w:bCs/>
                      <w:color w:val="auto"/>
                    </w:rPr>
                  </w:pPr>
                  <w:r>
                    <w:rPr>
                      <w:rFonts w:hint="eastAsia" w:ascii="宋体" w:hAnsi="宋体" w:eastAsia="宋体" w:cs="宋体"/>
                      <w:b/>
                      <w:bCs/>
                      <w:color w:val="auto"/>
                    </w:rPr>
                    <w:t>监测项目</w:t>
                  </w:r>
                </w:p>
              </w:tc>
              <w:tc>
                <w:tcPr>
                  <w:tcW w:w="1388" w:type="dxa"/>
                  <w:noWrap w:val="0"/>
                  <w:vAlign w:val="center"/>
                </w:tcPr>
                <w:p w14:paraId="0ADFA267">
                  <w:pPr>
                    <w:pStyle w:val="99"/>
                    <w:bidi w:val="0"/>
                    <w:rPr>
                      <w:rFonts w:hint="eastAsia" w:ascii="宋体" w:hAnsi="宋体" w:eastAsia="宋体" w:cs="宋体"/>
                      <w:b/>
                      <w:bCs/>
                      <w:color w:val="auto"/>
                    </w:rPr>
                  </w:pPr>
                  <w:r>
                    <w:rPr>
                      <w:rFonts w:hint="eastAsia" w:ascii="宋体" w:hAnsi="宋体" w:eastAsia="宋体" w:cs="宋体"/>
                      <w:b/>
                      <w:bCs/>
                      <w:color w:val="auto"/>
                    </w:rPr>
                    <w:t>监测频率</w:t>
                  </w:r>
                </w:p>
              </w:tc>
            </w:tr>
            <w:tr w14:paraId="41C403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173" w:type="dxa"/>
                  <w:noWrap w:val="0"/>
                  <w:vAlign w:val="center"/>
                </w:tcPr>
                <w:p w14:paraId="6AC6E999">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营运期</w:t>
                  </w:r>
                </w:p>
              </w:tc>
              <w:tc>
                <w:tcPr>
                  <w:tcW w:w="1840" w:type="dxa"/>
                  <w:noWrap w:val="0"/>
                  <w:vAlign w:val="center"/>
                </w:tcPr>
                <w:p w14:paraId="438A87F0">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厂界四周</w:t>
                  </w:r>
                </w:p>
              </w:tc>
              <w:tc>
                <w:tcPr>
                  <w:tcW w:w="1212" w:type="dxa"/>
                  <w:noWrap w:val="0"/>
                  <w:vAlign w:val="center"/>
                </w:tcPr>
                <w:p w14:paraId="60A87B7D">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388" w:type="dxa"/>
                  <w:noWrap w:val="0"/>
                  <w:vAlign w:val="center"/>
                </w:tcPr>
                <w:p w14:paraId="673C752E">
                  <w:pPr>
                    <w:pStyle w:val="88"/>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1次/季</w:t>
                  </w:r>
                </w:p>
              </w:tc>
            </w:tr>
          </w:tbl>
          <w:p w14:paraId="7779143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b/>
                <w:bCs/>
                <w:color w:val="auto"/>
                <w:sz w:val="24"/>
              </w:rPr>
            </w:pPr>
            <w:r>
              <w:rPr>
                <w:rFonts w:hint="eastAsia"/>
                <w:b/>
                <w:bCs/>
                <w:color w:val="auto"/>
                <w:sz w:val="24"/>
                <w:lang w:eastAsia="zh-CN"/>
              </w:rPr>
              <w:t>十</w:t>
            </w:r>
            <w:r>
              <w:rPr>
                <w:rFonts w:hint="eastAsia"/>
                <w:b/>
                <w:bCs/>
                <w:color w:val="auto"/>
                <w:sz w:val="24"/>
              </w:rPr>
              <w:t>、</w:t>
            </w:r>
            <w:r>
              <w:rPr>
                <w:b/>
                <w:bCs/>
                <w:color w:val="auto"/>
                <w:sz w:val="24"/>
              </w:rPr>
              <w:t>排污口的规范化</w:t>
            </w:r>
          </w:p>
          <w:p w14:paraId="623DD120">
            <w:pPr>
              <w:spacing w:line="360" w:lineRule="auto"/>
              <w:ind w:firstLine="600" w:firstLineChars="250"/>
              <w:rPr>
                <w:color w:val="auto"/>
                <w:sz w:val="24"/>
              </w:rPr>
            </w:pPr>
            <w:r>
              <w:rPr>
                <w:color w:val="auto"/>
                <w:sz w:val="24"/>
              </w:rPr>
              <w:t>根据《关于开展排放口规范化整治工作的通知》国家环境保护总局环发</w:t>
            </w:r>
            <w:r>
              <w:rPr>
                <w:rFonts w:hint="eastAsia"/>
                <w:color w:val="auto"/>
                <w:sz w:val="24"/>
              </w:rPr>
              <w:t>［</w:t>
            </w:r>
            <w:r>
              <w:rPr>
                <w:color w:val="auto"/>
                <w:sz w:val="24"/>
              </w:rPr>
              <w:t>1999</w:t>
            </w:r>
            <w:r>
              <w:rPr>
                <w:rFonts w:hint="eastAsia"/>
                <w:color w:val="auto"/>
                <w:sz w:val="24"/>
              </w:rPr>
              <w:t>］</w:t>
            </w:r>
            <w:r>
              <w:rPr>
                <w:color w:val="auto"/>
                <w:sz w:val="24"/>
              </w:rPr>
              <w:t>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14:paraId="35A7D254">
            <w:pPr>
              <w:spacing w:line="360" w:lineRule="auto"/>
              <w:ind w:firstLine="620" w:firstLineChars="250"/>
              <w:rPr>
                <w:rFonts w:hint="eastAsia" w:ascii="Times New Roman" w:hAnsi="Times New Roman"/>
                <w:color w:val="auto"/>
                <w:spacing w:val="4"/>
                <w:kern w:val="0"/>
                <w:sz w:val="24"/>
              </w:rPr>
            </w:pPr>
            <w:r>
              <w:rPr>
                <w:rFonts w:hint="eastAsia" w:ascii="Times New Roman" w:hAnsi="Times New Roman"/>
                <w:color w:val="auto"/>
                <w:spacing w:val="4"/>
                <w:kern w:val="0"/>
                <w:sz w:val="24"/>
              </w:rPr>
              <w:t>拟建项目应在气、水、声、固排污口（源）挂牌标识。规范化整治具体如下：</w:t>
            </w:r>
          </w:p>
          <w:p w14:paraId="185DA8A9">
            <w:pPr>
              <w:spacing w:line="360" w:lineRule="auto"/>
              <w:ind w:firstLine="620" w:firstLineChars="250"/>
              <w:rPr>
                <w:rFonts w:hint="eastAsia" w:ascii="Times New Roman" w:hAnsi="Times New Roman"/>
                <w:color w:val="auto"/>
                <w:spacing w:val="4"/>
                <w:kern w:val="0"/>
                <w:sz w:val="24"/>
              </w:rPr>
            </w:pPr>
            <w:r>
              <w:rPr>
                <w:rFonts w:hint="default" w:ascii="Times New Roman" w:hAnsi="Times New Roman"/>
                <w:color w:val="auto"/>
                <w:spacing w:val="4"/>
                <w:kern w:val="0"/>
                <w:sz w:val="24"/>
              </w:rPr>
              <w:t>①</w:t>
            </w:r>
            <w:r>
              <w:rPr>
                <w:rFonts w:hint="eastAsia" w:ascii="Times New Roman" w:hAnsi="Times New Roman"/>
                <w:color w:val="auto"/>
                <w:spacing w:val="4"/>
                <w:kern w:val="0"/>
                <w:sz w:val="24"/>
              </w:rPr>
              <w:t>项目建成后，废气排气筒附近醒目处均应树立一个环保图形标志牌。</w:t>
            </w:r>
          </w:p>
          <w:p w14:paraId="439D75A1">
            <w:pPr>
              <w:spacing w:line="360" w:lineRule="auto"/>
              <w:ind w:firstLine="620" w:firstLineChars="250"/>
              <w:rPr>
                <w:rFonts w:hint="eastAsia" w:ascii="Times New Roman" w:hAnsi="Times New Roman"/>
                <w:color w:val="auto"/>
                <w:spacing w:val="4"/>
                <w:kern w:val="0"/>
                <w:sz w:val="24"/>
              </w:rPr>
            </w:pPr>
            <w:r>
              <w:rPr>
                <w:rFonts w:hint="default" w:ascii="Times New Roman" w:hAnsi="Times New Roman"/>
                <w:color w:val="auto"/>
                <w:spacing w:val="4"/>
                <w:kern w:val="0"/>
                <w:sz w:val="24"/>
              </w:rPr>
              <w:t>②</w:t>
            </w:r>
            <w:r>
              <w:rPr>
                <w:rFonts w:hint="eastAsia" w:ascii="Times New Roman" w:hAnsi="Times New Roman"/>
                <w:color w:val="auto"/>
                <w:spacing w:val="4"/>
                <w:kern w:val="0"/>
                <w:sz w:val="24"/>
              </w:rPr>
              <w:t>项目建成后，在噪声较大的车间外或噪声源较大的地方醒目处应设置环保图形标志牌。</w:t>
            </w:r>
          </w:p>
          <w:p w14:paraId="72650E7A">
            <w:pPr>
              <w:spacing w:line="360" w:lineRule="auto"/>
              <w:ind w:firstLine="600" w:firstLineChars="250"/>
              <w:rPr>
                <w:rFonts w:hint="eastAsia" w:ascii="Times New Roman" w:hAnsi="Times New Roman"/>
                <w:color w:val="auto"/>
                <w:spacing w:val="4"/>
                <w:kern w:val="0"/>
                <w:sz w:val="24"/>
              </w:rPr>
            </w:pPr>
            <w:r>
              <w:rPr>
                <w:color w:val="auto"/>
                <w:sz w:val="24"/>
                <w:lang w:val="zh-CN"/>
              </w:rPr>
              <w:t>废气排放口、废水排放口和噪声排放源、固体废物贮存（处置）场图形符号分别为提示图形符号和警告图形符号两种，图形符号的设置按GB15562.1-1995、GB15562.2-1995执行。</w:t>
            </w:r>
            <w:r>
              <w:rPr>
                <w:rFonts w:hint="eastAsia" w:ascii="Times New Roman" w:hAnsi="Times New Roman"/>
                <w:color w:val="auto"/>
                <w:spacing w:val="4"/>
                <w:kern w:val="0"/>
                <w:sz w:val="24"/>
              </w:rPr>
              <w:t>标志牌必须保持清晰、完整，当发现有损坏或颜色有变化，应及时修复或更换。检查时间一年两次。具体见</w:t>
            </w:r>
            <w:r>
              <w:rPr>
                <w:rFonts w:hint="eastAsia" w:ascii="Times New Roman" w:hAnsi="Times New Roman"/>
                <w:color w:val="auto"/>
                <w:spacing w:val="4"/>
                <w:kern w:val="0"/>
                <w:sz w:val="24"/>
                <w:lang w:val="en-US" w:eastAsia="zh-CN"/>
              </w:rPr>
              <w:t>下</w:t>
            </w:r>
            <w:r>
              <w:rPr>
                <w:rFonts w:hint="eastAsia" w:ascii="Times New Roman" w:hAnsi="Times New Roman"/>
                <w:color w:val="auto"/>
                <w:spacing w:val="4"/>
                <w:kern w:val="0"/>
                <w:sz w:val="24"/>
              </w:rPr>
              <w:t>表。</w:t>
            </w:r>
          </w:p>
          <w:p w14:paraId="40CD72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4-20</w:t>
            </w:r>
            <w:r>
              <w:rPr>
                <w:b/>
                <w:bCs/>
                <w:color w:val="auto"/>
                <w:sz w:val="21"/>
                <w:szCs w:val="21"/>
              </w:rPr>
              <w:t xml:space="preserve">  环境保护图形标志的形状及颜色表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1472"/>
              <w:gridCol w:w="2248"/>
              <w:gridCol w:w="2248"/>
            </w:tblGrid>
            <w:tr w14:paraId="7A0DDEA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188" w:type="dxa"/>
                  <w:tcBorders>
                    <w:tl2br w:val="nil"/>
                    <w:tr2bl w:val="nil"/>
                  </w:tcBorders>
                  <w:noWrap w:val="0"/>
                  <w:vAlign w:val="center"/>
                </w:tcPr>
                <w:p w14:paraId="27370C49">
                  <w:pPr>
                    <w:pStyle w:val="87"/>
                    <w:spacing w:before="62"/>
                    <w:rPr>
                      <w:b/>
                      <w:bCs/>
                      <w:color w:val="auto"/>
                      <w:szCs w:val="21"/>
                    </w:rPr>
                  </w:pPr>
                  <w:r>
                    <w:rPr>
                      <w:b/>
                      <w:bCs/>
                      <w:color w:val="auto"/>
                      <w:szCs w:val="21"/>
                    </w:rPr>
                    <w:t>标志名称</w:t>
                  </w:r>
                </w:p>
              </w:tc>
              <w:tc>
                <w:tcPr>
                  <w:tcW w:w="1433" w:type="dxa"/>
                  <w:tcBorders>
                    <w:tl2br w:val="nil"/>
                    <w:tr2bl w:val="nil"/>
                  </w:tcBorders>
                  <w:noWrap w:val="0"/>
                  <w:vAlign w:val="center"/>
                </w:tcPr>
                <w:p w14:paraId="6FEB4F48">
                  <w:pPr>
                    <w:pStyle w:val="87"/>
                    <w:spacing w:before="62"/>
                    <w:rPr>
                      <w:b/>
                      <w:bCs/>
                      <w:color w:val="auto"/>
                      <w:szCs w:val="21"/>
                    </w:rPr>
                  </w:pPr>
                  <w:r>
                    <w:rPr>
                      <w:b/>
                      <w:bCs/>
                      <w:color w:val="auto"/>
                      <w:szCs w:val="21"/>
                    </w:rPr>
                    <w:t>形状</w:t>
                  </w:r>
                </w:p>
              </w:tc>
              <w:tc>
                <w:tcPr>
                  <w:tcW w:w="2189" w:type="dxa"/>
                  <w:tcBorders>
                    <w:tl2br w:val="nil"/>
                    <w:tr2bl w:val="nil"/>
                  </w:tcBorders>
                  <w:noWrap w:val="0"/>
                  <w:vAlign w:val="center"/>
                </w:tcPr>
                <w:p w14:paraId="61B85967">
                  <w:pPr>
                    <w:pStyle w:val="87"/>
                    <w:spacing w:before="62"/>
                    <w:rPr>
                      <w:b/>
                      <w:bCs/>
                      <w:color w:val="auto"/>
                      <w:szCs w:val="21"/>
                    </w:rPr>
                  </w:pPr>
                  <w:r>
                    <w:rPr>
                      <w:b/>
                      <w:bCs/>
                      <w:color w:val="auto"/>
                      <w:szCs w:val="21"/>
                    </w:rPr>
                    <w:t>背景颜色</w:t>
                  </w:r>
                </w:p>
              </w:tc>
              <w:tc>
                <w:tcPr>
                  <w:tcW w:w="2188" w:type="dxa"/>
                  <w:tcBorders>
                    <w:tl2br w:val="nil"/>
                    <w:tr2bl w:val="nil"/>
                  </w:tcBorders>
                  <w:noWrap w:val="0"/>
                  <w:vAlign w:val="center"/>
                </w:tcPr>
                <w:p w14:paraId="06ACD7F1">
                  <w:pPr>
                    <w:pStyle w:val="87"/>
                    <w:spacing w:before="62"/>
                    <w:rPr>
                      <w:b/>
                      <w:bCs/>
                      <w:color w:val="auto"/>
                      <w:szCs w:val="21"/>
                    </w:rPr>
                  </w:pPr>
                  <w:r>
                    <w:rPr>
                      <w:b/>
                      <w:bCs/>
                      <w:color w:val="auto"/>
                      <w:szCs w:val="21"/>
                    </w:rPr>
                    <w:t>图形颜色</w:t>
                  </w:r>
                </w:p>
              </w:tc>
            </w:tr>
            <w:tr w14:paraId="64B478D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188" w:type="dxa"/>
                  <w:tcBorders>
                    <w:tl2br w:val="nil"/>
                    <w:tr2bl w:val="nil"/>
                  </w:tcBorders>
                  <w:noWrap w:val="0"/>
                  <w:vAlign w:val="center"/>
                </w:tcPr>
                <w:p w14:paraId="30BB3FC7">
                  <w:pPr>
                    <w:pStyle w:val="87"/>
                    <w:spacing w:before="62"/>
                    <w:rPr>
                      <w:color w:val="auto"/>
                      <w:szCs w:val="21"/>
                    </w:rPr>
                  </w:pPr>
                  <w:r>
                    <w:rPr>
                      <w:color w:val="auto"/>
                      <w:szCs w:val="21"/>
                    </w:rPr>
                    <w:t>警告标志</w:t>
                  </w:r>
                </w:p>
              </w:tc>
              <w:tc>
                <w:tcPr>
                  <w:tcW w:w="1433" w:type="dxa"/>
                  <w:tcBorders>
                    <w:tl2br w:val="nil"/>
                    <w:tr2bl w:val="nil"/>
                  </w:tcBorders>
                  <w:noWrap w:val="0"/>
                  <w:vAlign w:val="center"/>
                </w:tcPr>
                <w:p w14:paraId="5F3E4F67">
                  <w:pPr>
                    <w:pStyle w:val="87"/>
                    <w:spacing w:before="62"/>
                    <w:rPr>
                      <w:color w:val="auto"/>
                      <w:szCs w:val="21"/>
                    </w:rPr>
                  </w:pPr>
                  <w:r>
                    <w:rPr>
                      <w:color w:val="auto"/>
                      <w:szCs w:val="21"/>
                    </w:rPr>
                    <w:t>三角形边框</w:t>
                  </w:r>
                </w:p>
              </w:tc>
              <w:tc>
                <w:tcPr>
                  <w:tcW w:w="2189" w:type="dxa"/>
                  <w:tcBorders>
                    <w:tl2br w:val="nil"/>
                    <w:tr2bl w:val="nil"/>
                  </w:tcBorders>
                  <w:noWrap w:val="0"/>
                  <w:vAlign w:val="center"/>
                </w:tcPr>
                <w:p w14:paraId="0CAD112D">
                  <w:pPr>
                    <w:pStyle w:val="87"/>
                    <w:spacing w:before="62"/>
                    <w:rPr>
                      <w:color w:val="auto"/>
                      <w:szCs w:val="21"/>
                    </w:rPr>
                  </w:pPr>
                  <w:r>
                    <w:rPr>
                      <w:color w:val="auto"/>
                      <w:szCs w:val="21"/>
                    </w:rPr>
                    <w:t>黄色</w:t>
                  </w:r>
                </w:p>
              </w:tc>
              <w:tc>
                <w:tcPr>
                  <w:tcW w:w="2188" w:type="dxa"/>
                  <w:tcBorders>
                    <w:tl2br w:val="nil"/>
                    <w:tr2bl w:val="nil"/>
                  </w:tcBorders>
                  <w:noWrap w:val="0"/>
                  <w:vAlign w:val="center"/>
                </w:tcPr>
                <w:p w14:paraId="2016D827">
                  <w:pPr>
                    <w:pStyle w:val="87"/>
                    <w:spacing w:before="62"/>
                    <w:rPr>
                      <w:color w:val="auto"/>
                      <w:szCs w:val="21"/>
                    </w:rPr>
                  </w:pPr>
                  <w:r>
                    <w:rPr>
                      <w:color w:val="auto"/>
                      <w:szCs w:val="21"/>
                    </w:rPr>
                    <w:t>黑色</w:t>
                  </w:r>
                </w:p>
              </w:tc>
            </w:tr>
            <w:tr w14:paraId="6C9ADE7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188" w:type="dxa"/>
                  <w:tcBorders>
                    <w:tl2br w:val="nil"/>
                    <w:tr2bl w:val="nil"/>
                  </w:tcBorders>
                  <w:noWrap w:val="0"/>
                  <w:vAlign w:val="center"/>
                </w:tcPr>
                <w:p w14:paraId="48869A2B">
                  <w:pPr>
                    <w:pStyle w:val="87"/>
                    <w:spacing w:before="62"/>
                    <w:rPr>
                      <w:color w:val="auto"/>
                      <w:szCs w:val="21"/>
                    </w:rPr>
                  </w:pPr>
                  <w:r>
                    <w:rPr>
                      <w:color w:val="auto"/>
                      <w:szCs w:val="21"/>
                    </w:rPr>
                    <w:t>提示标志</w:t>
                  </w:r>
                </w:p>
              </w:tc>
              <w:tc>
                <w:tcPr>
                  <w:tcW w:w="1433" w:type="dxa"/>
                  <w:tcBorders>
                    <w:tl2br w:val="nil"/>
                    <w:tr2bl w:val="nil"/>
                  </w:tcBorders>
                  <w:noWrap w:val="0"/>
                  <w:vAlign w:val="center"/>
                </w:tcPr>
                <w:p w14:paraId="05C87405">
                  <w:pPr>
                    <w:pStyle w:val="87"/>
                    <w:spacing w:before="62"/>
                    <w:rPr>
                      <w:color w:val="auto"/>
                      <w:szCs w:val="21"/>
                    </w:rPr>
                  </w:pPr>
                  <w:r>
                    <w:rPr>
                      <w:color w:val="auto"/>
                      <w:szCs w:val="21"/>
                    </w:rPr>
                    <w:t>正方形边框</w:t>
                  </w:r>
                </w:p>
              </w:tc>
              <w:tc>
                <w:tcPr>
                  <w:tcW w:w="2189" w:type="dxa"/>
                  <w:tcBorders>
                    <w:tl2br w:val="nil"/>
                    <w:tr2bl w:val="nil"/>
                  </w:tcBorders>
                  <w:noWrap w:val="0"/>
                  <w:vAlign w:val="center"/>
                </w:tcPr>
                <w:p w14:paraId="3A9F5CBD">
                  <w:pPr>
                    <w:pStyle w:val="87"/>
                    <w:spacing w:before="62"/>
                    <w:rPr>
                      <w:color w:val="auto"/>
                      <w:szCs w:val="21"/>
                    </w:rPr>
                  </w:pPr>
                  <w:r>
                    <w:rPr>
                      <w:color w:val="auto"/>
                      <w:szCs w:val="21"/>
                    </w:rPr>
                    <w:t>绿色</w:t>
                  </w:r>
                </w:p>
              </w:tc>
              <w:tc>
                <w:tcPr>
                  <w:tcW w:w="2188" w:type="dxa"/>
                  <w:tcBorders>
                    <w:tl2br w:val="nil"/>
                    <w:tr2bl w:val="nil"/>
                  </w:tcBorders>
                  <w:noWrap w:val="0"/>
                  <w:vAlign w:val="center"/>
                </w:tcPr>
                <w:p w14:paraId="643DE914">
                  <w:pPr>
                    <w:pStyle w:val="87"/>
                    <w:spacing w:before="62"/>
                    <w:rPr>
                      <w:color w:val="auto"/>
                      <w:szCs w:val="21"/>
                    </w:rPr>
                  </w:pPr>
                  <w:r>
                    <w:rPr>
                      <w:color w:val="auto"/>
                      <w:szCs w:val="21"/>
                    </w:rPr>
                    <w:t>白色</w:t>
                  </w:r>
                </w:p>
              </w:tc>
            </w:tr>
          </w:tbl>
          <w:p w14:paraId="07769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 xml:space="preserve">4-21 </w:t>
            </w:r>
            <w:r>
              <w:rPr>
                <w:b/>
                <w:bCs/>
                <w:color w:val="auto"/>
                <w:sz w:val="21"/>
                <w:szCs w:val="21"/>
              </w:rPr>
              <w:t xml:space="preserve"> 环境保护图形符号一览表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444"/>
              <w:gridCol w:w="1924"/>
              <w:gridCol w:w="1367"/>
              <w:gridCol w:w="2792"/>
            </w:tblGrid>
            <w:tr w14:paraId="14FD668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73" w:type="dxa"/>
                  <w:tcBorders>
                    <w:tl2br w:val="nil"/>
                    <w:tr2bl w:val="nil"/>
                  </w:tcBorders>
                  <w:noWrap w:val="0"/>
                  <w:vAlign w:val="center"/>
                </w:tcPr>
                <w:p w14:paraId="56C7E483">
                  <w:pPr>
                    <w:pStyle w:val="14"/>
                    <w:adjustRightInd w:val="0"/>
                    <w:snapToGrid w:val="0"/>
                    <w:spacing w:before="62" w:beforeLines="20" w:beforeAutospacing="0" w:afterAutospacing="0"/>
                    <w:jc w:val="center"/>
                    <w:rPr>
                      <w:b/>
                      <w:bCs/>
                      <w:color w:val="auto"/>
                      <w:kern w:val="2"/>
                      <w:szCs w:val="21"/>
                    </w:rPr>
                  </w:pPr>
                  <w:r>
                    <w:rPr>
                      <w:rFonts w:hint="eastAsia" w:cs="宋体"/>
                      <w:b/>
                      <w:bCs/>
                      <w:color w:val="auto"/>
                      <w:kern w:val="2"/>
                      <w:sz w:val="21"/>
                      <w:szCs w:val="21"/>
                    </w:rPr>
                    <w:t>序号</w:t>
                  </w:r>
                </w:p>
              </w:tc>
              <w:tc>
                <w:tcPr>
                  <w:tcW w:w="1412" w:type="dxa"/>
                  <w:tcBorders>
                    <w:tl2br w:val="nil"/>
                    <w:tr2bl w:val="nil"/>
                  </w:tcBorders>
                  <w:noWrap w:val="0"/>
                  <w:vAlign w:val="center"/>
                </w:tcPr>
                <w:p w14:paraId="425F6CA4">
                  <w:pPr>
                    <w:pStyle w:val="14"/>
                    <w:adjustRightInd w:val="0"/>
                    <w:snapToGrid w:val="0"/>
                    <w:spacing w:before="62" w:beforeLines="20" w:beforeAutospacing="0" w:afterAutospacing="0"/>
                    <w:jc w:val="center"/>
                    <w:rPr>
                      <w:b/>
                      <w:bCs/>
                      <w:color w:val="auto"/>
                      <w:kern w:val="2"/>
                      <w:szCs w:val="21"/>
                    </w:rPr>
                  </w:pPr>
                  <w:r>
                    <w:rPr>
                      <w:rFonts w:hint="eastAsia" w:cs="宋体"/>
                      <w:b/>
                      <w:bCs/>
                      <w:color w:val="auto"/>
                      <w:kern w:val="2"/>
                      <w:sz w:val="21"/>
                      <w:szCs w:val="21"/>
                    </w:rPr>
                    <w:t>提示图形符号</w:t>
                  </w:r>
                </w:p>
              </w:tc>
              <w:tc>
                <w:tcPr>
                  <w:tcW w:w="1881" w:type="dxa"/>
                  <w:tcBorders>
                    <w:tl2br w:val="nil"/>
                    <w:tr2bl w:val="nil"/>
                  </w:tcBorders>
                  <w:noWrap w:val="0"/>
                  <w:vAlign w:val="center"/>
                </w:tcPr>
                <w:p w14:paraId="585C4793">
                  <w:pPr>
                    <w:pStyle w:val="14"/>
                    <w:adjustRightInd w:val="0"/>
                    <w:snapToGrid w:val="0"/>
                    <w:spacing w:before="62" w:beforeLines="20" w:beforeAutospacing="0" w:afterAutospacing="0"/>
                    <w:jc w:val="center"/>
                    <w:rPr>
                      <w:b/>
                      <w:bCs/>
                      <w:color w:val="auto"/>
                      <w:kern w:val="2"/>
                      <w:szCs w:val="21"/>
                    </w:rPr>
                  </w:pPr>
                  <w:r>
                    <w:rPr>
                      <w:rFonts w:hint="eastAsia" w:cs="宋体"/>
                      <w:b/>
                      <w:bCs/>
                      <w:color w:val="auto"/>
                      <w:kern w:val="2"/>
                      <w:sz w:val="21"/>
                      <w:szCs w:val="21"/>
                    </w:rPr>
                    <w:t>警告图形符号</w:t>
                  </w:r>
                </w:p>
              </w:tc>
              <w:tc>
                <w:tcPr>
                  <w:tcW w:w="1337" w:type="dxa"/>
                  <w:tcBorders>
                    <w:tl2br w:val="nil"/>
                    <w:tr2bl w:val="nil"/>
                  </w:tcBorders>
                  <w:noWrap w:val="0"/>
                  <w:vAlign w:val="center"/>
                </w:tcPr>
                <w:p w14:paraId="0CF79177">
                  <w:pPr>
                    <w:pStyle w:val="14"/>
                    <w:adjustRightInd w:val="0"/>
                    <w:snapToGrid w:val="0"/>
                    <w:spacing w:before="62" w:beforeLines="20" w:beforeAutospacing="0" w:afterAutospacing="0"/>
                    <w:jc w:val="center"/>
                    <w:rPr>
                      <w:b/>
                      <w:bCs/>
                      <w:color w:val="auto"/>
                      <w:kern w:val="2"/>
                      <w:szCs w:val="21"/>
                    </w:rPr>
                  </w:pPr>
                  <w:r>
                    <w:rPr>
                      <w:rFonts w:hint="eastAsia" w:cs="宋体"/>
                      <w:b/>
                      <w:bCs/>
                      <w:color w:val="auto"/>
                      <w:kern w:val="2"/>
                      <w:sz w:val="21"/>
                      <w:szCs w:val="21"/>
                    </w:rPr>
                    <w:t>名称</w:t>
                  </w:r>
                </w:p>
              </w:tc>
              <w:tc>
                <w:tcPr>
                  <w:tcW w:w="2729" w:type="dxa"/>
                  <w:tcBorders>
                    <w:tl2br w:val="nil"/>
                    <w:tr2bl w:val="nil"/>
                  </w:tcBorders>
                  <w:noWrap w:val="0"/>
                  <w:vAlign w:val="center"/>
                </w:tcPr>
                <w:p w14:paraId="5BAF6951">
                  <w:pPr>
                    <w:pStyle w:val="14"/>
                    <w:adjustRightInd w:val="0"/>
                    <w:snapToGrid w:val="0"/>
                    <w:spacing w:before="62" w:beforeLines="20" w:beforeAutospacing="0" w:afterAutospacing="0"/>
                    <w:jc w:val="center"/>
                    <w:rPr>
                      <w:b/>
                      <w:bCs/>
                      <w:color w:val="auto"/>
                      <w:kern w:val="2"/>
                      <w:szCs w:val="21"/>
                    </w:rPr>
                  </w:pPr>
                  <w:r>
                    <w:rPr>
                      <w:rFonts w:hint="eastAsia" w:cs="宋体"/>
                      <w:b/>
                      <w:bCs/>
                      <w:color w:val="auto"/>
                      <w:kern w:val="2"/>
                      <w:sz w:val="21"/>
                      <w:szCs w:val="21"/>
                    </w:rPr>
                    <w:t>功能</w:t>
                  </w:r>
                </w:p>
              </w:tc>
            </w:tr>
            <w:tr w14:paraId="3708C08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3" w:type="dxa"/>
                  <w:tcBorders>
                    <w:tl2br w:val="nil"/>
                    <w:tr2bl w:val="nil"/>
                  </w:tcBorders>
                  <w:noWrap w:val="0"/>
                  <w:vAlign w:val="center"/>
                </w:tcPr>
                <w:p w14:paraId="160B99BC">
                  <w:pPr>
                    <w:pStyle w:val="14"/>
                    <w:adjustRightInd w:val="0"/>
                    <w:snapToGrid w:val="0"/>
                    <w:spacing w:before="62" w:beforeLines="20" w:beforeAutospacing="0" w:afterAutospacing="0"/>
                    <w:jc w:val="center"/>
                    <w:rPr>
                      <w:color w:val="auto"/>
                      <w:kern w:val="2"/>
                      <w:szCs w:val="21"/>
                    </w:rPr>
                  </w:pPr>
                  <w:r>
                    <w:rPr>
                      <w:color w:val="auto"/>
                      <w:kern w:val="2"/>
                      <w:sz w:val="21"/>
                      <w:szCs w:val="21"/>
                    </w:rPr>
                    <w:t>1</w:t>
                  </w:r>
                </w:p>
              </w:tc>
              <w:tc>
                <w:tcPr>
                  <w:tcW w:w="1412" w:type="dxa"/>
                  <w:tcBorders>
                    <w:tl2br w:val="nil"/>
                    <w:tr2bl w:val="nil"/>
                  </w:tcBorders>
                  <w:noWrap w:val="0"/>
                  <w:vAlign w:val="center"/>
                </w:tcPr>
                <w:p w14:paraId="7FDC36F8">
                  <w:pPr>
                    <w:pStyle w:val="14"/>
                    <w:adjustRightInd w:val="0"/>
                    <w:snapToGrid w:val="0"/>
                    <w:spacing w:before="62" w:beforeLines="20" w:beforeAutospacing="0" w:afterAutospacing="0"/>
                    <w:jc w:val="center"/>
                    <w:rPr>
                      <w:color w:val="auto"/>
                      <w:kern w:val="2"/>
                      <w:szCs w:val="21"/>
                    </w:rPr>
                  </w:pPr>
                  <w:r>
                    <w:rPr>
                      <w:color w:val="auto"/>
                      <w:kern w:val="2"/>
                      <w:szCs w:val="21"/>
                    </w:rPr>
                    <w:drawing>
                      <wp:inline distT="0" distB="0" distL="114300" distR="114300">
                        <wp:extent cx="520065" cy="512445"/>
                        <wp:effectExtent l="0" t="0" r="13335" b="1905"/>
                        <wp:docPr id="49" name="图片 2" descr="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废气"/>
                                <pic:cNvPicPr>
                                  <a:picLocks noChangeAspect="1"/>
                                </pic:cNvPicPr>
                              </pic:nvPicPr>
                              <pic:blipFill>
                                <a:blip r:embed="rId23"/>
                                <a:stretch>
                                  <a:fillRect/>
                                </a:stretch>
                              </pic:blipFill>
                              <pic:spPr>
                                <a:xfrm>
                                  <a:off x="0" y="0"/>
                                  <a:ext cx="520065" cy="512445"/>
                                </a:xfrm>
                                <a:prstGeom prst="rect">
                                  <a:avLst/>
                                </a:prstGeom>
                                <a:noFill/>
                                <a:ln>
                                  <a:noFill/>
                                </a:ln>
                              </pic:spPr>
                            </pic:pic>
                          </a:graphicData>
                        </a:graphic>
                      </wp:inline>
                    </w:drawing>
                  </w:r>
                </w:p>
              </w:tc>
              <w:tc>
                <w:tcPr>
                  <w:tcW w:w="1881" w:type="dxa"/>
                  <w:tcBorders>
                    <w:tl2br w:val="nil"/>
                    <w:tr2bl w:val="nil"/>
                  </w:tcBorders>
                  <w:noWrap w:val="0"/>
                  <w:vAlign w:val="center"/>
                </w:tcPr>
                <w:p w14:paraId="0939E3EE">
                  <w:pPr>
                    <w:pStyle w:val="14"/>
                    <w:adjustRightInd w:val="0"/>
                    <w:snapToGrid w:val="0"/>
                    <w:spacing w:before="62" w:beforeLines="20" w:beforeAutospacing="0" w:afterAutospacing="0"/>
                    <w:jc w:val="center"/>
                    <w:rPr>
                      <w:color w:val="auto"/>
                      <w:kern w:val="2"/>
                      <w:szCs w:val="21"/>
                    </w:rPr>
                  </w:pPr>
                  <w:r>
                    <w:rPr>
                      <w:color w:val="auto"/>
                    </w:rPr>
                    <w:drawing>
                      <wp:inline distT="0" distB="0" distL="114300" distR="114300">
                        <wp:extent cx="677545" cy="589280"/>
                        <wp:effectExtent l="0" t="0" r="8255" b="127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24"/>
                                <a:stretch>
                                  <a:fillRect/>
                                </a:stretch>
                              </pic:blipFill>
                              <pic:spPr>
                                <a:xfrm>
                                  <a:off x="0" y="0"/>
                                  <a:ext cx="677545" cy="589280"/>
                                </a:xfrm>
                                <a:prstGeom prst="rect">
                                  <a:avLst/>
                                </a:prstGeom>
                                <a:noFill/>
                                <a:ln>
                                  <a:noFill/>
                                </a:ln>
                              </pic:spPr>
                            </pic:pic>
                          </a:graphicData>
                        </a:graphic>
                      </wp:inline>
                    </w:drawing>
                  </w:r>
                </w:p>
              </w:tc>
              <w:tc>
                <w:tcPr>
                  <w:tcW w:w="1337" w:type="dxa"/>
                  <w:tcBorders>
                    <w:tl2br w:val="nil"/>
                    <w:tr2bl w:val="nil"/>
                  </w:tcBorders>
                  <w:noWrap w:val="0"/>
                  <w:vAlign w:val="center"/>
                </w:tcPr>
                <w:p w14:paraId="2DEEB75C">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废气排放口</w:t>
                  </w:r>
                </w:p>
              </w:tc>
              <w:tc>
                <w:tcPr>
                  <w:tcW w:w="2729" w:type="dxa"/>
                  <w:tcBorders>
                    <w:tl2br w:val="nil"/>
                    <w:tr2bl w:val="nil"/>
                  </w:tcBorders>
                  <w:noWrap w:val="0"/>
                  <w:vAlign w:val="center"/>
                </w:tcPr>
                <w:p w14:paraId="4780507C">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表示废气向大气环境排放</w:t>
                  </w:r>
                </w:p>
              </w:tc>
            </w:tr>
            <w:tr w14:paraId="3DCE1DD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73" w:type="dxa"/>
                  <w:vMerge w:val="restart"/>
                  <w:tcBorders>
                    <w:tl2br w:val="nil"/>
                    <w:tr2bl w:val="nil"/>
                  </w:tcBorders>
                  <w:noWrap w:val="0"/>
                  <w:vAlign w:val="center"/>
                </w:tcPr>
                <w:p w14:paraId="6839D33A">
                  <w:pPr>
                    <w:pStyle w:val="14"/>
                    <w:adjustRightInd w:val="0"/>
                    <w:snapToGrid w:val="0"/>
                    <w:spacing w:before="62" w:beforeLines="20" w:beforeAutospacing="0" w:afterAutospacing="0"/>
                    <w:jc w:val="center"/>
                    <w:rPr>
                      <w:color w:val="auto"/>
                      <w:kern w:val="2"/>
                      <w:szCs w:val="21"/>
                    </w:rPr>
                  </w:pPr>
                  <w:r>
                    <w:rPr>
                      <w:color w:val="auto"/>
                      <w:kern w:val="2"/>
                      <w:sz w:val="21"/>
                      <w:szCs w:val="21"/>
                    </w:rPr>
                    <w:t>2</w:t>
                  </w:r>
                </w:p>
              </w:tc>
              <w:tc>
                <w:tcPr>
                  <w:tcW w:w="1412" w:type="dxa"/>
                  <w:tcBorders>
                    <w:tl2br w:val="nil"/>
                    <w:tr2bl w:val="nil"/>
                  </w:tcBorders>
                  <w:noWrap w:val="0"/>
                  <w:vAlign w:val="center"/>
                </w:tcPr>
                <w:p w14:paraId="04CC5D71">
                  <w:pPr>
                    <w:pStyle w:val="14"/>
                    <w:adjustRightInd w:val="0"/>
                    <w:snapToGrid w:val="0"/>
                    <w:spacing w:before="62" w:beforeLines="20" w:beforeAutospacing="0" w:afterAutospacing="0"/>
                    <w:jc w:val="center"/>
                    <w:rPr>
                      <w:color w:val="auto"/>
                      <w:kern w:val="2"/>
                      <w:szCs w:val="21"/>
                    </w:rPr>
                  </w:pPr>
                  <w:r>
                    <w:rPr>
                      <w:color w:val="auto"/>
                      <w:kern w:val="2"/>
                      <w:sz w:val="21"/>
                      <w:szCs w:val="21"/>
                    </w:rPr>
                    <w:drawing>
                      <wp:inline distT="0" distB="0" distL="114300" distR="114300">
                        <wp:extent cx="523875" cy="533400"/>
                        <wp:effectExtent l="0" t="0" r="9525" b="0"/>
                        <wp:docPr id="51" name="图片 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14001"/>
                                <pic:cNvPicPr>
                                  <a:picLocks noChangeAspect="1"/>
                                </pic:cNvPicPr>
                              </pic:nvPicPr>
                              <pic:blipFill>
                                <a:blip r:embed="rId25"/>
                                <a:stretch>
                                  <a:fillRect/>
                                </a:stretch>
                              </pic:blipFill>
                              <pic:spPr>
                                <a:xfrm>
                                  <a:off x="0" y="0"/>
                                  <a:ext cx="523875" cy="533400"/>
                                </a:xfrm>
                                <a:prstGeom prst="rect">
                                  <a:avLst/>
                                </a:prstGeom>
                                <a:noFill/>
                                <a:ln>
                                  <a:noFill/>
                                </a:ln>
                              </pic:spPr>
                            </pic:pic>
                          </a:graphicData>
                        </a:graphic>
                      </wp:inline>
                    </w:drawing>
                  </w:r>
                </w:p>
              </w:tc>
              <w:tc>
                <w:tcPr>
                  <w:tcW w:w="1881" w:type="dxa"/>
                  <w:tcBorders>
                    <w:tl2br w:val="nil"/>
                    <w:tr2bl w:val="nil"/>
                  </w:tcBorders>
                  <w:noWrap w:val="0"/>
                  <w:vAlign w:val="center"/>
                </w:tcPr>
                <w:p w14:paraId="255B386E">
                  <w:pPr>
                    <w:pStyle w:val="14"/>
                    <w:adjustRightInd w:val="0"/>
                    <w:snapToGrid w:val="0"/>
                    <w:spacing w:before="62" w:beforeLines="20" w:beforeAutospacing="0" w:afterAutospacing="0"/>
                    <w:jc w:val="center"/>
                    <w:rPr>
                      <w:color w:val="auto"/>
                      <w:kern w:val="2"/>
                      <w:szCs w:val="21"/>
                    </w:rPr>
                  </w:pPr>
                  <w:r>
                    <w:rPr>
                      <w:color w:val="auto"/>
                      <w:kern w:val="2"/>
                      <w:sz w:val="21"/>
                      <w:szCs w:val="21"/>
                    </w:rPr>
                    <w:drawing>
                      <wp:inline distT="0" distB="0" distL="114300" distR="114300">
                        <wp:extent cx="580390" cy="551815"/>
                        <wp:effectExtent l="0" t="0" r="10160" b="635"/>
                        <wp:docPr id="64" name="图片 64"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4002"/>
                                <pic:cNvPicPr>
                                  <a:picLocks noChangeAspect="1"/>
                                </pic:cNvPicPr>
                              </pic:nvPicPr>
                              <pic:blipFill>
                                <a:blip r:embed="rId26"/>
                                <a:stretch>
                                  <a:fillRect/>
                                </a:stretch>
                              </pic:blipFill>
                              <pic:spPr>
                                <a:xfrm>
                                  <a:off x="0" y="0"/>
                                  <a:ext cx="580390" cy="551815"/>
                                </a:xfrm>
                                <a:prstGeom prst="rect">
                                  <a:avLst/>
                                </a:prstGeom>
                                <a:noFill/>
                                <a:ln>
                                  <a:noFill/>
                                </a:ln>
                              </pic:spPr>
                            </pic:pic>
                          </a:graphicData>
                        </a:graphic>
                      </wp:inline>
                    </w:drawing>
                  </w:r>
                </w:p>
              </w:tc>
              <w:tc>
                <w:tcPr>
                  <w:tcW w:w="1337" w:type="dxa"/>
                  <w:tcBorders>
                    <w:tl2br w:val="nil"/>
                    <w:tr2bl w:val="nil"/>
                  </w:tcBorders>
                  <w:noWrap w:val="0"/>
                  <w:vAlign w:val="center"/>
                </w:tcPr>
                <w:p w14:paraId="2C09FC2E">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一般固体废物</w:t>
                  </w:r>
                </w:p>
              </w:tc>
              <w:tc>
                <w:tcPr>
                  <w:tcW w:w="2729" w:type="dxa"/>
                  <w:tcBorders>
                    <w:tl2br w:val="nil"/>
                    <w:tr2bl w:val="nil"/>
                  </w:tcBorders>
                  <w:noWrap w:val="0"/>
                  <w:vAlign w:val="center"/>
                </w:tcPr>
                <w:p w14:paraId="49D77FFB">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表示一般固体废物贮存、处置场</w:t>
                  </w:r>
                </w:p>
              </w:tc>
            </w:tr>
            <w:tr w14:paraId="4EBF65E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673" w:type="dxa"/>
                  <w:vMerge w:val="continue"/>
                  <w:tcBorders>
                    <w:tl2br w:val="nil"/>
                    <w:tr2bl w:val="nil"/>
                  </w:tcBorders>
                  <w:noWrap w:val="0"/>
                  <w:vAlign w:val="center"/>
                </w:tcPr>
                <w:p w14:paraId="6B076D63">
                  <w:pPr>
                    <w:rPr>
                      <w:rFonts w:ascii="Calibri" w:hAnsi="Calibri"/>
                      <w:color w:val="auto"/>
                    </w:rPr>
                  </w:pPr>
                </w:p>
              </w:tc>
              <w:tc>
                <w:tcPr>
                  <w:tcW w:w="1412" w:type="dxa"/>
                  <w:tcBorders>
                    <w:tl2br w:val="nil"/>
                    <w:tr2bl w:val="nil"/>
                  </w:tcBorders>
                  <w:noWrap w:val="0"/>
                  <w:vAlign w:val="center"/>
                </w:tcPr>
                <w:p w14:paraId="3E4C107D">
                  <w:pPr>
                    <w:pStyle w:val="14"/>
                    <w:adjustRightInd w:val="0"/>
                    <w:snapToGrid w:val="0"/>
                    <w:spacing w:before="62" w:beforeLines="20" w:beforeAutospacing="0" w:afterAutospacing="0"/>
                    <w:jc w:val="center"/>
                    <w:rPr>
                      <w:color w:val="auto"/>
                      <w:kern w:val="2"/>
                      <w:szCs w:val="21"/>
                    </w:rPr>
                  </w:pPr>
                  <w:r>
                    <w:rPr>
                      <w:color w:val="auto"/>
                      <w:kern w:val="2"/>
                      <w:sz w:val="21"/>
                      <w:szCs w:val="21"/>
                    </w:rPr>
                    <w:t>/</w:t>
                  </w:r>
                </w:p>
              </w:tc>
              <w:tc>
                <w:tcPr>
                  <w:tcW w:w="1881" w:type="dxa"/>
                  <w:tcBorders>
                    <w:tl2br w:val="nil"/>
                    <w:tr2bl w:val="nil"/>
                  </w:tcBorders>
                  <w:noWrap w:val="0"/>
                  <w:vAlign w:val="center"/>
                </w:tcPr>
                <w:p w14:paraId="005F6218">
                  <w:pPr>
                    <w:pStyle w:val="14"/>
                    <w:adjustRightInd w:val="0"/>
                    <w:snapToGrid w:val="0"/>
                    <w:spacing w:before="62" w:beforeLines="20" w:beforeAutospacing="0" w:afterAutospacing="0"/>
                    <w:jc w:val="center"/>
                    <w:rPr>
                      <w:color w:val="auto"/>
                      <w:kern w:val="2"/>
                      <w:szCs w:val="21"/>
                    </w:rPr>
                  </w:pPr>
                  <w:r>
                    <w:rPr>
                      <w:color w:val="auto"/>
                    </w:rPr>
                    <w:drawing>
                      <wp:inline distT="0" distB="0" distL="114300" distR="114300">
                        <wp:extent cx="516890" cy="407035"/>
                        <wp:effectExtent l="0" t="0" r="16510" b="1206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27"/>
                                <a:stretch>
                                  <a:fillRect/>
                                </a:stretch>
                              </pic:blipFill>
                              <pic:spPr>
                                <a:xfrm>
                                  <a:off x="0" y="0"/>
                                  <a:ext cx="516890" cy="407035"/>
                                </a:xfrm>
                                <a:prstGeom prst="rect">
                                  <a:avLst/>
                                </a:prstGeom>
                                <a:noFill/>
                                <a:ln>
                                  <a:noFill/>
                                </a:ln>
                              </pic:spPr>
                            </pic:pic>
                          </a:graphicData>
                        </a:graphic>
                      </wp:inline>
                    </w:drawing>
                  </w:r>
                </w:p>
              </w:tc>
              <w:tc>
                <w:tcPr>
                  <w:tcW w:w="1337" w:type="dxa"/>
                  <w:tcBorders>
                    <w:tl2br w:val="nil"/>
                    <w:tr2bl w:val="nil"/>
                  </w:tcBorders>
                  <w:noWrap w:val="0"/>
                  <w:vAlign w:val="center"/>
                </w:tcPr>
                <w:p w14:paraId="5F7CEFFE">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危险废物</w:t>
                  </w:r>
                </w:p>
              </w:tc>
              <w:tc>
                <w:tcPr>
                  <w:tcW w:w="2729" w:type="dxa"/>
                  <w:tcBorders>
                    <w:tl2br w:val="nil"/>
                    <w:tr2bl w:val="nil"/>
                  </w:tcBorders>
                  <w:noWrap w:val="0"/>
                  <w:vAlign w:val="center"/>
                </w:tcPr>
                <w:p w14:paraId="244238CC">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表示危险废物贮存、处置场</w:t>
                  </w:r>
                </w:p>
              </w:tc>
            </w:tr>
            <w:tr w14:paraId="653380E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3" w:type="dxa"/>
                  <w:tcBorders>
                    <w:tl2br w:val="nil"/>
                    <w:tr2bl w:val="nil"/>
                  </w:tcBorders>
                  <w:noWrap w:val="0"/>
                  <w:vAlign w:val="center"/>
                </w:tcPr>
                <w:p w14:paraId="633E2CED">
                  <w:pPr>
                    <w:pStyle w:val="14"/>
                    <w:adjustRightInd w:val="0"/>
                    <w:snapToGrid w:val="0"/>
                    <w:spacing w:before="62" w:beforeLines="20" w:beforeAutospacing="0" w:afterAutospacing="0"/>
                    <w:jc w:val="center"/>
                    <w:rPr>
                      <w:color w:val="auto"/>
                      <w:kern w:val="2"/>
                      <w:szCs w:val="21"/>
                    </w:rPr>
                  </w:pPr>
                  <w:r>
                    <w:rPr>
                      <w:color w:val="auto"/>
                      <w:kern w:val="2"/>
                      <w:sz w:val="21"/>
                      <w:szCs w:val="21"/>
                    </w:rPr>
                    <w:t>3</w:t>
                  </w:r>
                </w:p>
              </w:tc>
              <w:tc>
                <w:tcPr>
                  <w:tcW w:w="1412" w:type="dxa"/>
                  <w:tcBorders>
                    <w:tl2br w:val="nil"/>
                    <w:tr2bl w:val="nil"/>
                  </w:tcBorders>
                  <w:noWrap w:val="0"/>
                  <w:vAlign w:val="center"/>
                </w:tcPr>
                <w:p w14:paraId="63189CC5">
                  <w:pPr>
                    <w:pStyle w:val="14"/>
                    <w:adjustRightInd w:val="0"/>
                    <w:snapToGrid w:val="0"/>
                    <w:spacing w:before="62" w:beforeLines="20" w:beforeAutospacing="0" w:afterAutospacing="0"/>
                    <w:jc w:val="center"/>
                    <w:rPr>
                      <w:color w:val="auto"/>
                      <w:kern w:val="2"/>
                      <w:szCs w:val="21"/>
                    </w:rPr>
                  </w:pPr>
                  <w:r>
                    <w:rPr>
                      <w:color w:val="auto"/>
                      <w:kern w:val="2"/>
                      <w:sz w:val="21"/>
                      <w:szCs w:val="21"/>
                    </w:rPr>
                    <w:drawing>
                      <wp:inline distT="0" distB="0" distL="114300" distR="114300">
                        <wp:extent cx="485775" cy="485775"/>
                        <wp:effectExtent l="0" t="0" r="9525" b="9525"/>
                        <wp:docPr id="67" name="图片 67"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00602201518049853"/>
                                <pic:cNvPicPr>
                                  <a:picLocks noChangeAspect="1"/>
                                </pic:cNvPicPr>
                              </pic:nvPicPr>
                              <pic:blipFill>
                                <a:blip r:embed="rId28"/>
                                <a:stretch>
                                  <a:fillRect/>
                                </a:stretch>
                              </pic:blipFill>
                              <pic:spPr>
                                <a:xfrm>
                                  <a:off x="0" y="0"/>
                                  <a:ext cx="485775" cy="485775"/>
                                </a:xfrm>
                                <a:prstGeom prst="rect">
                                  <a:avLst/>
                                </a:prstGeom>
                                <a:noFill/>
                                <a:ln>
                                  <a:noFill/>
                                </a:ln>
                              </pic:spPr>
                            </pic:pic>
                          </a:graphicData>
                        </a:graphic>
                      </wp:inline>
                    </w:drawing>
                  </w:r>
                </w:p>
              </w:tc>
              <w:tc>
                <w:tcPr>
                  <w:tcW w:w="1881" w:type="dxa"/>
                  <w:tcBorders>
                    <w:tl2br w:val="nil"/>
                    <w:tr2bl w:val="nil"/>
                  </w:tcBorders>
                  <w:noWrap w:val="0"/>
                  <w:vAlign w:val="center"/>
                </w:tcPr>
                <w:p w14:paraId="7102339F">
                  <w:pPr>
                    <w:pStyle w:val="14"/>
                    <w:adjustRightInd w:val="0"/>
                    <w:snapToGrid w:val="0"/>
                    <w:spacing w:before="62" w:beforeLines="20" w:beforeAutospacing="0" w:afterAutospacing="0"/>
                    <w:jc w:val="center"/>
                    <w:rPr>
                      <w:color w:val="auto"/>
                      <w:kern w:val="2"/>
                      <w:szCs w:val="21"/>
                    </w:rPr>
                  </w:pPr>
                  <w:r>
                    <w:rPr>
                      <w:color w:val="auto"/>
                      <w:kern w:val="2"/>
                      <w:sz w:val="21"/>
                      <w:szCs w:val="21"/>
                    </w:rPr>
                    <w:drawing>
                      <wp:inline distT="0" distB="0" distL="114300" distR="114300">
                        <wp:extent cx="542925" cy="485775"/>
                        <wp:effectExtent l="0" t="0" r="9525" b="9525"/>
                        <wp:docPr id="68" name="图片 68"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0602201519018631"/>
                                <pic:cNvPicPr>
                                  <a:picLocks noChangeAspect="1"/>
                                </pic:cNvPicPr>
                              </pic:nvPicPr>
                              <pic:blipFill>
                                <a:blip r:embed="rId29"/>
                                <a:stretch>
                                  <a:fillRect/>
                                </a:stretch>
                              </pic:blipFill>
                              <pic:spPr>
                                <a:xfrm>
                                  <a:off x="0" y="0"/>
                                  <a:ext cx="542925" cy="485775"/>
                                </a:xfrm>
                                <a:prstGeom prst="rect">
                                  <a:avLst/>
                                </a:prstGeom>
                                <a:noFill/>
                                <a:ln>
                                  <a:noFill/>
                                </a:ln>
                              </pic:spPr>
                            </pic:pic>
                          </a:graphicData>
                        </a:graphic>
                      </wp:inline>
                    </w:drawing>
                  </w:r>
                </w:p>
              </w:tc>
              <w:tc>
                <w:tcPr>
                  <w:tcW w:w="1337" w:type="dxa"/>
                  <w:tcBorders>
                    <w:tl2br w:val="nil"/>
                    <w:tr2bl w:val="nil"/>
                  </w:tcBorders>
                  <w:noWrap w:val="0"/>
                  <w:vAlign w:val="center"/>
                </w:tcPr>
                <w:p w14:paraId="00DC1E92">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噪声排放源</w:t>
                  </w:r>
                </w:p>
              </w:tc>
              <w:tc>
                <w:tcPr>
                  <w:tcW w:w="2729" w:type="dxa"/>
                  <w:tcBorders>
                    <w:tl2br w:val="nil"/>
                    <w:tr2bl w:val="nil"/>
                  </w:tcBorders>
                  <w:noWrap w:val="0"/>
                  <w:vAlign w:val="center"/>
                </w:tcPr>
                <w:p w14:paraId="105F4F5B">
                  <w:pPr>
                    <w:pStyle w:val="14"/>
                    <w:adjustRightInd w:val="0"/>
                    <w:snapToGrid w:val="0"/>
                    <w:spacing w:before="62" w:beforeLines="20" w:beforeAutospacing="0" w:afterAutospacing="0"/>
                    <w:jc w:val="center"/>
                    <w:rPr>
                      <w:color w:val="auto"/>
                      <w:kern w:val="2"/>
                      <w:szCs w:val="21"/>
                    </w:rPr>
                  </w:pPr>
                  <w:r>
                    <w:rPr>
                      <w:rFonts w:hint="eastAsia" w:cs="宋体"/>
                      <w:color w:val="auto"/>
                      <w:kern w:val="2"/>
                      <w:sz w:val="21"/>
                      <w:szCs w:val="21"/>
                    </w:rPr>
                    <w:t>表示噪声向外环境排放</w:t>
                  </w:r>
                </w:p>
              </w:tc>
            </w:tr>
            <w:tr w14:paraId="4A5688F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673" w:type="dxa"/>
                  <w:tcBorders>
                    <w:tl2br w:val="nil"/>
                    <w:tr2bl w:val="nil"/>
                  </w:tcBorders>
                  <w:noWrap w:val="0"/>
                  <w:vAlign w:val="center"/>
                </w:tcPr>
                <w:p w14:paraId="3B9956AF">
                  <w:pPr>
                    <w:pStyle w:val="14"/>
                    <w:adjustRightInd w:val="0"/>
                    <w:snapToGrid w:val="0"/>
                    <w:spacing w:before="62" w:beforeLines="20" w:beforeAutospacing="0" w:afterAutospacing="0"/>
                    <w:jc w:val="center"/>
                    <w:rPr>
                      <w:rFonts w:hint="eastAsia" w:eastAsia="宋体"/>
                      <w:color w:val="auto"/>
                      <w:kern w:val="2"/>
                      <w:sz w:val="21"/>
                      <w:szCs w:val="21"/>
                      <w:lang w:val="en-US" w:eastAsia="zh-CN"/>
                    </w:rPr>
                  </w:pPr>
                  <w:r>
                    <w:rPr>
                      <w:rFonts w:hint="eastAsia"/>
                      <w:color w:val="auto"/>
                      <w:kern w:val="2"/>
                      <w:sz w:val="21"/>
                      <w:szCs w:val="21"/>
                      <w:lang w:val="en-US" w:eastAsia="zh-CN"/>
                    </w:rPr>
                    <w:t>4</w:t>
                  </w:r>
                </w:p>
              </w:tc>
              <w:tc>
                <w:tcPr>
                  <w:tcW w:w="1412" w:type="dxa"/>
                  <w:tcBorders>
                    <w:tl2br w:val="nil"/>
                    <w:tr2bl w:val="nil"/>
                  </w:tcBorders>
                  <w:noWrap w:val="0"/>
                  <w:vAlign w:val="center"/>
                </w:tcPr>
                <w:p w14:paraId="65E03107">
                  <w:pPr>
                    <w:pStyle w:val="14"/>
                    <w:adjustRightInd w:val="0"/>
                    <w:snapToGrid w:val="0"/>
                    <w:spacing w:before="62" w:beforeLines="20" w:beforeAutospacing="0" w:afterAutospacing="0"/>
                    <w:jc w:val="center"/>
                    <w:rPr>
                      <w:color w:val="auto"/>
                      <w:kern w:val="2"/>
                      <w:sz w:val="21"/>
                      <w:szCs w:val="21"/>
                    </w:rPr>
                  </w:pPr>
                  <w:r>
                    <w:rPr>
                      <w:color w:val="auto"/>
                    </w:rPr>
                    <w:drawing>
                      <wp:inline distT="0" distB="0" distL="114300" distR="114300">
                        <wp:extent cx="502285" cy="478155"/>
                        <wp:effectExtent l="0" t="0" r="12065" b="171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502285" cy="478155"/>
                                </a:xfrm>
                                <a:prstGeom prst="rect">
                                  <a:avLst/>
                                </a:prstGeom>
                                <a:noFill/>
                                <a:ln>
                                  <a:noFill/>
                                </a:ln>
                              </pic:spPr>
                            </pic:pic>
                          </a:graphicData>
                        </a:graphic>
                      </wp:inline>
                    </w:drawing>
                  </w:r>
                </w:p>
              </w:tc>
              <w:tc>
                <w:tcPr>
                  <w:tcW w:w="1881" w:type="dxa"/>
                  <w:tcBorders>
                    <w:tl2br w:val="nil"/>
                    <w:tr2bl w:val="nil"/>
                  </w:tcBorders>
                  <w:noWrap w:val="0"/>
                  <w:vAlign w:val="center"/>
                </w:tcPr>
                <w:p w14:paraId="3A9FD578">
                  <w:pPr>
                    <w:pStyle w:val="14"/>
                    <w:adjustRightInd w:val="0"/>
                    <w:snapToGrid w:val="0"/>
                    <w:spacing w:before="62" w:beforeLines="20" w:beforeAutospacing="0" w:afterAutospacing="0"/>
                    <w:jc w:val="center"/>
                    <w:rPr>
                      <w:color w:val="auto"/>
                      <w:kern w:val="2"/>
                      <w:sz w:val="21"/>
                      <w:szCs w:val="21"/>
                    </w:rPr>
                  </w:pPr>
                  <w:r>
                    <w:rPr>
                      <w:color w:val="auto"/>
                    </w:rPr>
                    <w:drawing>
                      <wp:inline distT="0" distB="0" distL="114300" distR="114300">
                        <wp:extent cx="578485" cy="464820"/>
                        <wp:effectExtent l="0" t="0" r="12065" b="1143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578485" cy="464820"/>
                                </a:xfrm>
                                <a:prstGeom prst="rect">
                                  <a:avLst/>
                                </a:prstGeom>
                                <a:noFill/>
                                <a:ln>
                                  <a:noFill/>
                                </a:ln>
                              </pic:spPr>
                            </pic:pic>
                          </a:graphicData>
                        </a:graphic>
                      </wp:inline>
                    </w:drawing>
                  </w:r>
                </w:p>
              </w:tc>
              <w:tc>
                <w:tcPr>
                  <w:tcW w:w="1337" w:type="dxa"/>
                  <w:tcBorders>
                    <w:tl2br w:val="nil"/>
                    <w:tr2bl w:val="nil"/>
                  </w:tcBorders>
                  <w:noWrap w:val="0"/>
                  <w:vAlign w:val="center"/>
                </w:tcPr>
                <w:p w14:paraId="21A1AC95">
                  <w:pPr>
                    <w:pStyle w:val="14"/>
                    <w:adjustRightInd w:val="0"/>
                    <w:snapToGrid w:val="0"/>
                    <w:spacing w:before="62" w:beforeLines="20" w:beforeAutospacing="0" w:afterAutospacing="0"/>
                    <w:jc w:val="center"/>
                    <w:rPr>
                      <w:rFonts w:hint="eastAsia" w:eastAsia="宋体" w:cs="宋体"/>
                      <w:color w:val="auto"/>
                      <w:kern w:val="2"/>
                      <w:sz w:val="21"/>
                      <w:szCs w:val="21"/>
                      <w:lang w:eastAsia="zh-CN"/>
                    </w:rPr>
                  </w:pPr>
                  <w:r>
                    <w:rPr>
                      <w:rFonts w:hint="eastAsia" w:cs="宋体"/>
                      <w:color w:val="auto"/>
                      <w:kern w:val="2"/>
                      <w:sz w:val="21"/>
                      <w:szCs w:val="21"/>
                      <w:lang w:eastAsia="zh-CN"/>
                    </w:rPr>
                    <w:t>污水排放口</w:t>
                  </w:r>
                </w:p>
              </w:tc>
              <w:tc>
                <w:tcPr>
                  <w:tcW w:w="2729" w:type="dxa"/>
                  <w:tcBorders>
                    <w:tl2br w:val="nil"/>
                    <w:tr2bl w:val="nil"/>
                  </w:tcBorders>
                  <w:noWrap w:val="0"/>
                  <w:vAlign w:val="center"/>
                </w:tcPr>
                <w:p w14:paraId="30B46383">
                  <w:pPr>
                    <w:pStyle w:val="14"/>
                    <w:adjustRightInd w:val="0"/>
                    <w:snapToGrid w:val="0"/>
                    <w:spacing w:before="62" w:beforeLines="20" w:beforeAutospacing="0" w:afterAutospacing="0"/>
                    <w:jc w:val="center"/>
                    <w:rPr>
                      <w:rFonts w:hint="eastAsia" w:eastAsia="宋体" w:cs="宋体"/>
                      <w:color w:val="auto"/>
                      <w:kern w:val="2"/>
                      <w:sz w:val="21"/>
                      <w:szCs w:val="21"/>
                      <w:lang w:eastAsia="zh-CN"/>
                    </w:rPr>
                  </w:pPr>
                  <w:r>
                    <w:rPr>
                      <w:rFonts w:hint="eastAsia" w:cs="宋体"/>
                      <w:color w:val="auto"/>
                      <w:kern w:val="2"/>
                      <w:sz w:val="21"/>
                      <w:szCs w:val="21"/>
                      <w:lang w:eastAsia="zh-CN"/>
                    </w:rPr>
                    <w:t>表示污水向外环境排放</w:t>
                  </w:r>
                </w:p>
              </w:tc>
            </w:tr>
          </w:tbl>
          <w:p w14:paraId="606518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eastAsia="宋体"/>
                <w:b/>
                <w:color w:val="auto"/>
                <w:sz w:val="24"/>
                <w:szCs w:val="24"/>
                <w:lang w:eastAsia="zh-CN"/>
              </w:rPr>
            </w:pPr>
            <w:r>
              <w:rPr>
                <w:rFonts w:hint="eastAsia"/>
                <w:b/>
                <w:color w:val="auto"/>
                <w:sz w:val="24"/>
                <w:szCs w:val="24"/>
                <w:lang w:val="en-US" w:eastAsia="zh-CN"/>
              </w:rPr>
              <w:t>十一、</w:t>
            </w:r>
            <w:r>
              <w:rPr>
                <w:rFonts w:hint="eastAsia"/>
                <w:b/>
                <w:bCs/>
                <w:color w:val="auto"/>
                <w:sz w:val="24"/>
                <w:szCs w:val="24"/>
                <w:lang w:val="en-US" w:eastAsia="zh-CN"/>
              </w:rPr>
              <w:t>排污许可</w:t>
            </w:r>
          </w:p>
          <w:p w14:paraId="642081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根据《固定污染源排污许可分类管理名录（2019 版）》规定，本项目属于“三十七、废弃资源综合利用业 42”中的93非金属废料和碎屑加工处理 422”中的“废塑料加工处理”</w:t>
            </w:r>
            <w:r>
              <w:rPr>
                <w:rFonts w:hint="eastAsia"/>
                <w:color w:val="auto"/>
                <w:sz w:val="24"/>
              </w:rPr>
              <w:t>，</w:t>
            </w:r>
            <w:r>
              <w:rPr>
                <w:color w:val="auto"/>
                <w:sz w:val="24"/>
              </w:rPr>
              <w:t>应在全国排污许可证管理信息平台</w:t>
            </w:r>
            <w:r>
              <w:rPr>
                <w:rFonts w:hint="eastAsia"/>
                <w:color w:val="auto"/>
                <w:sz w:val="24"/>
              </w:rPr>
              <w:t>申请排污简化管理</w:t>
            </w:r>
            <w:r>
              <w:rPr>
                <w:rFonts w:hint="eastAsia" w:cs="Times New Roman"/>
                <w:b w:val="0"/>
                <w:bCs w:val="0"/>
                <w:color w:val="auto"/>
                <w:sz w:val="24"/>
                <w:szCs w:val="24"/>
                <w:lang w:val="en-US" w:eastAsia="zh-CN"/>
              </w:rPr>
              <w:t>。</w:t>
            </w:r>
            <w:r>
              <w:rPr>
                <w:rFonts w:hint="eastAsia"/>
                <w:color w:val="auto"/>
                <w:sz w:val="24"/>
                <w:szCs w:val="24"/>
                <w:lang w:val="en-US" w:eastAsia="zh-CN"/>
              </w:rPr>
              <w:t>项目已领排污许可证（排污许可证证书编号为91360425MA38CC4X38001U），本次技改</w:t>
            </w:r>
            <w:r>
              <w:rPr>
                <w:rFonts w:hint="eastAsia" w:cs="Times New Roman"/>
                <w:b w:val="0"/>
                <w:bCs w:val="0"/>
                <w:color w:val="auto"/>
                <w:sz w:val="24"/>
                <w:szCs w:val="24"/>
                <w:lang w:val="en-US" w:eastAsia="zh-CN"/>
              </w:rPr>
              <w:t>项目批复后应当在实际排污之前及时变更排污许可证，并</w:t>
            </w:r>
            <w:r>
              <w:rPr>
                <w:color w:val="auto"/>
                <w:sz w:val="24"/>
              </w:rPr>
              <w:t>在项目建设完成后及时对环保设施进行验收</w:t>
            </w:r>
            <w:r>
              <w:rPr>
                <w:rFonts w:hint="eastAsia" w:cs="Times New Roman"/>
                <w:b w:val="0"/>
                <w:bCs w:val="0"/>
                <w:color w:val="auto"/>
                <w:sz w:val="24"/>
                <w:szCs w:val="24"/>
                <w:lang w:val="en-US" w:eastAsia="zh-CN"/>
              </w:rPr>
              <w:t>。</w:t>
            </w:r>
          </w:p>
          <w:p w14:paraId="3C92289B">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2" w:firstLineChars="200"/>
              <w:textAlignment w:val="auto"/>
              <w:rPr>
                <w:rFonts w:hint="eastAsia" w:eastAsia="宋体"/>
                <w:b/>
                <w:color w:val="auto"/>
                <w:sz w:val="24"/>
                <w:szCs w:val="24"/>
                <w:lang w:eastAsia="zh-CN"/>
              </w:rPr>
            </w:pPr>
            <w:r>
              <w:rPr>
                <w:rFonts w:hint="eastAsia" w:ascii="宋体" w:eastAsia="宋体"/>
                <w:b/>
                <w:color w:val="auto"/>
                <w:sz w:val="24"/>
                <w:szCs w:val="24"/>
                <w:lang w:val="en-US" w:eastAsia="zh-CN"/>
              </w:rPr>
              <w:t>十二</w:t>
            </w:r>
            <w:r>
              <w:rPr>
                <w:rFonts w:hint="default" w:ascii="宋体" w:eastAsia="宋体"/>
                <w:b/>
                <w:color w:val="auto"/>
                <w:sz w:val="24"/>
                <w:szCs w:val="24"/>
              </w:rPr>
              <w:t>、</w:t>
            </w:r>
            <w:r>
              <w:rPr>
                <w:rFonts w:hint="eastAsia" w:ascii="宋体"/>
                <w:b/>
                <w:color w:val="auto"/>
                <w:sz w:val="24"/>
                <w:szCs w:val="24"/>
                <w:lang w:val="en-US" w:eastAsia="zh-CN"/>
              </w:rPr>
              <w:t>技改</w:t>
            </w:r>
            <w:r>
              <w:rPr>
                <w:rFonts w:hint="eastAsia" w:ascii="宋体"/>
                <w:b/>
                <w:color w:val="auto"/>
                <w:sz w:val="24"/>
                <w:szCs w:val="24"/>
                <w:lang w:eastAsia="zh-CN"/>
              </w:rPr>
              <w:t>前后污染物产排情况变化表</w:t>
            </w:r>
          </w:p>
          <w:p w14:paraId="5268D216">
            <w:pPr>
              <w:adjustRightInd w:val="0"/>
              <w:snapToGrid w:val="0"/>
              <w:spacing w:beforeLines="0" w:afterLines="0" w:line="360" w:lineRule="auto"/>
              <w:ind w:firstLine="456" w:firstLineChars="200"/>
              <w:rPr>
                <w:rFonts w:hint="eastAsia" w:ascii="宋体" w:hAnsi="宋体" w:cs="宋体"/>
                <w:color w:val="auto"/>
                <w:spacing w:val="-6"/>
                <w:sz w:val="24"/>
                <w:szCs w:val="24"/>
                <w:lang w:val="zh-CN" w:bidi="zh-CN"/>
              </w:rPr>
            </w:pPr>
            <w:r>
              <w:rPr>
                <w:rFonts w:hint="eastAsia" w:ascii="宋体" w:hAnsi="宋体" w:eastAsia="宋体" w:cs="宋体"/>
                <w:color w:val="auto"/>
                <w:spacing w:val="-6"/>
                <w:sz w:val="24"/>
                <w:szCs w:val="24"/>
                <w:lang w:val="zh-CN" w:bidi="zh-CN"/>
              </w:rPr>
              <w:t>技改前后（</w:t>
            </w:r>
            <w:r>
              <w:rPr>
                <w:rFonts w:hint="eastAsia" w:ascii="宋体" w:hAnsi="宋体" w:eastAsia="宋体" w:cs="宋体"/>
                <w:color w:val="auto"/>
                <w:spacing w:val="-6"/>
                <w:sz w:val="24"/>
                <w:szCs w:val="24"/>
                <w:lang w:val="en-US" w:bidi="zh-CN"/>
              </w:rPr>
              <w:t>一期）</w:t>
            </w:r>
            <w:r>
              <w:rPr>
                <w:rFonts w:hint="default" w:ascii="宋体" w:hAnsi="宋体" w:eastAsia="宋体" w:cs="宋体"/>
                <w:color w:val="auto"/>
                <w:spacing w:val="-6"/>
                <w:sz w:val="24"/>
                <w:szCs w:val="24"/>
                <w:lang w:val="zh-CN" w:bidi="zh-CN"/>
              </w:rPr>
              <w:t>项目</w:t>
            </w:r>
            <w:r>
              <w:rPr>
                <w:rFonts w:hint="eastAsia" w:ascii="宋体" w:hAnsi="宋体" w:cs="宋体"/>
                <w:color w:val="auto"/>
                <w:spacing w:val="-6"/>
                <w:sz w:val="24"/>
                <w:szCs w:val="24"/>
                <w:lang w:val="zh-CN" w:bidi="zh-CN"/>
              </w:rPr>
              <w:t>主要污染物三本账分析见下表。</w:t>
            </w:r>
          </w:p>
          <w:p w14:paraId="67BE1283">
            <w:pPr>
              <w:pStyle w:val="58"/>
              <w:numPr>
                <w:ilvl w:val="5"/>
                <w:numId w:val="0"/>
              </w:numPr>
              <w:spacing w:beforeLines="0" w:afterLines="0"/>
              <w:rPr>
                <w:rFonts w:hint="eastAsia"/>
                <w:color w:val="auto"/>
                <w:sz w:val="24"/>
                <w:szCs w:val="24"/>
              </w:rPr>
            </w:pPr>
            <w:r>
              <w:rPr>
                <w:rFonts w:hint="default" w:ascii="宋体" w:eastAsia="宋体"/>
                <w:color w:val="auto"/>
                <w:sz w:val="21"/>
                <w:szCs w:val="21"/>
              </w:rPr>
              <w:t>表4-</w:t>
            </w:r>
            <w:r>
              <w:rPr>
                <w:rFonts w:hint="eastAsia" w:ascii="宋体" w:eastAsia="宋体"/>
                <w:color w:val="auto"/>
                <w:sz w:val="21"/>
                <w:szCs w:val="21"/>
                <w:lang w:val="en-US" w:eastAsia="zh-CN"/>
              </w:rPr>
              <w:t xml:space="preserve">22 </w:t>
            </w:r>
            <w:r>
              <w:rPr>
                <w:rFonts w:hint="default" w:ascii="宋体" w:eastAsia="宋体"/>
                <w:color w:val="auto"/>
                <w:sz w:val="21"/>
                <w:szCs w:val="21"/>
              </w:rPr>
              <w:t xml:space="preserve"> </w:t>
            </w:r>
            <w:r>
              <w:rPr>
                <w:rFonts w:hint="eastAsia" w:ascii="宋体" w:eastAsia="宋体"/>
                <w:color w:val="auto"/>
                <w:sz w:val="21"/>
                <w:szCs w:val="21"/>
                <w:lang w:eastAsia="zh-CN"/>
              </w:rPr>
              <w:t>技改前后（</w:t>
            </w:r>
            <w:r>
              <w:rPr>
                <w:rFonts w:hint="eastAsia" w:ascii="宋体" w:eastAsia="宋体"/>
                <w:color w:val="auto"/>
                <w:sz w:val="21"/>
                <w:szCs w:val="21"/>
                <w:lang w:val="en-US" w:eastAsia="zh-CN"/>
              </w:rPr>
              <w:t>一期）</w:t>
            </w:r>
            <w:r>
              <w:rPr>
                <w:rFonts w:hint="eastAsia" w:ascii="宋体" w:eastAsia="宋体"/>
                <w:color w:val="auto"/>
                <w:sz w:val="21"/>
                <w:szCs w:val="21"/>
                <w:lang w:eastAsia="zh-CN"/>
              </w:rPr>
              <w:t>项目</w:t>
            </w:r>
            <w:r>
              <w:rPr>
                <w:rFonts w:hint="eastAsia" w:ascii="宋体"/>
                <w:color w:val="auto"/>
                <w:sz w:val="21"/>
                <w:szCs w:val="21"/>
                <w:lang w:eastAsia="zh-CN"/>
              </w:rPr>
              <w:t>三本账分析</w:t>
            </w:r>
            <w:r>
              <w:rPr>
                <w:rFonts w:hint="default" w:ascii="宋体" w:eastAsia="宋体"/>
                <w:color w:val="auto"/>
                <w:sz w:val="21"/>
                <w:szCs w:val="21"/>
              </w:rPr>
              <w:t>表</w:t>
            </w:r>
          </w:p>
          <w:tbl>
            <w:tblPr>
              <w:tblStyle w:val="22"/>
              <w:tblW w:w="8213" w:type="dxa"/>
              <w:tblInd w:w="5"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549"/>
              <w:gridCol w:w="1082"/>
              <w:gridCol w:w="1520"/>
              <w:gridCol w:w="1323"/>
              <w:gridCol w:w="1323"/>
              <w:gridCol w:w="1243"/>
              <w:gridCol w:w="1173"/>
            </w:tblGrid>
            <w:tr w14:paraId="048A1D8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1631" w:type="dxa"/>
                  <w:gridSpan w:val="2"/>
                  <w:tcBorders>
                    <w:tl2br w:val="nil"/>
                    <w:tr2bl w:val="nil"/>
                  </w:tcBorders>
                  <w:noWrap w:val="0"/>
                  <w:vAlign w:val="center"/>
                </w:tcPr>
                <w:p w14:paraId="15939D46">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b/>
                      <w:bCs/>
                      <w:color w:val="auto"/>
                      <w:spacing w:val="-6"/>
                      <w:sz w:val="21"/>
                      <w:szCs w:val="21"/>
                      <w:vertAlign w:val="baseline"/>
                      <w:lang w:val="zh-CN" w:bidi="zh-CN"/>
                    </w:rPr>
                  </w:pPr>
                  <w:r>
                    <w:rPr>
                      <w:rFonts w:hint="eastAsia" w:ascii="宋体" w:hAnsi="宋体" w:cs="宋体"/>
                      <w:b/>
                      <w:bCs/>
                      <w:color w:val="auto"/>
                      <w:spacing w:val="-6"/>
                      <w:sz w:val="21"/>
                      <w:szCs w:val="21"/>
                      <w:vertAlign w:val="baseline"/>
                      <w:lang w:val="zh-CN" w:bidi="zh-CN"/>
                    </w:rPr>
                    <w:t>污染物名称</w:t>
                  </w:r>
                </w:p>
              </w:tc>
              <w:tc>
                <w:tcPr>
                  <w:tcW w:w="1520" w:type="dxa"/>
                  <w:tcBorders>
                    <w:tl2br w:val="nil"/>
                    <w:tr2bl w:val="nil"/>
                  </w:tcBorders>
                  <w:noWrap w:val="0"/>
                  <w:vAlign w:val="center"/>
                </w:tcPr>
                <w:p w14:paraId="15C498A6">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b/>
                      <w:bCs/>
                      <w:color w:val="auto"/>
                      <w:spacing w:val="-6"/>
                      <w:sz w:val="21"/>
                      <w:szCs w:val="21"/>
                      <w:vertAlign w:val="baseline"/>
                      <w:lang w:val="zh-CN" w:bidi="zh-CN"/>
                    </w:rPr>
                  </w:pPr>
                  <w:r>
                    <w:rPr>
                      <w:rFonts w:hint="eastAsia" w:ascii="宋体" w:hAnsi="宋体" w:cs="宋体"/>
                      <w:b/>
                      <w:bCs/>
                      <w:color w:val="auto"/>
                      <w:spacing w:val="-6"/>
                      <w:sz w:val="21"/>
                      <w:szCs w:val="21"/>
                      <w:vertAlign w:val="baseline"/>
                      <w:lang w:val="zh-CN" w:bidi="zh-CN"/>
                    </w:rPr>
                    <w:t>现有工程排放量</w:t>
                  </w:r>
                  <w:r>
                    <w:rPr>
                      <w:rFonts w:hint="eastAsia"/>
                      <w:color w:val="auto"/>
                      <w:sz w:val="21"/>
                      <w:szCs w:val="21"/>
                    </w:rPr>
                    <w:t>t/a</w:t>
                  </w:r>
                </w:p>
              </w:tc>
              <w:tc>
                <w:tcPr>
                  <w:tcW w:w="1323" w:type="dxa"/>
                  <w:tcBorders>
                    <w:tl2br w:val="nil"/>
                    <w:tr2bl w:val="nil"/>
                  </w:tcBorders>
                  <w:noWrap w:val="0"/>
                  <w:vAlign w:val="center"/>
                </w:tcPr>
                <w:p w14:paraId="3123EED0">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b/>
                      <w:bCs/>
                      <w:color w:val="auto"/>
                      <w:spacing w:val="-6"/>
                      <w:sz w:val="21"/>
                      <w:szCs w:val="21"/>
                      <w:vertAlign w:val="baseline"/>
                      <w:lang w:val="zh-CN" w:bidi="zh-CN"/>
                    </w:rPr>
                  </w:pPr>
                  <w:r>
                    <w:rPr>
                      <w:rFonts w:hint="eastAsia" w:ascii="宋体" w:hAnsi="宋体" w:cs="宋体"/>
                      <w:b/>
                      <w:bCs/>
                      <w:color w:val="auto"/>
                      <w:spacing w:val="-6"/>
                      <w:sz w:val="21"/>
                      <w:szCs w:val="21"/>
                      <w:vertAlign w:val="baseline"/>
                      <w:lang w:val="zh-CN" w:bidi="zh-CN"/>
                    </w:rPr>
                    <w:t>本项目排放量</w:t>
                  </w:r>
                  <w:r>
                    <w:rPr>
                      <w:rFonts w:hint="eastAsia"/>
                      <w:color w:val="auto"/>
                      <w:sz w:val="21"/>
                      <w:szCs w:val="21"/>
                    </w:rPr>
                    <w:t>t/a</w:t>
                  </w:r>
                </w:p>
              </w:tc>
              <w:tc>
                <w:tcPr>
                  <w:tcW w:w="1323" w:type="dxa"/>
                  <w:tcBorders>
                    <w:tl2br w:val="nil"/>
                    <w:tr2bl w:val="nil"/>
                  </w:tcBorders>
                  <w:noWrap w:val="0"/>
                  <w:vAlign w:val="center"/>
                </w:tcPr>
                <w:p w14:paraId="596551FD">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b/>
                      <w:bCs/>
                      <w:color w:val="auto"/>
                      <w:spacing w:val="-6"/>
                      <w:sz w:val="21"/>
                      <w:szCs w:val="21"/>
                      <w:vertAlign w:val="baseline"/>
                      <w:lang w:val="zh-CN" w:bidi="zh-CN"/>
                    </w:rPr>
                  </w:pPr>
                  <w:r>
                    <w:rPr>
                      <w:rFonts w:hint="eastAsia" w:ascii="宋体" w:hAnsi="宋体" w:cs="宋体"/>
                      <w:b/>
                      <w:bCs/>
                      <w:color w:val="auto"/>
                      <w:spacing w:val="-6"/>
                      <w:sz w:val="21"/>
                      <w:szCs w:val="21"/>
                      <w:vertAlign w:val="baseline"/>
                      <w:lang w:val="zh-CN" w:bidi="zh-CN"/>
                    </w:rPr>
                    <w:t>以新带老削减量</w:t>
                  </w:r>
                  <w:r>
                    <w:rPr>
                      <w:rFonts w:hint="eastAsia"/>
                      <w:color w:val="auto"/>
                      <w:sz w:val="21"/>
                      <w:szCs w:val="21"/>
                    </w:rPr>
                    <w:t>t/a</w:t>
                  </w:r>
                </w:p>
              </w:tc>
              <w:tc>
                <w:tcPr>
                  <w:tcW w:w="1243" w:type="dxa"/>
                  <w:tcBorders>
                    <w:tl2br w:val="nil"/>
                    <w:tr2bl w:val="nil"/>
                  </w:tcBorders>
                  <w:noWrap w:val="0"/>
                  <w:vAlign w:val="center"/>
                </w:tcPr>
                <w:p w14:paraId="52CF4BAE">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b/>
                      <w:bCs/>
                      <w:color w:val="auto"/>
                      <w:spacing w:val="-6"/>
                      <w:sz w:val="21"/>
                      <w:szCs w:val="21"/>
                      <w:vertAlign w:val="baseline"/>
                      <w:lang w:val="zh-CN" w:bidi="zh-CN"/>
                    </w:rPr>
                  </w:pPr>
                  <w:r>
                    <w:rPr>
                      <w:rFonts w:hint="eastAsia" w:ascii="宋体" w:hAnsi="宋体" w:cs="宋体"/>
                      <w:b/>
                      <w:bCs/>
                      <w:color w:val="auto"/>
                      <w:spacing w:val="-6"/>
                      <w:sz w:val="21"/>
                      <w:szCs w:val="21"/>
                      <w:vertAlign w:val="baseline"/>
                      <w:lang w:val="zh-CN" w:bidi="zh-CN"/>
                    </w:rPr>
                    <w:t>总体工程排放量</w:t>
                  </w:r>
                  <w:r>
                    <w:rPr>
                      <w:rFonts w:hint="eastAsia"/>
                      <w:color w:val="auto"/>
                      <w:sz w:val="21"/>
                      <w:szCs w:val="21"/>
                    </w:rPr>
                    <w:t>t/a</w:t>
                  </w:r>
                </w:p>
              </w:tc>
              <w:tc>
                <w:tcPr>
                  <w:tcW w:w="1173" w:type="dxa"/>
                  <w:tcBorders>
                    <w:tl2br w:val="nil"/>
                    <w:tr2bl w:val="nil"/>
                  </w:tcBorders>
                  <w:noWrap w:val="0"/>
                  <w:vAlign w:val="center"/>
                </w:tcPr>
                <w:p w14:paraId="33646682">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b/>
                      <w:bCs/>
                      <w:color w:val="auto"/>
                      <w:spacing w:val="-6"/>
                      <w:sz w:val="21"/>
                      <w:szCs w:val="21"/>
                      <w:vertAlign w:val="baseline"/>
                      <w:lang w:val="zh-CN" w:bidi="zh-CN"/>
                    </w:rPr>
                  </w:pPr>
                  <w:r>
                    <w:rPr>
                      <w:rFonts w:hint="eastAsia" w:ascii="宋体" w:hAnsi="宋体" w:cs="宋体"/>
                      <w:b/>
                      <w:bCs/>
                      <w:color w:val="auto"/>
                      <w:spacing w:val="-6"/>
                      <w:sz w:val="21"/>
                      <w:szCs w:val="21"/>
                      <w:vertAlign w:val="baseline"/>
                      <w:lang w:val="zh-CN" w:bidi="zh-CN"/>
                    </w:rPr>
                    <w:t>增减量变化</w:t>
                  </w:r>
                  <w:r>
                    <w:rPr>
                      <w:rFonts w:hint="eastAsia"/>
                      <w:color w:val="auto"/>
                      <w:sz w:val="21"/>
                      <w:szCs w:val="21"/>
                    </w:rPr>
                    <w:t>t/a</w:t>
                  </w:r>
                </w:p>
              </w:tc>
            </w:tr>
            <w:tr w14:paraId="4EB1936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restart"/>
                  <w:tcBorders>
                    <w:tl2br w:val="nil"/>
                    <w:tr2bl w:val="nil"/>
                  </w:tcBorders>
                  <w:noWrap w:val="0"/>
                  <w:vAlign w:val="center"/>
                </w:tcPr>
                <w:p w14:paraId="204DD790">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r>
                    <w:rPr>
                      <w:rFonts w:hint="eastAsia" w:ascii="宋体" w:hAnsi="宋体" w:cs="宋体"/>
                      <w:color w:val="auto"/>
                      <w:spacing w:val="-6"/>
                      <w:sz w:val="21"/>
                      <w:szCs w:val="21"/>
                      <w:vertAlign w:val="baseline"/>
                      <w:lang w:val="zh-CN" w:bidi="zh-CN"/>
                    </w:rPr>
                    <w:t>废气</w:t>
                  </w:r>
                </w:p>
              </w:tc>
              <w:tc>
                <w:tcPr>
                  <w:tcW w:w="1082" w:type="dxa"/>
                  <w:tcBorders>
                    <w:tl2br w:val="nil"/>
                    <w:tr2bl w:val="nil"/>
                  </w:tcBorders>
                  <w:noWrap w:val="0"/>
                  <w:vAlign w:val="center"/>
                </w:tcPr>
                <w:p w14:paraId="1DA07823">
                  <w:pPr>
                    <w:adjustRightInd w:val="0"/>
                    <w:spacing w:beforeLines="0" w:afterLines="0" w:line="288" w:lineRule="auto"/>
                    <w:jc w:val="center"/>
                    <w:rPr>
                      <w:rFonts w:hint="eastAsia" w:ascii="宋体" w:hAnsi="宋体" w:cs="宋体"/>
                      <w:color w:val="auto"/>
                      <w:spacing w:val="-6"/>
                      <w:sz w:val="21"/>
                      <w:szCs w:val="21"/>
                      <w:vertAlign w:val="baseline"/>
                      <w:lang w:val="zh-CN" w:bidi="zh-CN"/>
                    </w:rPr>
                  </w:pPr>
                  <w:r>
                    <w:rPr>
                      <w:rFonts w:hint="eastAsia" w:ascii="宋体" w:eastAsia="宋体"/>
                      <w:color w:val="auto"/>
                      <w:sz w:val="21"/>
                      <w:szCs w:val="21"/>
                    </w:rPr>
                    <w:t>颗粒物</w:t>
                  </w:r>
                </w:p>
              </w:tc>
              <w:tc>
                <w:tcPr>
                  <w:tcW w:w="1520" w:type="dxa"/>
                  <w:tcBorders>
                    <w:tl2br w:val="nil"/>
                    <w:tr2bl w:val="nil"/>
                  </w:tcBorders>
                  <w:noWrap w:val="0"/>
                  <w:vAlign w:val="center"/>
                </w:tcPr>
                <w:p w14:paraId="794F4290">
                  <w:pPr>
                    <w:autoSpaceDE w:val="0"/>
                    <w:autoSpaceDN w:val="0"/>
                    <w:spacing w:beforeLines="0" w:afterLines="0" w:line="288" w:lineRule="auto"/>
                    <w:jc w:val="center"/>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0.438</w:t>
                  </w:r>
                </w:p>
              </w:tc>
              <w:tc>
                <w:tcPr>
                  <w:tcW w:w="1323" w:type="dxa"/>
                  <w:tcBorders>
                    <w:tl2br w:val="nil"/>
                    <w:tr2bl w:val="nil"/>
                  </w:tcBorders>
                  <w:noWrap w:val="0"/>
                  <w:vAlign w:val="center"/>
                </w:tcPr>
                <w:p w14:paraId="17D3A69B">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0.005</w:t>
                  </w:r>
                </w:p>
              </w:tc>
              <w:tc>
                <w:tcPr>
                  <w:tcW w:w="1323" w:type="dxa"/>
                  <w:tcBorders>
                    <w:tl2br w:val="nil"/>
                    <w:tr2bl w:val="nil"/>
                  </w:tcBorders>
                  <w:noWrap w:val="0"/>
                  <w:vAlign w:val="center"/>
                </w:tcPr>
                <w:p w14:paraId="505D3103">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0.433</w:t>
                  </w:r>
                </w:p>
              </w:tc>
              <w:tc>
                <w:tcPr>
                  <w:tcW w:w="1243" w:type="dxa"/>
                  <w:tcBorders>
                    <w:tl2br w:val="nil"/>
                    <w:tr2bl w:val="nil"/>
                  </w:tcBorders>
                  <w:noWrap w:val="0"/>
                  <w:vAlign w:val="center"/>
                </w:tcPr>
                <w:p w14:paraId="1AA66A89">
                  <w:pPr>
                    <w:pStyle w:val="32"/>
                    <w:autoSpaceDE w:val="0"/>
                    <w:autoSpaceDN w:val="0"/>
                    <w:spacing w:beforeLines="0" w:afterLines="0" w:line="288" w:lineRule="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0.005</w:t>
                  </w:r>
                </w:p>
              </w:tc>
              <w:tc>
                <w:tcPr>
                  <w:tcW w:w="1173" w:type="dxa"/>
                  <w:tcBorders>
                    <w:tl2br w:val="nil"/>
                    <w:tr2bl w:val="nil"/>
                  </w:tcBorders>
                  <w:noWrap w:val="0"/>
                  <w:vAlign w:val="center"/>
                </w:tcPr>
                <w:p w14:paraId="441EFE3B">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-0.433</w:t>
                  </w:r>
                </w:p>
              </w:tc>
            </w:tr>
            <w:tr w14:paraId="45B8C2B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5893104F">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noWrap w:val="0"/>
                  <w:vAlign w:val="center"/>
                </w:tcPr>
                <w:p w14:paraId="15B16260">
                  <w:pPr>
                    <w:adjustRightInd w:val="0"/>
                    <w:snapToGrid w:val="0"/>
                    <w:spacing w:beforeLines="0" w:afterLines="0" w:line="240" w:lineRule="exact"/>
                    <w:jc w:val="center"/>
                    <w:rPr>
                      <w:rFonts w:hint="eastAsia" w:ascii="宋体" w:hAnsi="宋体" w:cs="宋体"/>
                      <w:color w:val="auto"/>
                      <w:spacing w:val="-6"/>
                      <w:sz w:val="21"/>
                      <w:szCs w:val="21"/>
                      <w:vertAlign w:val="baseline"/>
                      <w:lang w:val="zh-CN" w:bidi="zh-CN"/>
                    </w:rPr>
                  </w:pPr>
                  <w:r>
                    <w:rPr>
                      <w:rFonts w:ascii="Times New Roman"/>
                      <w:color w:val="auto"/>
                      <w:sz w:val="18"/>
                      <w:szCs w:val="18"/>
                    </w:rPr>
                    <w:t>VOCs</w:t>
                  </w:r>
                </w:p>
              </w:tc>
              <w:tc>
                <w:tcPr>
                  <w:tcW w:w="1520" w:type="dxa"/>
                  <w:tcBorders>
                    <w:tl2br w:val="nil"/>
                    <w:tr2bl w:val="nil"/>
                  </w:tcBorders>
                  <w:noWrap w:val="0"/>
                  <w:vAlign w:val="center"/>
                </w:tcPr>
                <w:p w14:paraId="7BE77E85">
                  <w:pPr>
                    <w:pStyle w:val="32"/>
                    <w:autoSpaceDE w:val="0"/>
                    <w:autoSpaceDN w:val="0"/>
                    <w:spacing w:beforeLines="0" w:afterLines="0" w:line="288" w:lineRule="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0.742</w:t>
                  </w:r>
                </w:p>
              </w:tc>
              <w:tc>
                <w:tcPr>
                  <w:tcW w:w="1323" w:type="dxa"/>
                  <w:tcBorders>
                    <w:tl2br w:val="nil"/>
                    <w:tr2bl w:val="nil"/>
                  </w:tcBorders>
                  <w:noWrap w:val="0"/>
                  <w:vAlign w:val="center"/>
                </w:tcPr>
                <w:p w14:paraId="12AB08F6">
                  <w:pPr>
                    <w:pStyle w:val="13"/>
                    <w:keepNext w:val="0"/>
                    <w:keepLines w:val="0"/>
                    <w:pageBreakBefore w:val="0"/>
                    <w:widowControl w:val="0"/>
                    <w:kinsoku/>
                    <w:wordWrap/>
                    <w:overflowPunct/>
                    <w:topLinePunct w:val="0"/>
                    <w:bidi w:val="0"/>
                    <w:spacing w:line="240" w:lineRule="auto"/>
                    <w:jc w:val="center"/>
                    <w:textAlignment w:val="auto"/>
                    <w:rPr>
                      <w:rFonts w:hint="default" w:ascii="宋体" w:eastAsia="宋体" w:cs="Times New Roman"/>
                      <w:color w:val="auto"/>
                      <w:sz w:val="21"/>
                      <w:szCs w:val="21"/>
                      <w:lang w:val="en-US" w:eastAsia="zh-CN"/>
                    </w:rPr>
                  </w:pPr>
                  <w:r>
                    <w:rPr>
                      <w:rFonts w:hint="eastAsia" w:ascii="宋体" w:eastAsia="宋体" w:cs="Times New Roman"/>
                      <w:color w:val="auto"/>
                      <w:sz w:val="21"/>
                      <w:szCs w:val="21"/>
                      <w:lang w:val="en-US" w:eastAsia="zh-CN"/>
                    </w:rPr>
                    <w:t>1.143</w:t>
                  </w:r>
                </w:p>
              </w:tc>
              <w:tc>
                <w:tcPr>
                  <w:tcW w:w="1323" w:type="dxa"/>
                  <w:tcBorders>
                    <w:tl2br w:val="nil"/>
                    <w:tr2bl w:val="nil"/>
                  </w:tcBorders>
                  <w:noWrap w:val="0"/>
                  <w:vAlign w:val="center"/>
                </w:tcPr>
                <w:p w14:paraId="4FEBAB8E">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w:t>
                  </w:r>
                </w:p>
              </w:tc>
              <w:tc>
                <w:tcPr>
                  <w:tcW w:w="1243" w:type="dxa"/>
                  <w:tcBorders>
                    <w:tl2br w:val="nil"/>
                    <w:tr2bl w:val="nil"/>
                  </w:tcBorders>
                  <w:noWrap w:val="0"/>
                  <w:vAlign w:val="center"/>
                </w:tcPr>
                <w:p w14:paraId="4E97292F">
                  <w:pPr>
                    <w:pStyle w:val="66"/>
                    <w:spacing w:beforeLines="0" w:afterLines="0" w:line="288" w:lineRule="auto"/>
                    <w:rPr>
                      <w:rFonts w:hint="eastAsia" w:ascii="宋体" w:eastAsia="宋体" w:cs="Times New Roman"/>
                      <w:color w:val="auto"/>
                      <w:sz w:val="21"/>
                      <w:szCs w:val="21"/>
                      <w:lang w:val="en-US" w:eastAsia="zh-CN"/>
                    </w:rPr>
                  </w:pPr>
                  <w:r>
                    <w:rPr>
                      <w:rFonts w:hint="eastAsia" w:ascii="宋体" w:eastAsia="宋体" w:cs="Times New Roman"/>
                      <w:color w:val="auto"/>
                      <w:sz w:val="21"/>
                      <w:szCs w:val="21"/>
                      <w:lang w:val="en-US" w:eastAsia="zh-CN"/>
                    </w:rPr>
                    <w:t>1.143</w:t>
                  </w:r>
                </w:p>
              </w:tc>
              <w:tc>
                <w:tcPr>
                  <w:tcW w:w="1173" w:type="dxa"/>
                  <w:tcBorders>
                    <w:tl2br w:val="nil"/>
                    <w:tr2bl w:val="nil"/>
                  </w:tcBorders>
                  <w:noWrap w:val="0"/>
                  <w:vAlign w:val="center"/>
                </w:tcPr>
                <w:p w14:paraId="2A77CCB1">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+0.401</w:t>
                  </w:r>
                </w:p>
              </w:tc>
            </w:tr>
            <w:tr w14:paraId="702687A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4" w:hRule="atLeast"/>
              </w:trPr>
              <w:tc>
                <w:tcPr>
                  <w:tcW w:w="549" w:type="dxa"/>
                  <w:vMerge w:val="restart"/>
                  <w:tcBorders>
                    <w:tl2br w:val="nil"/>
                    <w:tr2bl w:val="nil"/>
                  </w:tcBorders>
                  <w:noWrap w:val="0"/>
                  <w:vAlign w:val="center"/>
                </w:tcPr>
                <w:p w14:paraId="29C455A1">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r>
                    <w:rPr>
                      <w:rFonts w:hint="eastAsia" w:ascii="宋体" w:hAnsi="宋体" w:cs="宋体"/>
                      <w:color w:val="auto"/>
                      <w:spacing w:val="-6"/>
                      <w:sz w:val="21"/>
                      <w:szCs w:val="21"/>
                      <w:vertAlign w:val="baseline"/>
                      <w:lang w:val="zh-CN" w:bidi="zh-CN"/>
                    </w:rPr>
                    <w:t>废水</w:t>
                  </w:r>
                </w:p>
              </w:tc>
              <w:tc>
                <w:tcPr>
                  <w:tcW w:w="1082" w:type="dxa"/>
                  <w:tcBorders>
                    <w:tl2br w:val="nil"/>
                    <w:tr2bl w:val="nil"/>
                  </w:tcBorders>
                  <w:noWrap w:val="0"/>
                  <w:vAlign w:val="center"/>
                </w:tcPr>
                <w:p w14:paraId="59F94FFE">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r>
                    <w:rPr>
                      <w:rFonts w:hint="eastAsia" w:ascii="宋体" w:hAnsi="宋体" w:cs="宋体"/>
                      <w:color w:val="auto"/>
                      <w:spacing w:val="-6"/>
                      <w:sz w:val="21"/>
                      <w:szCs w:val="21"/>
                      <w:vertAlign w:val="baseline"/>
                      <w:lang w:val="zh-CN" w:bidi="zh-CN"/>
                    </w:rPr>
                    <w:t>生活污水</w:t>
                  </w:r>
                </w:p>
              </w:tc>
              <w:tc>
                <w:tcPr>
                  <w:tcW w:w="1520" w:type="dxa"/>
                  <w:tcBorders>
                    <w:tl2br w:val="nil"/>
                    <w:tr2bl w:val="nil"/>
                  </w:tcBorders>
                  <w:noWrap w:val="0"/>
                  <w:vAlign w:val="center"/>
                </w:tcPr>
                <w:p w14:paraId="2A8C9B89">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240</w:t>
                  </w:r>
                </w:p>
              </w:tc>
              <w:tc>
                <w:tcPr>
                  <w:tcW w:w="1323" w:type="dxa"/>
                  <w:tcBorders>
                    <w:tl2br w:val="nil"/>
                    <w:tr2bl w:val="nil"/>
                  </w:tcBorders>
                  <w:noWrap w:val="0"/>
                  <w:vAlign w:val="center"/>
                </w:tcPr>
                <w:p w14:paraId="29A22E51">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w:t>
                  </w:r>
                </w:p>
              </w:tc>
              <w:tc>
                <w:tcPr>
                  <w:tcW w:w="1323" w:type="dxa"/>
                  <w:tcBorders>
                    <w:tl2br w:val="nil"/>
                    <w:tr2bl w:val="nil"/>
                  </w:tcBorders>
                  <w:noWrap w:val="0"/>
                  <w:vAlign w:val="center"/>
                </w:tcPr>
                <w:p w14:paraId="7865416B">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w:t>
                  </w:r>
                </w:p>
              </w:tc>
              <w:tc>
                <w:tcPr>
                  <w:tcW w:w="1243" w:type="dxa"/>
                  <w:tcBorders>
                    <w:tl2br w:val="nil"/>
                    <w:tr2bl w:val="nil"/>
                  </w:tcBorders>
                  <w:noWrap w:val="0"/>
                  <w:vAlign w:val="center"/>
                </w:tcPr>
                <w:p w14:paraId="5AB5344B">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w:t>
                  </w:r>
                </w:p>
              </w:tc>
              <w:tc>
                <w:tcPr>
                  <w:tcW w:w="1173" w:type="dxa"/>
                  <w:tcBorders>
                    <w:tl2br w:val="nil"/>
                    <w:tr2bl w:val="nil"/>
                  </w:tcBorders>
                  <w:noWrap w:val="0"/>
                  <w:vAlign w:val="center"/>
                </w:tcPr>
                <w:p w14:paraId="2A12582E">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w:t>
                  </w:r>
                </w:p>
              </w:tc>
            </w:tr>
            <w:tr w14:paraId="42A6529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10" w:hRule="atLeast"/>
              </w:trPr>
              <w:tc>
                <w:tcPr>
                  <w:tcW w:w="549" w:type="dxa"/>
                  <w:vMerge w:val="continue"/>
                  <w:tcBorders>
                    <w:tl2br w:val="nil"/>
                    <w:tr2bl w:val="nil"/>
                  </w:tcBorders>
                  <w:noWrap w:val="0"/>
                  <w:vAlign w:val="center"/>
                </w:tcPr>
                <w:p w14:paraId="60607CBD">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noWrap w:val="0"/>
                  <w:vAlign w:val="center"/>
                </w:tcPr>
                <w:p w14:paraId="29AC6E59">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生产废水</w:t>
                  </w:r>
                </w:p>
              </w:tc>
              <w:tc>
                <w:tcPr>
                  <w:tcW w:w="1520" w:type="dxa"/>
                  <w:tcBorders>
                    <w:tl2br w:val="nil"/>
                    <w:tr2bl w:val="nil"/>
                  </w:tcBorders>
                  <w:noWrap w:val="0"/>
                  <w:vAlign w:val="center"/>
                </w:tcPr>
                <w:p w14:paraId="54131F3F">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w:t>
                  </w:r>
                </w:p>
              </w:tc>
              <w:tc>
                <w:tcPr>
                  <w:tcW w:w="1323" w:type="dxa"/>
                  <w:tcBorders>
                    <w:tl2br w:val="nil"/>
                    <w:tr2bl w:val="nil"/>
                  </w:tcBorders>
                  <w:noWrap w:val="0"/>
                  <w:vAlign w:val="center"/>
                </w:tcPr>
                <w:p w14:paraId="7F739B5E">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1250</w:t>
                  </w:r>
                </w:p>
              </w:tc>
              <w:tc>
                <w:tcPr>
                  <w:tcW w:w="1323" w:type="dxa"/>
                  <w:tcBorders>
                    <w:tl2br w:val="nil"/>
                    <w:tr2bl w:val="nil"/>
                  </w:tcBorders>
                  <w:noWrap w:val="0"/>
                  <w:vAlign w:val="center"/>
                </w:tcPr>
                <w:p w14:paraId="46030059">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0</w:t>
                  </w:r>
                </w:p>
              </w:tc>
              <w:tc>
                <w:tcPr>
                  <w:tcW w:w="1243" w:type="dxa"/>
                  <w:tcBorders>
                    <w:tl2br w:val="nil"/>
                    <w:tr2bl w:val="nil"/>
                  </w:tcBorders>
                  <w:noWrap w:val="0"/>
                  <w:vAlign w:val="center"/>
                </w:tcPr>
                <w:p w14:paraId="5CD96B06">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1250</w:t>
                  </w:r>
                </w:p>
              </w:tc>
              <w:tc>
                <w:tcPr>
                  <w:tcW w:w="1173" w:type="dxa"/>
                  <w:tcBorders>
                    <w:tl2br w:val="nil"/>
                    <w:tr2bl w:val="nil"/>
                  </w:tcBorders>
                  <w:noWrap w:val="0"/>
                  <w:vAlign w:val="center"/>
                </w:tcPr>
                <w:p w14:paraId="69983B2F">
                  <w:pPr>
                    <w:pStyle w:val="13"/>
                    <w:keepNext w:val="0"/>
                    <w:keepLines w:val="0"/>
                    <w:pageBreakBefore w:val="0"/>
                    <w:widowControl w:val="0"/>
                    <w:kinsoku/>
                    <w:wordWrap/>
                    <w:overflowPunct/>
                    <w:topLinePunct w:val="0"/>
                    <w:bidi w:val="0"/>
                    <w:spacing w:line="240" w:lineRule="auto"/>
                    <w:jc w:val="center"/>
                    <w:textAlignment w:val="auto"/>
                    <w:rPr>
                      <w:rFonts w:hint="default" w:ascii="宋体" w:hAnsi="宋体" w:cs="宋体"/>
                      <w:color w:val="auto"/>
                      <w:spacing w:val="-6"/>
                      <w:sz w:val="21"/>
                      <w:szCs w:val="21"/>
                      <w:vertAlign w:val="baseline"/>
                      <w:lang w:val="en-US" w:bidi="zh-CN"/>
                    </w:rPr>
                  </w:pPr>
                  <w:r>
                    <w:rPr>
                      <w:rFonts w:hint="eastAsia" w:ascii="宋体" w:hAnsi="宋体" w:cs="宋体"/>
                      <w:color w:val="auto"/>
                      <w:spacing w:val="-6"/>
                      <w:sz w:val="21"/>
                      <w:szCs w:val="21"/>
                      <w:vertAlign w:val="baseline"/>
                      <w:lang w:val="en-US" w:bidi="zh-CN"/>
                    </w:rPr>
                    <w:t>+1250</w:t>
                  </w:r>
                </w:p>
              </w:tc>
            </w:tr>
            <w:tr w14:paraId="6A0E323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restart"/>
                  <w:tcBorders>
                    <w:tl2br w:val="nil"/>
                    <w:tr2bl w:val="nil"/>
                  </w:tcBorders>
                  <w:noWrap w:val="0"/>
                  <w:vAlign w:val="center"/>
                </w:tcPr>
                <w:p w14:paraId="48643689">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r>
                    <w:rPr>
                      <w:rFonts w:hint="eastAsia" w:ascii="宋体" w:hAnsi="宋体" w:cs="宋体"/>
                      <w:color w:val="auto"/>
                      <w:spacing w:val="-6"/>
                      <w:sz w:val="21"/>
                      <w:szCs w:val="21"/>
                      <w:vertAlign w:val="baseline"/>
                      <w:lang w:val="zh-CN" w:bidi="zh-CN"/>
                    </w:rPr>
                    <w:t>固废</w:t>
                  </w:r>
                </w:p>
              </w:tc>
              <w:tc>
                <w:tcPr>
                  <w:tcW w:w="1082" w:type="dxa"/>
                  <w:tcBorders>
                    <w:tl2br w:val="nil"/>
                    <w:tr2bl w:val="nil"/>
                  </w:tcBorders>
                  <w:shd w:val="clear" w:color="auto" w:fill="auto"/>
                  <w:noWrap w:val="0"/>
                  <w:vAlign w:val="center"/>
                </w:tcPr>
                <w:p w14:paraId="1C2590E0">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bCs/>
                      <w:color w:val="auto"/>
                      <w:szCs w:val="21"/>
                    </w:rPr>
                    <w:t>废塑料造粒生产产生的不合格产品及边角料</w:t>
                  </w:r>
                </w:p>
              </w:tc>
              <w:tc>
                <w:tcPr>
                  <w:tcW w:w="1520" w:type="dxa"/>
                  <w:tcBorders>
                    <w:tl2br w:val="nil"/>
                    <w:tr2bl w:val="nil"/>
                  </w:tcBorders>
                  <w:shd w:val="clear" w:color="auto" w:fill="auto"/>
                  <w:noWrap w:val="0"/>
                  <w:vAlign w:val="center"/>
                </w:tcPr>
                <w:p w14:paraId="4E644817">
                  <w:pPr>
                    <w:keepNext w:val="0"/>
                    <w:keepLines w:val="0"/>
                    <w:pageBreakBefore w:val="0"/>
                    <w:kinsoku/>
                    <w:wordWrap/>
                    <w:overflowPunct/>
                    <w:topLinePunct w:val="0"/>
                    <w:bidi w:val="0"/>
                    <w:spacing w:line="240" w:lineRule="auto"/>
                    <w:jc w:val="center"/>
                    <w:textAlignment w:val="auto"/>
                    <w:rPr>
                      <w:rFonts w:hint="eastAsia" w:ascii="Times New Roman" w:hAnsi="Times New Roman" w:eastAsia="Times New Roman" w:cs="Times New Roman"/>
                      <w:color w:val="auto"/>
                      <w:kern w:val="2"/>
                      <w:sz w:val="21"/>
                      <w:szCs w:val="21"/>
                      <w:lang w:val="zh-CN" w:eastAsia="zh-CN" w:bidi="ar-SA"/>
                    </w:rPr>
                  </w:pPr>
                  <w:r>
                    <w:rPr>
                      <w:rFonts w:hint="eastAsia" w:ascii="宋体" w:eastAsia="宋体"/>
                      <w:color w:val="auto"/>
                      <w:sz w:val="21"/>
                      <w:szCs w:val="21"/>
                      <w:lang w:val="en-US" w:eastAsia="zh-CN"/>
                    </w:rPr>
                    <w:t>244</w:t>
                  </w:r>
                </w:p>
              </w:tc>
              <w:tc>
                <w:tcPr>
                  <w:tcW w:w="1323" w:type="dxa"/>
                  <w:tcBorders>
                    <w:tl2br w:val="nil"/>
                    <w:tr2bl w:val="nil"/>
                  </w:tcBorders>
                  <w:noWrap w:val="0"/>
                  <w:vAlign w:val="center"/>
                </w:tcPr>
                <w:p w14:paraId="3B2B1101">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244</w:t>
                  </w:r>
                </w:p>
              </w:tc>
              <w:tc>
                <w:tcPr>
                  <w:tcW w:w="1323" w:type="dxa"/>
                  <w:tcBorders>
                    <w:tl2br w:val="nil"/>
                    <w:tr2bl w:val="nil"/>
                  </w:tcBorders>
                  <w:noWrap w:val="0"/>
                  <w:vAlign w:val="center"/>
                </w:tcPr>
                <w:p w14:paraId="0A7591D4">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505424AC">
                  <w:pPr>
                    <w:pStyle w:val="40"/>
                    <w:autoSpaceDE w:val="0"/>
                    <w:autoSpaceDN w:val="0"/>
                    <w:spacing w:beforeLines="0" w:afterLines="0" w:line="288" w:lineRule="auto"/>
                    <w:ind w:firstLine="0" w:firstLineChars="0"/>
                    <w:rPr>
                      <w:rFonts w:hint="default"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244</w:t>
                  </w:r>
                </w:p>
              </w:tc>
              <w:tc>
                <w:tcPr>
                  <w:tcW w:w="1173" w:type="dxa"/>
                  <w:tcBorders>
                    <w:tl2br w:val="nil"/>
                    <w:tr2bl w:val="nil"/>
                  </w:tcBorders>
                  <w:noWrap w:val="0"/>
                  <w:vAlign w:val="center"/>
                </w:tcPr>
                <w:p w14:paraId="477FE287">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r>
            <w:tr w14:paraId="3926624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76BF4D0A">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1FEB7462">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bCs/>
                      <w:color w:val="auto"/>
                      <w:szCs w:val="21"/>
                    </w:rPr>
                    <w:t>废滤网</w:t>
                  </w:r>
                </w:p>
              </w:tc>
              <w:tc>
                <w:tcPr>
                  <w:tcW w:w="1520" w:type="dxa"/>
                  <w:tcBorders>
                    <w:tl2br w:val="nil"/>
                    <w:tr2bl w:val="nil"/>
                  </w:tcBorders>
                  <w:shd w:val="clear" w:color="auto" w:fill="auto"/>
                  <w:noWrap w:val="0"/>
                  <w:vAlign w:val="center"/>
                </w:tcPr>
                <w:p w14:paraId="321BE14A">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color w:val="auto"/>
                      <w:szCs w:val="21"/>
                    </w:rPr>
                    <w:t>0.36</w:t>
                  </w:r>
                </w:p>
              </w:tc>
              <w:tc>
                <w:tcPr>
                  <w:tcW w:w="1323" w:type="dxa"/>
                  <w:tcBorders>
                    <w:tl2br w:val="nil"/>
                    <w:tr2bl w:val="nil"/>
                  </w:tcBorders>
                  <w:noWrap w:val="0"/>
                  <w:vAlign w:val="center"/>
                </w:tcPr>
                <w:p w14:paraId="5C9032BB">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323" w:type="dxa"/>
                  <w:tcBorders>
                    <w:tl2br w:val="nil"/>
                    <w:tr2bl w:val="nil"/>
                  </w:tcBorders>
                  <w:noWrap w:val="0"/>
                  <w:vAlign w:val="center"/>
                </w:tcPr>
                <w:p w14:paraId="2943ABEF">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71008E8A">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hAnsi="Times New Roman" w:eastAsia="宋体" w:cs="Times New Roman"/>
                      <w:color w:val="auto"/>
                      <w:kern w:val="0"/>
                      <w:sz w:val="21"/>
                      <w:szCs w:val="21"/>
                      <w:lang w:val="en-US" w:eastAsia="zh-CN" w:bidi="ar-SA"/>
                    </w:rPr>
                    <w:t>1</w:t>
                  </w:r>
                </w:p>
              </w:tc>
              <w:tc>
                <w:tcPr>
                  <w:tcW w:w="1173" w:type="dxa"/>
                  <w:tcBorders>
                    <w:tl2br w:val="nil"/>
                    <w:tr2bl w:val="nil"/>
                  </w:tcBorders>
                  <w:noWrap w:val="0"/>
                  <w:vAlign w:val="center"/>
                </w:tcPr>
                <w:p w14:paraId="07D358B4">
                  <w:pPr>
                    <w:pStyle w:val="40"/>
                    <w:autoSpaceDE w:val="0"/>
                    <w:autoSpaceDN w:val="0"/>
                    <w:spacing w:beforeLines="0" w:afterLines="0" w:line="288" w:lineRule="auto"/>
                    <w:rPr>
                      <w:rFonts w:hint="default" w:ascii="Times New Roman" w:hAnsi="Times New Roman" w:eastAsia="Times New Roman" w:cs="Times New Roman"/>
                      <w:color w:val="auto"/>
                      <w:kern w:val="0"/>
                      <w:sz w:val="21"/>
                      <w:szCs w:val="21"/>
                      <w:lang w:val="en-US" w:eastAsia="zh-CN" w:bidi="ar-SA"/>
                    </w:rPr>
                  </w:pPr>
                  <w:r>
                    <w:rPr>
                      <w:rFonts w:hint="eastAsia" w:ascii="Times New Roman" w:hAnsi="Times New Roman" w:eastAsia="Times New Roman" w:cs="Times New Roman"/>
                      <w:color w:val="auto"/>
                      <w:kern w:val="0"/>
                      <w:sz w:val="21"/>
                      <w:szCs w:val="21"/>
                      <w:lang w:val="en-US" w:eastAsia="zh-CN" w:bidi="ar-SA"/>
                    </w:rPr>
                    <w:t>+0.64</w:t>
                  </w:r>
                </w:p>
              </w:tc>
            </w:tr>
            <w:tr w14:paraId="30998F3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2E45F859">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7C68A23B">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bCs/>
                      <w:color w:val="auto"/>
                      <w:szCs w:val="21"/>
                    </w:rPr>
                    <w:t>废活性炭</w:t>
                  </w:r>
                </w:p>
              </w:tc>
              <w:tc>
                <w:tcPr>
                  <w:tcW w:w="1520" w:type="dxa"/>
                  <w:tcBorders>
                    <w:tl2br w:val="nil"/>
                    <w:tr2bl w:val="nil"/>
                  </w:tcBorders>
                  <w:shd w:val="clear" w:color="auto" w:fill="auto"/>
                  <w:noWrap w:val="0"/>
                  <w:vAlign w:val="center"/>
                </w:tcPr>
                <w:p w14:paraId="47041C45">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color w:val="auto"/>
                      <w:szCs w:val="21"/>
                    </w:rPr>
                    <w:t>14.3325</w:t>
                  </w:r>
                </w:p>
              </w:tc>
              <w:tc>
                <w:tcPr>
                  <w:tcW w:w="1323" w:type="dxa"/>
                  <w:tcBorders>
                    <w:tl2br w:val="nil"/>
                    <w:tr2bl w:val="nil"/>
                  </w:tcBorders>
                  <w:noWrap w:val="0"/>
                  <w:vAlign w:val="center"/>
                </w:tcPr>
                <w:p w14:paraId="11DF0A2E">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12.78</w:t>
                  </w:r>
                </w:p>
              </w:tc>
              <w:tc>
                <w:tcPr>
                  <w:tcW w:w="1323" w:type="dxa"/>
                  <w:tcBorders>
                    <w:tl2br w:val="nil"/>
                    <w:tr2bl w:val="nil"/>
                  </w:tcBorders>
                  <w:noWrap w:val="0"/>
                  <w:vAlign w:val="center"/>
                </w:tcPr>
                <w:p w14:paraId="660927BE">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宋体" w:hAnsi="Times New Roman" w:eastAsia="宋体" w:cs="宋体"/>
                      <w:color w:val="auto"/>
                      <w:kern w:val="2"/>
                      <w:sz w:val="21"/>
                      <w:szCs w:val="21"/>
                      <w:lang w:val="en-US" w:eastAsia="zh-CN" w:bidi="ar-SA"/>
                    </w:rPr>
                  </w:pPr>
                  <w:r>
                    <w:rPr>
                      <w:rFonts w:hint="eastAsia" w:ascii="宋体" w:hAnsi="Times New Roman" w:eastAsia="宋体" w:cs="宋体"/>
                      <w:color w:val="auto"/>
                      <w:kern w:val="2"/>
                      <w:sz w:val="21"/>
                      <w:szCs w:val="21"/>
                      <w:lang w:val="en-US" w:eastAsia="zh-CN" w:bidi="ar-SA"/>
                    </w:rPr>
                    <w:t>1.5525</w:t>
                  </w:r>
                </w:p>
              </w:tc>
              <w:tc>
                <w:tcPr>
                  <w:tcW w:w="1243" w:type="dxa"/>
                  <w:tcBorders>
                    <w:tl2br w:val="nil"/>
                    <w:tr2bl w:val="nil"/>
                  </w:tcBorders>
                  <w:shd w:val="clear" w:color="auto" w:fill="auto"/>
                  <w:noWrap w:val="0"/>
                  <w:vAlign w:val="center"/>
                </w:tcPr>
                <w:p w14:paraId="68E59C6A">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hAnsi="Times New Roman" w:eastAsia="宋体" w:cs="Times New Roman"/>
                      <w:color w:val="auto"/>
                      <w:kern w:val="0"/>
                      <w:sz w:val="21"/>
                      <w:szCs w:val="21"/>
                      <w:lang w:val="en-US" w:eastAsia="zh-CN" w:bidi="ar-SA"/>
                    </w:rPr>
                    <w:t>12.78</w:t>
                  </w:r>
                </w:p>
              </w:tc>
              <w:tc>
                <w:tcPr>
                  <w:tcW w:w="1173" w:type="dxa"/>
                  <w:tcBorders>
                    <w:tl2br w:val="nil"/>
                    <w:tr2bl w:val="nil"/>
                  </w:tcBorders>
                  <w:noWrap w:val="0"/>
                  <w:vAlign w:val="center"/>
                </w:tcPr>
                <w:p w14:paraId="4291B50D">
                  <w:pPr>
                    <w:pStyle w:val="40"/>
                    <w:autoSpaceDE w:val="0"/>
                    <w:autoSpaceDN w:val="0"/>
                    <w:spacing w:beforeLines="0" w:afterLines="0" w:line="288" w:lineRule="auto"/>
                    <w:rPr>
                      <w:rFonts w:hint="eastAsia" w:ascii="宋体" w:hAnsi="Times New Roman" w:eastAsia="宋体" w:cs="宋体"/>
                      <w:color w:val="auto"/>
                      <w:kern w:val="2"/>
                      <w:sz w:val="21"/>
                      <w:szCs w:val="21"/>
                      <w:lang w:val="zh-CN" w:eastAsia="zh-CN" w:bidi="ar-SA"/>
                    </w:rPr>
                  </w:pPr>
                  <w:r>
                    <w:rPr>
                      <w:rFonts w:hint="eastAsia" w:ascii="宋体" w:hAnsi="Times New Roman" w:eastAsia="宋体" w:cs="宋体"/>
                      <w:color w:val="auto"/>
                      <w:kern w:val="2"/>
                      <w:sz w:val="21"/>
                      <w:szCs w:val="21"/>
                      <w:lang w:val="en-US" w:eastAsia="zh-CN" w:bidi="ar-SA"/>
                    </w:rPr>
                    <w:t>-1.5525</w:t>
                  </w:r>
                </w:p>
              </w:tc>
            </w:tr>
            <w:tr w14:paraId="5A43482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19E151C0">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4150ED79">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bCs/>
                      <w:color w:val="auto"/>
                      <w:kern w:val="0"/>
                      <w:szCs w:val="21"/>
                    </w:rPr>
                    <w:t>废机油</w:t>
                  </w:r>
                </w:p>
              </w:tc>
              <w:tc>
                <w:tcPr>
                  <w:tcW w:w="1520" w:type="dxa"/>
                  <w:tcBorders>
                    <w:tl2br w:val="nil"/>
                    <w:tr2bl w:val="nil"/>
                  </w:tcBorders>
                  <w:shd w:val="clear" w:color="auto" w:fill="auto"/>
                  <w:noWrap w:val="0"/>
                  <w:vAlign w:val="center"/>
                </w:tcPr>
                <w:p w14:paraId="74BFE873">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color w:val="auto"/>
                      <w:szCs w:val="21"/>
                    </w:rPr>
                    <w:t>0.02</w:t>
                  </w:r>
                </w:p>
              </w:tc>
              <w:tc>
                <w:tcPr>
                  <w:tcW w:w="1323" w:type="dxa"/>
                  <w:tcBorders>
                    <w:tl2br w:val="nil"/>
                    <w:tr2bl w:val="nil"/>
                  </w:tcBorders>
                  <w:noWrap w:val="0"/>
                  <w:vAlign w:val="center"/>
                </w:tcPr>
                <w:p w14:paraId="1FE54B28">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0.02</w:t>
                  </w:r>
                </w:p>
              </w:tc>
              <w:tc>
                <w:tcPr>
                  <w:tcW w:w="1323" w:type="dxa"/>
                  <w:tcBorders>
                    <w:tl2br w:val="nil"/>
                    <w:tr2bl w:val="nil"/>
                  </w:tcBorders>
                  <w:noWrap w:val="0"/>
                  <w:vAlign w:val="center"/>
                </w:tcPr>
                <w:p w14:paraId="39522522">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733F7D87">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hAnsi="Times New Roman" w:eastAsia="宋体" w:cs="Times New Roman"/>
                      <w:color w:val="auto"/>
                      <w:kern w:val="0"/>
                      <w:sz w:val="21"/>
                      <w:szCs w:val="21"/>
                      <w:lang w:val="en-US" w:eastAsia="zh-CN" w:bidi="ar-SA"/>
                    </w:rPr>
                    <w:t>0.02</w:t>
                  </w:r>
                </w:p>
              </w:tc>
              <w:tc>
                <w:tcPr>
                  <w:tcW w:w="1173" w:type="dxa"/>
                  <w:tcBorders>
                    <w:tl2br w:val="nil"/>
                    <w:tr2bl w:val="nil"/>
                  </w:tcBorders>
                  <w:noWrap w:val="0"/>
                  <w:vAlign w:val="center"/>
                </w:tcPr>
                <w:p w14:paraId="28C282B1">
                  <w:pPr>
                    <w:pStyle w:val="40"/>
                    <w:autoSpaceDE w:val="0"/>
                    <w:autoSpaceDN w:val="0"/>
                    <w:spacing w:beforeLines="0" w:afterLines="0" w:line="288" w:lineRule="auto"/>
                    <w:rPr>
                      <w:rFonts w:hint="default" w:ascii="宋体" w:hAnsi="Times New Roman" w:eastAsia="宋体" w:cs="Times New Roman"/>
                      <w:color w:val="auto"/>
                      <w:kern w:val="0"/>
                      <w:sz w:val="21"/>
                      <w:szCs w:val="21"/>
                      <w:lang w:val="en-US" w:eastAsia="zh-CN" w:bidi="ar-SA"/>
                    </w:rPr>
                  </w:pPr>
                  <w:r>
                    <w:rPr>
                      <w:rFonts w:hint="eastAsia" w:ascii="宋体" w:hAnsi="Times New Roman" w:eastAsia="宋体" w:cs="Times New Roman"/>
                      <w:color w:val="auto"/>
                      <w:kern w:val="0"/>
                      <w:sz w:val="21"/>
                      <w:szCs w:val="21"/>
                      <w:lang w:val="en-US" w:eastAsia="zh-CN" w:bidi="ar-SA"/>
                    </w:rPr>
                    <w:t>0</w:t>
                  </w:r>
                </w:p>
              </w:tc>
            </w:tr>
            <w:tr w14:paraId="0D616E2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2BD55A1D">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075B2748">
                  <w:pPr>
                    <w:tabs>
                      <w:tab w:val="left" w:pos="1640"/>
                      <w:tab w:val="center" w:pos="4153"/>
                    </w:tabs>
                    <w:adjustRightInd w:val="0"/>
                    <w:snapToGrid w:val="0"/>
                    <w:ind w:left="-105" w:leftChars="-50" w:right="-105" w:rightChars="-50"/>
                    <w:jc w:val="center"/>
                    <w:rPr>
                      <w:rFonts w:hint="eastAsia" w:eastAsia="宋体"/>
                      <w:bCs/>
                      <w:color w:val="auto"/>
                      <w:kern w:val="0"/>
                      <w:szCs w:val="21"/>
                      <w:lang w:val="en-US" w:eastAsia="zh-CN"/>
                    </w:rPr>
                  </w:pPr>
                  <w:r>
                    <w:rPr>
                      <w:rFonts w:hint="eastAsia"/>
                      <w:color w:val="auto"/>
                      <w:sz w:val="21"/>
                      <w:szCs w:val="21"/>
                      <w:lang w:bidi="ar"/>
                    </w:rPr>
                    <w:t>含油抹布及手套</w:t>
                  </w:r>
                </w:p>
              </w:tc>
              <w:tc>
                <w:tcPr>
                  <w:tcW w:w="1520" w:type="dxa"/>
                  <w:tcBorders>
                    <w:tl2br w:val="nil"/>
                    <w:tr2bl w:val="nil"/>
                  </w:tcBorders>
                  <w:shd w:val="clear" w:color="auto" w:fill="auto"/>
                  <w:noWrap w:val="0"/>
                  <w:vAlign w:val="center"/>
                </w:tcPr>
                <w:p w14:paraId="7B0C729E">
                  <w:pPr>
                    <w:tabs>
                      <w:tab w:val="left" w:pos="1640"/>
                      <w:tab w:val="center" w:pos="4153"/>
                    </w:tabs>
                    <w:adjustRightInd w:val="0"/>
                    <w:snapToGrid w:val="0"/>
                    <w:ind w:left="-105" w:leftChars="-50" w:right="-105" w:rightChars="-50"/>
                    <w:jc w:val="center"/>
                    <w:rPr>
                      <w:rFonts w:hint="default" w:eastAsia="宋体"/>
                      <w:color w:val="auto"/>
                      <w:szCs w:val="21"/>
                      <w:lang w:val="en-US" w:eastAsia="zh-CN"/>
                    </w:rPr>
                  </w:pPr>
                  <w:r>
                    <w:rPr>
                      <w:rFonts w:hint="eastAsia" w:eastAsia="宋体"/>
                      <w:color w:val="auto"/>
                      <w:szCs w:val="21"/>
                      <w:lang w:val="en-US" w:eastAsia="zh-CN"/>
                    </w:rPr>
                    <w:t>0.02</w:t>
                  </w:r>
                </w:p>
              </w:tc>
              <w:tc>
                <w:tcPr>
                  <w:tcW w:w="1323" w:type="dxa"/>
                  <w:tcBorders>
                    <w:tl2br w:val="nil"/>
                    <w:tr2bl w:val="nil"/>
                  </w:tcBorders>
                  <w:noWrap w:val="0"/>
                  <w:vAlign w:val="center"/>
                </w:tcPr>
                <w:p w14:paraId="01DA77F5">
                  <w:pPr>
                    <w:pStyle w:val="66"/>
                    <w:spacing w:beforeLines="0" w:afterLines="0" w:line="288"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c>
                <w:tcPr>
                  <w:tcW w:w="1323" w:type="dxa"/>
                  <w:tcBorders>
                    <w:tl2br w:val="nil"/>
                    <w:tr2bl w:val="nil"/>
                  </w:tcBorders>
                  <w:noWrap w:val="0"/>
                  <w:vAlign w:val="center"/>
                </w:tcPr>
                <w:p w14:paraId="3DCB3BD9">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180037A9">
                  <w:pPr>
                    <w:pStyle w:val="66"/>
                    <w:spacing w:beforeLines="0" w:afterLines="0" w:line="288" w:lineRule="auto"/>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kern w:val="2"/>
                      <w:sz w:val="21"/>
                      <w:szCs w:val="21"/>
                      <w:lang w:val="en-US" w:eastAsia="zh-CN" w:bidi="ar-SA"/>
                    </w:rPr>
                    <w:t>0.02</w:t>
                  </w:r>
                </w:p>
              </w:tc>
              <w:tc>
                <w:tcPr>
                  <w:tcW w:w="1173" w:type="dxa"/>
                  <w:tcBorders>
                    <w:tl2br w:val="nil"/>
                    <w:tr2bl w:val="nil"/>
                  </w:tcBorders>
                  <w:noWrap w:val="0"/>
                  <w:vAlign w:val="center"/>
                </w:tcPr>
                <w:p w14:paraId="3E6A83E0">
                  <w:pPr>
                    <w:pStyle w:val="66"/>
                    <w:spacing w:beforeLines="0" w:afterLines="0" w:line="288"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14:paraId="1732CC1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6162E431">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2884B2D8">
                  <w:pPr>
                    <w:tabs>
                      <w:tab w:val="left" w:pos="1640"/>
                      <w:tab w:val="center" w:pos="4153"/>
                    </w:tabs>
                    <w:adjustRightInd w:val="0"/>
                    <w:snapToGrid w:val="0"/>
                    <w:ind w:left="-105" w:leftChars="-50" w:right="-105" w:rightChars="-50"/>
                    <w:jc w:val="center"/>
                    <w:rPr>
                      <w:rFonts w:hint="eastAsia" w:ascii="Times New Roman" w:hAnsi="Times New Roman" w:eastAsia="宋体" w:cs="Times New Roman"/>
                      <w:bCs/>
                      <w:color w:val="auto"/>
                      <w:kern w:val="0"/>
                      <w:sz w:val="21"/>
                      <w:szCs w:val="21"/>
                      <w:lang w:val="zh-CN" w:eastAsia="zh-CN" w:bidi="ar-SA"/>
                    </w:rPr>
                  </w:pPr>
                  <w:r>
                    <w:rPr>
                      <w:rFonts w:hint="eastAsia" w:eastAsia="宋体"/>
                      <w:bCs/>
                      <w:color w:val="auto"/>
                      <w:kern w:val="0"/>
                      <w:szCs w:val="21"/>
                      <w:lang w:val="en-US" w:eastAsia="zh-CN"/>
                    </w:rPr>
                    <w:t>废包装材料</w:t>
                  </w:r>
                </w:p>
              </w:tc>
              <w:tc>
                <w:tcPr>
                  <w:tcW w:w="1520" w:type="dxa"/>
                  <w:tcBorders>
                    <w:tl2br w:val="nil"/>
                    <w:tr2bl w:val="nil"/>
                  </w:tcBorders>
                  <w:shd w:val="clear" w:color="auto" w:fill="auto"/>
                  <w:noWrap w:val="0"/>
                  <w:vAlign w:val="center"/>
                </w:tcPr>
                <w:p w14:paraId="223B36BB">
                  <w:pPr>
                    <w:tabs>
                      <w:tab w:val="left" w:pos="1640"/>
                      <w:tab w:val="center" w:pos="4153"/>
                    </w:tabs>
                    <w:adjustRightInd w:val="0"/>
                    <w:snapToGrid w:val="0"/>
                    <w:ind w:left="-105" w:leftChars="-50" w:right="-105" w:rightChars="-50"/>
                    <w:jc w:val="center"/>
                    <w:rPr>
                      <w:rFonts w:hint="eastAsia" w:ascii="Times New Roman" w:hAnsi="Times New Roman" w:eastAsia="宋体" w:cs="Times New Roman"/>
                      <w:color w:val="auto"/>
                      <w:kern w:val="2"/>
                      <w:sz w:val="21"/>
                      <w:szCs w:val="21"/>
                      <w:lang w:val="zh-CN" w:eastAsia="zh-CN" w:bidi="ar-SA"/>
                    </w:rPr>
                  </w:pPr>
                  <w:r>
                    <w:rPr>
                      <w:rFonts w:hint="eastAsia" w:eastAsia="宋体"/>
                      <w:color w:val="auto"/>
                      <w:szCs w:val="21"/>
                      <w:lang w:val="en-US" w:eastAsia="zh-CN"/>
                    </w:rPr>
                    <w:t>3.3</w:t>
                  </w:r>
                </w:p>
              </w:tc>
              <w:tc>
                <w:tcPr>
                  <w:tcW w:w="1323" w:type="dxa"/>
                  <w:tcBorders>
                    <w:tl2br w:val="nil"/>
                    <w:tr2bl w:val="nil"/>
                  </w:tcBorders>
                  <w:noWrap w:val="0"/>
                  <w:vAlign w:val="center"/>
                </w:tcPr>
                <w:p w14:paraId="4EB6C153">
                  <w:pPr>
                    <w:pStyle w:val="66"/>
                    <w:spacing w:beforeLines="0" w:afterLines="0" w:line="288"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w:t>
                  </w:r>
                </w:p>
              </w:tc>
              <w:tc>
                <w:tcPr>
                  <w:tcW w:w="1323" w:type="dxa"/>
                  <w:tcBorders>
                    <w:tl2br w:val="nil"/>
                    <w:tr2bl w:val="nil"/>
                  </w:tcBorders>
                  <w:noWrap w:val="0"/>
                  <w:vAlign w:val="center"/>
                </w:tcPr>
                <w:p w14:paraId="2DC53919">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666496C2">
                  <w:pPr>
                    <w:pStyle w:val="66"/>
                    <w:spacing w:beforeLines="0" w:afterLines="0" w:line="288" w:lineRule="auto"/>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kern w:val="2"/>
                      <w:sz w:val="21"/>
                      <w:szCs w:val="21"/>
                      <w:lang w:val="en-US" w:eastAsia="zh-CN" w:bidi="ar-SA"/>
                    </w:rPr>
                    <w:t>3.3</w:t>
                  </w:r>
                </w:p>
              </w:tc>
              <w:tc>
                <w:tcPr>
                  <w:tcW w:w="1173" w:type="dxa"/>
                  <w:tcBorders>
                    <w:tl2br w:val="nil"/>
                    <w:tr2bl w:val="nil"/>
                  </w:tcBorders>
                  <w:noWrap w:val="0"/>
                  <w:vAlign w:val="center"/>
                </w:tcPr>
                <w:p w14:paraId="5F74CBDF">
                  <w:pPr>
                    <w:pStyle w:val="66"/>
                    <w:spacing w:beforeLines="0" w:afterLines="0" w:line="288" w:lineRule="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14:paraId="1150F4B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4D197386">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3D6A13AE">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bCs/>
                      <w:color w:val="auto"/>
                      <w:szCs w:val="21"/>
                    </w:rPr>
                    <w:t>不可利用固体废物</w:t>
                  </w:r>
                </w:p>
              </w:tc>
              <w:tc>
                <w:tcPr>
                  <w:tcW w:w="1520" w:type="dxa"/>
                  <w:tcBorders>
                    <w:tl2br w:val="nil"/>
                    <w:tr2bl w:val="nil"/>
                  </w:tcBorders>
                  <w:shd w:val="clear" w:color="auto" w:fill="auto"/>
                  <w:noWrap w:val="0"/>
                  <w:vAlign w:val="center"/>
                </w:tcPr>
                <w:p w14:paraId="04055CF1">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color w:val="auto"/>
                      <w:szCs w:val="21"/>
                    </w:rPr>
                    <w:t>3043.17</w:t>
                  </w:r>
                </w:p>
              </w:tc>
              <w:tc>
                <w:tcPr>
                  <w:tcW w:w="1323" w:type="dxa"/>
                  <w:tcBorders>
                    <w:tl2br w:val="nil"/>
                    <w:tr2bl w:val="nil"/>
                  </w:tcBorders>
                  <w:noWrap w:val="0"/>
                  <w:vAlign w:val="center"/>
                </w:tcPr>
                <w:p w14:paraId="60FDEB0A">
                  <w:pPr>
                    <w:pStyle w:val="40"/>
                    <w:autoSpaceDE w:val="0"/>
                    <w:autoSpaceDN w:val="0"/>
                    <w:spacing w:beforeLines="0" w:afterLines="0" w:line="288" w:lineRule="auto"/>
                    <w:rPr>
                      <w:rFonts w:hint="eastAsia" w:ascii="Times New Roman" w:hAnsi="Times New Roman" w:eastAsia="宋体" w:cs="Times New Roman"/>
                      <w:color w:val="auto"/>
                      <w:kern w:val="0"/>
                      <w:sz w:val="21"/>
                      <w:szCs w:val="21"/>
                      <w:lang w:val="zh-CN" w:eastAsia="zh-CN" w:bidi="ar-SA"/>
                    </w:rPr>
                  </w:pPr>
                  <w:r>
                    <w:rPr>
                      <w:rFonts w:hint="eastAsia" w:ascii="Times New Roman" w:eastAsia="宋体"/>
                      <w:color w:val="auto"/>
                      <w:sz w:val="21"/>
                      <w:szCs w:val="21"/>
                      <w:lang w:val="en-US" w:eastAsia="zh-CN"/>
                    </w:rPr>
                    <w:t>2195.831</w:t>
                  </w:r>
                </w:p>
              </w:tc>
              <w:tc>
                <w:tcPr>
                  <w:tcW w:w="1323" w:type="dxa"/>
                  <w:tcBorders>
                    <w:tl2br w:val="nil"/>
                    <w:tr2bl w:val="nil"/>
                  </w:tcBorders>
                  <w:noWrap w:val="0"/>
                  <w:vAlign w:val="center"/>
                </w:tcPr>
                <w:p w14:paraId="23EB793F">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847.339</w:t>
                  </w:r>
                </w:p>
              </w:tc>
              <w:tc>
                <w:tcPr>
                  <w:tcW w:w="1243" w:type="dxa"/>
                  <w:tcBorders>
                    <w:tl2br w:val="nil"/>
                    <w:tr2bl w:val="nil"/>
                  </w:tcBorders>
                  <w:shd w:val="clear" w:color="auto" w:fill="auto"/>
                  <w:noWrap w:val="0"/>
                  <w:vAlign w:val="center"/>
                </w:tcPr>
                <w:p w14:paraId="3246DD21">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eastAsia="宋体"/>
                      <w:color w:val="auto"/>
                      <w:sz w:val="21"/>
                      <w:szCs w:val="21"/>
                      <w:lang w:val="en-US" w:eastAsia="zh-CN"/>
                    </w:rPr>
                    <w:t>2195.831</w:t>
                  </w:r>
                </w:p>
              </w:tc>
              <w:tc>
                <w:tcPr>
                  <w:tcW w:w="1173" w:type="dxa"/>
                  <w:tcBorders>
                    <w:tl2br w:val="nil"/>
                    <w:tr2bl w:val="nil"/>
                  </w:tcBorders>
                  <w:noWrap w:val="0"/>
                  <w:vAlign w:val="center"/>
                </w:tcPr>
                <w:p w14:paraId="69CED401">
                  <w:pPr>
                    <w:pStyle w:val="40"/>
                    <w:autoSpaceDE w:val="0"/>
                    <w:autoSpaceDN w:val="0"/>
                    <w:spacing w:beforeLines="0" w:afterLines="0" w:line="288" w:lineRule="auto"/>
                    <w:rPr>
                      <w:rFonts w:hint="default" w:ascii="宋体" w:hAnsi="Times New Roman" w:eastAsia="宋体" w:cs="宋体"/>
                      <w:color w:val="auto"/>
                      <w:kern w:val="2"/>
                      <w:sz w:val="21"/>
                      <w:szCs w:val="21"/>
                      <w:lang w:val="en-US" w:eastAsia="zh-CN" w:bidi="ar-SA"/>
                    </w:rPr>
                  </w:pPr>
                  <w:r>
                    <w:rPr>
                      <w:rFonts w:hint="eastAsia" w:ascii="宋体" w:hAnsi="Times New Roman" w:eastAsia="宋体" w:cs="宋体"/>
                      <w:color w:val="auto"/>
                      <w:kern w:val="2"/>
                      <w:sz w:val="21"/>
                      <w:szCs w:val="21"/>
                      <w:lang w:val="en-US" w:eastAsia="zh-CN" w:bidi="ar-SA"/>
                    </w:rPr>
                    <w:t>-</w:t>
                  </w:r>
                  <w:r>
                    <w:rPr>
                      <w:rFonts w:hint="eastAsia" w:ascii="Times New Roman" w:hAnsi="Times New Roman" w:eastAsia="宋体" w:cs="宋体"/>
                      <w:color w:val="auto"/>
                      <w:kern w:val="2"/>
                      <w:sz w:val="21"/>
                      <w:szCs w:val="21"/>
                      <w:lang w:val="en-US" w:eastAsia="zh-CN" w:bidi="ar-SA"/>
                    </w:rPr>
                    <w:t>847.339</w:t>
                  </w:r>
                </w:p>
              </w:tc>
            </w:tr>
            <w:tr w14:paraId="21E3795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40E488B6">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5FA1BA73">
                  <w:pPr>
                    <w:tabs>
                      <w:tab w:val="left" w:pos="1640"/>
                      <w:tab w:val="center" w:pos="4153"/>
                    </w:tabs>
                    <w:adjustRightInd w:val="0"/>
                    <w:snapToGrid w:val="0"/>
                    <w:ind w:left="-105" w:leftChars="-50" w:right="-105" w:rightChars="-50"/>
                    <w:jc w:val="center"/>
                    <w:rPr>
                      <w:rFonts w:hint="eastAsia" w:ascii="Times New Roman" w:hAnsi="Times New Roman" w:eastAsia="Times New Roman" w:cs="Times New Roman"/>
                      <w:color w:val="auto"/>
                      <w:kern w:val="2"/>
                      <w:sz w:val="21"/>
                      <w:szCs w:val="21"/>
                      <w:lang w:val="zh-CN" w:eastAsia="zh-CN" w:bidi="ar-SA"/>
                    </w:rPr>
                  </w:pPr>
                  <w:r>
                    <w:rPr>
                      <w:rFonts w:hint="eastAsia"/>
                      <w:bCs/>
                      <w:color w:val="auto"/>
                      <w:szCs w:val="21"/>
                    </w:rPr>
                    <w:t>循环水池产生的泥渣</w:t>
                  </w:r>
                </w:p>
              </w:tc>
              <w:tc>
                <w:tcPr>
                  <w:tcW w:w="1520" w:type="dxa"/>
                  <w:tcBorders>
                    <w:tl2br w:val="nil"/>
                    <w:tr2bl w:val="nil"/>
                  </w:tcBorders>
                  <w:shd w:val="clear" w:color="auto" w:fill="auto"/>
                  <w:noWrap w:val="0"/>
                  <w:vAlign w:val="center"/>
                </w:tcPr>
                <w:p w14:paraId="1C5D2C4B">
                  <w:pPr>
                    <w:tabs>
                      <w:tab w:val="left" w:pos="1640"/>
                      <w:tab w:val="center" w:pos="4153"/>
                    </w:tabs>
                    <w:adjustRightInd w:val="0"/>
                    <w:snapToGrid w:val="0"/>
                    <w:ind w:left="-105" w:leftChars="-50" w:right="-105" w:rightChars="-50"/>
                    <w:jc w:val="center"/>
                    <w:rPr>
                      <w:rFonts w:hint="eastAsia" w:ascii="宋体" w:hAnsi="Times New Roman" w:eastAsia="宋体" w:cs="Times New Roman"/>
                      <w:color w:val="auto"/>
                      <w:kern w:val="2"/>
                      <w:sz w:val="21"/>
                      <w:szCs w:val="21"/>
                      <w:lang w:val="zh-CN" w:eastAsia="zh-CN" w:bidi="ar-SA"/>
                    </w:rPr>
                  </w:pPr>
                  <w:r>
                    <w:rPr>
                      <w:rFonts w:hint="eastAsia"/>
                      <w:color w:val="auto"/>
                      <w:szCs w:val="21"/>
                    </w:rPr>
                    <w:t>8</w:t>
                  </w:r>
                </w:p>
              </w:tc>
              <w:tc>
                <w:tcPr>
                  <w:tcW w:w="1323" w:type="dxa"/>
                  <w:tcBorders>
                    <w:tl2br w:val="nil"/>
                    <w:tr2bl w:val="nil"/>
                  </w:tcBorders>
                  <w:noWrap w:val="0"/>
                  <w:vAlign w:val="center"/>
                </w:tcPr>
                <w:p w14:paraId="26DF98B6">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w:t>
                  </w:r>
                </w:p>
              </w:tc>
              <w:tc>
                <w:tcPr>
                  <w:tcW w:w="1323" w:type="dxa"/>
                  <w:tcBorders>
                    <w:tl2br w:val="nil"/>
                    <w:tr2bl w:val="nil"/>
                  </w:tcBorders>
                  <w:noWrap w:val="0"/>
                  <w:vAlign w:val="center"/>
                </w:tcPr>
                <w:p w14:paraId="6214627C">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2BA14116">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hAnsi="Times New Roman" w:eastAsia="宋体" w:cs="Times New Roman"/>
                      <w:color w:val="auto"/>
                      <w:kern w:val="0"/>
                      <w:sz w:val="21"/>
                      <w:szCs w:val="21"/>
                      <w:lang w:val="en-US" w:eastAsia="zh-CN" w:bidi="ar-SA"/>
                    </w:rPr>
                    <w:t>8</w:t>
                  </w:r>
                </w:p>
              </w:tc>
              <w:tc>
                <w:tcPr>
                  <w:tcW w:w="1173" w:type="dxa"/>
                  <w:tcBorders>
                    <w:tl2br w:val="nil"/>
                    <w:tr2bl w:val="nil"/>
                  </w:tcBorders>
                  <w:noWrap w:val="0"/>
                  <w:vAlign w:val="center"/>
                </w:tcPr>
                <w:p w14:paraId="3EC4ED9A">
                  <w:pPr>
                    <w:pStyle w:val="40"/>
                    <w:autoSpaceDE w:val="0"/>
                    <w:autoSpaceDN w:val="0"/>
                    <w:spacing w:beforeLines="0" w:afterLines="0" w:line="288" w:lineRule="auto"/>
                    <w:rPr>
                      <w:rFonts w:hint="default" w:ascii="宋体" w:hAnsi="Times New Roman" w:eastAsia="宋体" w:cs="宋体"/>
                      <w:color w:val="auto"/>
                      <w:kern w:val="2"/>
                      <w:sz w:val="21"/>
                      <w:szCs w:val="21"/>
                      <w:lang w:val="en-US" w:eastAsia="zh-CN" w:bidi="ar-SA"/>
                    </w:rPr>
                  </w:pPr>
                  <w:r>
                    <w:rPr>
                      <w:rFonts w:hint="eastAsia" w:ascii="宋体" w:hAnsi="Times New Roman" w:eastAsia="宋体" w:cs="宋体"/>
                      <w:color w:val="auto"/>
                      <w:kern w:val="2"/>
                      <w:sz w:val="21"/>
                      <w:szCs w:val="21"/>
                      <w:lang w:val="en-US" w:eastAsia="zh-CN" w:bidi="ar-SA"/>
                    </w:rPr>
                    <w:t>0</w:t>
                  </w:r>
                </w:p>
              </w:tc>
            </w:tr>
            <w:tr w14:paraId="43F43AE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5E9936AC">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6FAD00BC">
                  <w:pPr>
                    <w:tabs>
                      <w:tab w:val="left" w:pos="1640"/>
                      <w:tab w:val="center" w:pos="4153"/>
                    </w:tabs>
                    <w:adjustRightInd w:val="0"/>
                    <w:snapToGrid w:val="0"/>
                    <w:ind w:left="-105" w:leftChars="-50" w:right="-105" w:rightChars="-50"/>
                    <w:jc w:val="center"/>
                    <w:rPr>
                      <w:rFonts w:hint="eastAsia"/>
                      <w:bCs/>
                      <w:color w:val="auto"/>
                      <w:szCs w:val="21"/>
                    </w:rPr>
                  </w:pPr>
                  <w:r>
                    <w:rPr>
                      <w:rFonts w:hint="eastAsia"/>
                      <w:color w:val="auto"/>
                      <w:sz w:val="21"/>
                      <w:szCs w:val="21"/>
                      <w:lang w:bidi="ar"/>
                    </w:rPr>
                    <w:t>分</w:t>
                  </w:r>
                  <w:r>
                    <w:rPr>
                      <w:rFonts w:hint="eastAsia" w:eastAsia="宋体"/>
                      <w:color w:val="auto"/>
                      <w:sz w:val="21"/>
                      <w:szCs w:val="21"/>
                      <w:lang w:val="en-US" w:eastAsia="zh-CN" w:bidi="ar"/>
                    </w:rPr>
                    <w:t>选</w:t>
                  </w:r>
                  <w:r>
                    <w:rPr>
                      <w:rFonts w:hint="eastAsia"/>
                      <w:color w:val="auto"/>
                      <w:sz w:val="21"/>
                      <w:szCs w:val="21"/>
                      <w:lang w:bidi="ar"/>
                    </w:rPr>
                    <w:t>杂物</w:t>
                  </w:r>
                </w:p>
              </w:tc>
              <w:tc>
                <w:tcPr>
                  <w:tcW w:w="1520" w:type="dxa"/>
                  <w:tcBorders>
                    <w:tl2br w:val="nil"/>
                    <w:tr2bl w:val="nil"/>
                  </w:tcBorders>
                  <w:shd w:val="clear" w:color="auto" w:fill="auto"/>
                  <w:noWrap w:val="0"/>
                  <w:vAlign w:val="center"/>
                </w:tcPr>
                <w:p w14:paraId="371C3E9B">
                  <w:pPr>
                    <w:tabs>
                      <w:tab w:val="left" w:pos="1640"/>
                      <w:tab w:val="center" w:pos="4153"/>
                    </w:tabs>
                    <w:adjustRightInd w:val="0"/>
                    <w:snapToGrid w:val="0"/>
                    <w:ind w:left="-105" w:leftChars="-50" w:right="-105" w:rightChars="-50"/>
                    <w:jc w:val="center"/>
                    <w:rPr>
                      <w:rFonts w:hint="eastAsia" w:eastAsia="宋体"/>
                      <w:color w:val="auto"/>
                      <w:szCs w:val="21"/>
                      <w:lang w:val="en-US" w:eastAsia="zh-CN"/>
                    </w:rPr>
                  </w:pPr>
                  <w:r>
                    <w:rPr>
                      <w:rFonts w:hint="eastAsia" w:eastAsia="宋体"/>
                      <w:color w:val="auto"/>
                      <w:szCs w:val="21"/>
                      <w:lang w:val="en-US" w:eastAsia="zh-CN"/>
                    </w:rPr>
                    <w:t>0</w:t>
                  </w:r>
                </w:p>
              </w:tc>
              <w:tc>
                <w:tcPr>
                  <w:tcW w:w="1323" w:type="dxa"/>
                  <w:tcBorders>
                    <w:tl2br w:val="nil"/>
                    <w:tr2bl w:val="nil"/>
                  </w:tcBorders>
                  <w:noWrap w:val="0"/>
                  <w:vAlign w:val="center"/>
                </w:tcPr>
                <w:p w14:paraId="6B38D99E">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100</w:t>
                  </w:r>
                </w:p>
              </w:tc>
              <w:tc>
                <w:tcPr>
                  <w:tcW w:w="1323" w:type="dxa"/>
                  <w:tcBorders>
                    <w:tl2br w:val="nil"/>
                    <w:tr2bl w:val="nil"/>
                  </w:tcBorders>
                  <w:noWrap w:val="0"/>
                  <w:vAlign w:val="center"/>
                </w:tcPr>
                <w:p w14:paraId="1376CEA0">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7F71183B">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hAnsi="Times New Roman" w:eastAsia="宋体" w:cs="Times New Roman"/>
                      <w:color w:val="auto"/>
                      <w:kern w:val="0"/>
                      <w:sz w:val="21"/>
                      <w:szCs w:val="21"/>
                      <w:lang w:val="en-US" w:eastAsia="zh-CN" w:bidi="ar-SA"/>
                    </w:rPr>
                    <w:t>100</w:t>
                  </w:r>
                </w:p>
              </w:tc>
              <w:tc>
                <w:tcPr>
                  <w:tcW w:w="1173" w:type="dxa"/>
                  <w:tcBorders>
                    <w:tl2br w:val="nil"/>
                    <w:tr2bl w:val="nil"/>
                  </w:tcBorders>
                  <w:noWrap w:val="0"/>
                  <w:vAlign w:val="center"/>
                </w:tcPr>
                <w:p w14:paraId="7E1293C0">
                  <w:pPr>
                    <w:pStyle w:val="40"/>
                    <w:autoSpaceDE w:val="0"/>
                    <w:autoSpaceDN w:val="0"/>
                    <w:spacing w:beforeLines="0" w:afterLines="0" w:line="288" w:lineRule="auto"/>
                    <w:rPr>
                      <w:rFonts w:hint="default" w:ascii="宋体" w:hAnsi="Times New Roman" w:eastAsia="宋体" w:cs="宋体"/>
                      <w:color w:val="auto"/>
                      <w:kern w:val="2"/>
                      <w:sz w:val="21"/>
                      <w:szCs w:val="21"/>
                      <w:lang w:val="en-US" w:eastAsia="zh-CN" w:bidi="ar-SA"/>
                    </w:rPr>
                  </w:pPr>
                  <w:r>
                    <w:rPr>
                      <w:rFonts w:hint="eastAsia" w:ascii="宋体" w:hAnsi="Times New Roman" w:eastAsia="宋体" w:cs="宋体"/>
                      <w:color w:val="auto"/>
                      <w:kern w:val="2"/>
                      <w:sz w:val="21"/>
                      <w:szCs w:val="21"/>
                      <w:lang w:val="en-US" w:eastAsia="zh-CN" w:bidi="ar-SA"/>
                    </w:rPr>
                    <w:t>+100</w:t>
                  </w:r>
                </w:p>
              </w:tc>
            </w:tr>
            <w:tr w14:paraId="53627F3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3BCBA3CC">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73F823A5">
                  <w:pPr>
                    <w:tabs>
                      <w:tab w:val="left" w:pos="1640"/>
                      <w:tab w:val="center" w:pos="4153"/>
                    </w:tabs>
                    <w:adjustRightInd w:val="0"/>
                    <w:snapToGrid w:val="0"/>
                    <w:ind w:left="-105" w:leftChars="-50" w:right="-105" w:rightChars="-50"/>
                    <w:jc w:val="center"/>
                    <w:rPr>
                      <w:rFonts w:hint="eastAsia"/>
                      <w:bCs/>
                      <w:color w:val="auto"/>
                      <w:szCs w:val="21"/>
                    </w:rPr>
                  </w:pPr>
                  <w:r>
                    <w:rPr>
                      <w:rFonts w:hint="eastAsia"/>
                      <w:color w:val="auto"/>
                      <w:sz w:val="21"/>
                      <w:szCs w:val="21"/>
                      <w:lang w:bidi="ar"/>
                    </w:rPr>
                    <w:t>废油桶</w:t>
                  </w:r>
                </w:p>
              </w:tc>
              <w:tc>
                <w:tcPr>
                  <w:tcW w:w="1520" w:type="dxa"/>
                  <w:tcBorders>
                    <w:tl2br w:val="nil"/>
                    <w:tr2bl w:val="nil"/>
                  </w:tcBorders>
                  <w:shd w:val="clear" w:color="auto" w:fill="auto"/>
                  <w:noWrap w:val="0"/>
                  <w:vAlign w:val="center"/>
                </w:tcPr>
                <w:p w14:paraId="2B083799">
                  <w:pPr>
                    <w:tabs>
                      <w:tab w:val="left" w:pos="1640"/>
                      <w:tab w:val="center" w:pos="4153"/>
                    </w:tabs>
                    <w:adjustRightInd w:val="0"/>
                    <w:snapToGrid w:val="0"/>
                    <w:ind w:left="-105" w:leftChars="-50" w:right="-105" w:rightChars="-50"/>
                    <w:jc w:val="center"/>
                    <w:rPr>
                      <w:rFonts w:hint="eastAsia" w:eastAsia="宋体"/>
                      <w:color w:val="auto"/>
                      <w:szCs w:val="21"/>
                      <w:lang w:val="en-US" w:eastAsia="zh-CN"/>
                    </w:rPr>
                  </w:pPr>
                  <w:r>
                    <w:rPr>
                      <w:rFonts w:hint="eastAsia" w:eastAsia="宋体"/>
                      <w:color w:val="auto"/>
                      <w:szCs w:val="21"/>
                      <w:lang w:val="en-US" w:eastAsia="zh-CN"/>
                    </w:rPr>
                    <w:t>0</w:t>
                  </w:r>
                </w:p>
              </w:tc>
              <w:tc>
                <w:tcPr>
                  <w:tcW w:w="1323" w:type="dxa"/>
                  <w:tcBorders>
                    <w:tl2br w:val="nil"/>
                    <w:tr2bl w:val="nil"/>
                  </w:tcBorders>
                  <w:noWrap w:val="0"/>
                  <w:vAlign w:val="center"/>
                </w:tcPr>
                <w:p w14:paraId="5E9F363C">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0.7</w:t>
                  </w:r>
                </w:p>
              </w:tc>
              <w:tc>
                <w:tcPr>
                  <w:tcW w:w="1323" w:type="dxa"/>
                  <w:tcBorders>
                    <w:tl2br w:val="nil"/>
                    <w:tr2bl w:val="nil"/>
                  </w:tcBorders>
                  <w:noWrap w:val="0"/>
                  <w:vAlign w:val="center"/>
                </w:tcPr>
                <w:p w14:paraId="751DE27B">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6D051301">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hAnsi="Times New Roman" w:eastAsia="宋体" w:cs="Times New Roman"/>
                      <w:color w:val="auto"/>
                      <w:kern w:val="0"/>
                      <w:sz w:val="21"/>
                      <w:szCs w:val="21"/>
                      <w:lang w:val="en-US" w:eastAsia="zh-CN" w:bidi="ar-SA"/>
                    </w:rPr>
                    <w:t>0.7</w:t>
                  </w:r>
                </w:p>
              </w:tc>
              <w:tc>
                <w:tcPr>
                  <w:tcW w:w="1173" w:type="dxa"/>
                  <w:tcBorders>
                    <w:tl2br w:val="nil"/>
                    <w:tr2bl w:val="nil"/>
                  </w:tcBorders>
                  <w:noWrap w:val="0"/>
                  <w:vAlign w:val="center"/>
                </w:tcPr>
                <w:p w14:paraId="6106E0C4">
                  <w:pPr>
                    <w:pStyle w:val="40"/>
                    <w:autoSpaceDE w:val="0"/>
                    <w:autoSpaceDN w:val="0"/>
                    <w:spacing w:beforeLines="0" w:afterLines="0" w:line="288" w:lineRule="auto"/>
                    <w:rPr>
                      <w:rFonts w:hint="default" w:ascii="宋体" w:hAnsi="Times New Roman" w:eastAsia="宋体" w:cs="宋体"/>
                      <w:color w:val="auto"/>
                      <w:kern w:val="2"/>
                      <w:sz w:val="21"/>
                      <w:szCs w:val="21"/>
                      <w:lang w:val="en-US" w:eastAsia="zh-CN" w:bidi="ar-SA"/>
                    </w:rPr>
                  </w:pPr>
                  <w:r>
                    <w:rPr>
                      <w:rFonts w:hint="eastAsia" w:ascii="宋体" w:hAnsi="Times New Roman" w:eastAsia="宋体" w:cs="宋体"/>
                      <w:color w:val="auto"/>
                      <w:kern w:val="2"/>
                      <w:sz w:val="21"/>
                      <w:szCs w:val="21"/>
                      <w:lang w:val="en-US" w:eastAsia="zh-CN" w:bidi="ar-SA"/>
                    </w:rPr>
                    <w:t>+0.7</w:t>
                  </w:r>
                </w:p>
              </w:tc>
            </w:tr>
            <w:tr w14:paraId="6AB1404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c>
                <w:tcPr>
                  <w:tcW w:w="549" w:type="dxa"/>
                  <w:vMerge w:val="continue"/>
                  <w:tcBorders>
                    <w:tl2br w:val="nil"/>
                    <w:tr2bl w:val="nil"/>
                  </w:tcBorders>
                  <w:noWrap w:val="0"/>
                  <w:vAlign w:val="center"/>
                </w:tcPr>
                <w:p w14:paraId="209D7219">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cs="宋体"/>
                      <w:color w:val="auto"/>
                      <w:spacing w:val="-6"/>
                      <w:sz w:val="21"/>
                      <w:szCs w:val="21"/>
                      <w:vertAlign w:val="baseline"/>
                      <w:lang w:val="zh-CN" w:bidi="zh-CN"/>
                    </w:rPr>
                  </w:pPr>
                </w:p>
              </w:tc>
              <w:tc>
                <w:tcPr>
                  <w:tcW w:w="1082" w:type="dxa"/>
                  <w:tcBorders>
                    <w:tl2br w:val="nil"/>
                    <w:tr2bl w:val="nil"/>
                  </w:tcBorders>
                  <w:shd w:val="clear" w:color="auto" w:fill="auto"/>
                  <w:noWrap w:val="0"/>
                  <w:vAlign w:val="center"/>
                </w:tcPr>
                <w:p w14:paraId="133526C7">
                  <w:pPr>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Times New Roman" w:cs="Times New Roman"/>
                      <w:color w:val="auto"/>
                      <w:kern w:val="2"/>
                      <w:sz w:val="21"/>
                      <w:szCs w:val="21"/>
                      <w:lang w:val="zh-CN" w:eastAsia="zh-CN" w:bidi="ar-SA"/>
                    </w:rPr>
                  </w:pPr>
                  <w:r>
                    <w:rPr>
                      <w:rFonts w:hint="default" w:ascii="宋体" w:eastAsia="宋体"/>
                      <w:color w:val="auto"/>
                      <w:sz w:val="21"/>
                      <w:szCs w:val="21"/>
                    </w:rPr>
                    <w:t>生活垃圾</w:t>
                  </w:r>
                </w:p>
              </w:tc>
              <w:tc>
                <w:tcPr>
                  <w:tcW w:w="1520" w:type="dxa"/>
                  <w:tcBorders>
                    <w:tl2br w:val="nil"/>
                    <w:tr2bl w:val="nil"/>
                  </w:tcBorders>
                  <w:shd w:val="clear" w:color="auto" w:fill="auto"/>
                  <w:noWrap w:val="0"/>
                  <w:vAlign w:val="center"/>
                </w:tcPr>
                <w:p w14:paraId="470E4ECF">
                  <w:pPr>
                    <w:keepNext w:val="0"/>
                    <w:keepLines w:val="0"/>
                    <w:pageBreakBefore w:val="0"/>
                    <w:kinsoku/>
                    <w:wordWrap/>
                    <w:overflowPunct/>
                    <w:topLinePunct w:val="0"/>
                    <w:bidi w:val="0"/>
                    <w:spacing w:line="240" w:lineRule="auto"/>
                    <w:jc w:val="center"/>
                    <w:textAlignment w:val="auto"/>
                    <w:rPr>
                      <w:rFonts w:hint="eastAsia" w:ascii="Times New Roman" w:hAnsi="Times New Roman" w:eastAsia="Times New Roman" w:cs="Times New Roman"/>
                      <w:color w:val="auto"/>
                      <w:kern w:val="2"/>
                      <w:sz w:val="21"/>
                      <w:szCs w:val="21"/>
                      <w:lang w:val="zh-CN" w:eastAsia="zh-CN" w:bidi="ar-SA"/>
                    </w:rPr>
                  </w:pPr>
                  <w:r>
                    <w:rPr>
                      <w:rFonts w:hint="eastAsia" w:ascii="宋体" w:eastAsia="宋体"/>
                      <w:color w:val="auto"/>
                      <w:sz w:val="21"/>
                      <w:szCs w:val="21"/>
                      <w:lang w:val="en-US" w:eastAsia="zh-CN"/>
                    </w:rPr>
                    <w:t>3</w:t>
                  </w:r>
                </w:p>
              </w:tc>
              <w:tc>
                <w:tcPr>
                  <w:tcW w:w="1323" w:type="dxa"/>
                  <w:tcBorders>
                    <w:tl2br w:val="nil"/>
                    <w:tr2bl w:val="nil"/>
                  </w:tcBorders>
                  <w:noWrap w:val="0"/>
                  <w:vAlign w:val="center"/>
                </w:tcPr>
                <w:p w14:paraId="14F62ED8">
                  <w:pPr>
                    <w:pStyle w:val="40"/>
                    <w:autoSpaceDE w:val="0"/>
                    <w:autoSpaceDN w:val="0"/>
                    <w:spacing w:beforeLines="0" w:afterLines="0" w:line="288" w:lineRule="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1323" w:type="dxa"/>
                  <w:tcBorders>
                    <w:tl2br w:val="nil"/>
                    <w:tr2bl w:val="nil"/>
                  </w:tcBorders>
                  <w:noWrap w:val="0"/>
                  <w:vAlign w:val="center"/>
                </w:tcPr>
                <w:p w14:paraId="6093675C">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1243" w:type="dxa"/>
                  <w:tcBorders>
                    <w:tl2br w:val="nil"/>
                    <w:tr2bl w:val="nil"/>
                  </w:tcBorders>
                  <w:shd w:val="clear" w:color="auto" w:fill="auto"/>
                  <w:noWrap w:val="0"/>
                  <w:vAlign w:val="center"/>
                </w:tcPr>
                <w:p w14:paraId="2DE5533C">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zh-CN" w:eastAsia="zh-CN" w:bidi="ar-SA"/>
                    </w:rPr>
                  </w:pPr>
                  <w:r>
                    <w:rPr>
                      <w:rFonts w:hint="eastAsia" w:ascii="Times New Roman" w:hAnsi="Times New Roman" w:eastAsia="宋体" w:cs="Times New Roman"/>
                      <w:color w:val="auto"/>
                      <w:kern w:val="0"/>
                      <w:sz w:val="21"/>
                      <w:szCs w:val="21"/>
                      <w:lang w:val="en-US" w:eastAsia="zh-CN" w:bidi="ar-SA"/>
                    </w:rPr>
                    <w:t>3</w:t>
                  </w:r>
                </w:p>
              </w:tc>
              <w:tc>
                <w:tcPr>
                  <w:tcW w:w="1173" w:type="dxa"/>
                  <w:tcBorders>
                    <w:tl2br w:val="nil"/>
                    <w:tr2bl w:val="nil"/>
                  </w:tcBorders>
                  <w:noWrap w:val="0"/>
                  <w:vAlign w:val="center"/>
                </w:tcPr>
                <w:p w14:paraId="3FB99A00">
                  <w:pPr>
                    <w:pStyle w:val="40"/>
                    <w:autoSpaceDE w:val="0"/>
                    <w:autoSpaceDN w:val="0"/>
                    <w:spacing w:beforeLines="0" w:afterLines="0" w:line="288" w:lineRule="auto"/>
                    <w:rPr>
                      <w:rFonts w:hint="default" w:ascii="宋体" w:hAnsi="Times New Roman" w:eastAsia="宋体" w:cs="宋体"/>
                      <w:color w:val="auto"/>
                      <w:kern w:val="2"/>
                      <w:sz w:val="21"/>
                      <w:szCs w:val="21"/>
                      <w:lang w:val="en-US" w:eastAsia="zh-CN" w:bidi="ar-SA"/>
                    </w:rPr>
                  </w:pPr>
                  <w:r>
                    <w:rPr>
                      <w:rFonts w:hint="eastAsia" w:ascii="宋体" w:hAnsi="Times New Roman" w:eastAsia="宋体" w:cs="宋体"/>
                      <w:color w:val="auto"/>
                      <w:kern w:val="2"/>
                      <w:sz w:val="21"/>
                      <w:szCs w:val="21"/>
                      <w:lang w:val="en-US" w:eastAsia="zh-CN" w:bidi="ar-SA"/>
                    </w:rPr>
                    <w:t>0</w:t>
                  </w:r>
                </w:p>
              </w:tc>
            </w:tr>
          </w:tbl>
          <w:p w14:paraId="794D0158">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textAlignment w:val="auto"/>
              <w:rPr>
                <w:rFonts w:hint="default"/>
                <w:b/>
                <w:color w:val="auto"/>
                <w:sz w:val="24"/>
                <w:szCs w:val="24"/>
              </w:rPr>
            </w:pPr>
            <w:r>
              <w:rPr>
                <w:rFonts w:hint="eastAsia" w:ascii="宋体" w:eastAsia="宋体"/>
                <w:b/>
                <w:color w:val="auto"/>
                <w:sz w:val="24"/>
                <w:szCs w:val="24"/>
              </w:rPr>
              <w:t>十</w:t>
            </w:r>
            <w:r>
              <w:rPr>
                <w:rFonts w:hint="eastAsia" w:ascii="宋体" w:eastAsia="宋体"/>
                <w:b/>
                <w:color w:val="auto"/>
                <w:sz w:val="24"/>
                <w:szCs w:val="24"/>
                <w:lang w:val="en-US" w:eastAsia="zh-CN"/>
              </w:rPr>
              <w:t>三</w:t>
            </w:r>
            <w:r>
              <w:rPr>
                <w:rFonts w:hint="eastAsia" w:ascii="宋体" w:eastAsia="宋体"/>
                <w:b/>
                <w:color w:val="auto"/>
                <w:sz w:val="24"/>
                <w:szCs w:val="24"/>
              </w:rPr>
              <w:t>、</w:t>
            </w:r>
            <w:r>
              <w:rPr>
                <w:rFonts w:hint="eastAsia" w:ascii="宋体" w:eastAsia="宋体"/>
                <w:b/>
                <w:color w:val="auto"/>
                <w:sz w:val="24"/>
                <w:szCs w:val="24"/>
                <w:lang w:val="zh-CN" w:bidi="zh-CN"/>
              </w:rPr>
              <w:t>环保投资估算</w:t>
            </w:r>
          </w:p>
          <w:p w14:paraId="794C75D7">
            <w:pPr>
              <w:widowControl/>
              <w:spacing w:beforeLines="0" w:afterLines="0" w:line="360" w:lineRule="auto"/>
              <w:ind w:firstLine="456" w:firstLineChars="200"/>
              <w:jc w:val="left"/>
              <w:rPr>
                <w:rFonts w:hint="eastAsia" w:ascii="宋体" w:hAnsi="宋体" w:eastAsia="宋体" w:cs="宋体"/>
                <w:color w:val="auto"/>
                <w:sz w:val="24"/>
                <w:szCs w:val="24"/>
              </w:rPr>
            </w:pPr>
            <w:r>
              <w:rPr>
                <w:rFonts w:hint="eastAsia" w:ascii="宋体" w:hAnsi="宋体" w:eastAsia="宋体" w:cs="宋体"/>
                <w:color w:val="auto"/>
                <w:spacing w:val="-6"/>
                <w:sz w:val="24"/>
                <w:szCs w:val="24"/>
                <w:lang w:val="zh-CN" w:bidi="zh-CN"/>
              </w:rPr>
              <w:t>本</w:t>
            </w:r>
            <w:r>
              <w:rPr>
                <w:rFonts w:hint="eastAsia" w:ascii="宋体" w:hAnsi="宋体" w:eastAsia="宋体" w:cs="宋体"/>
                <w:color w:val="auto"/>
                <w:spacing w:val="-6"/>
                <w:sz w:val="24"/>
                <w:szCs w:val="24"/>
                <w:lang w:val="en-US" w:bidi="zh-CN"/>
              </w:rPr>
              <w:t>技改</w:t>
            </w:r>
            <w:r>
              <w:rPr>
                <w:rFonts w:hint="eastAsia" w:ascii="宋体" w:hAnsi="宋体" w:eastAsia="宋体" w:cs="宋体"/>
                <w:color w:val="auto"/>
                <w:spacing w:val="-6"/>
                <w:sz w:val="24"/>
                <w:szCs w:val="24"/>
                <w:lang w:val="zh-CN" w:bidi="zh-CN"/>
              </w:rPr>
              <w:t>项目总投资为</w:t>
            </w:r>
            <w:r>
              <w:rPr>
                <w:rFonts w:hint="eastAsia" w:ascii="宋体" w:hAnsi="宋体" w:eastAsia="宋体" w:cs="宋体"/>
                <w:color w:val="auto"/>
                <w:spacing w:val="-6"/>
                <w:sz w:val="24"/>
                <w:szCs w:val="24"/>
                <w:lang w:bidi="zh-CN"/>
              </w:rPr>
              <w:t>1</w:t>
            </w:r>
            <w:r>
              <w:rPr>
                <w:rFonts w:hint="eastAsia" w:ascii="宋体" w:hAnsi="宋体" w:eastAsia="宋体" w:cs="宋体"/>
                <w:color w:val="auto"/>
                <w:spacing w:val="-6"/>
                <w:sz w:val="24"/>
                <w:szCs w:val="24"/>
                <w:lang w:val="en-US" w:bidi="zh-CN"/>
              </w:rPr>
              <w:t>2</w:t>
            </w:r>
            <w:r>
              <w:rPr>
                <w:rFonts w:hint="eastAsia" w:ascii="宋体" w:hAnsi="宋体" w:eastAsia="宋体" w:cs="宋体"/>
                <w:color w:val="auto"/>
                <w:spacing w:val="-6"/>
                <w:sz w:val="24"/>
                <w:szCs w:val="24"/>
                <w:lang w:bidi="zh-CN"/>
              </w:rPr>
              <w:t>00万元，其中环保投资为</w:t>
            </w:r>
            <w:r>
              <w:rPr>
                <w:rFonts w:hint="eastAsia" w:ascii="宋体" w:hAnsi="宋体" w:eastAsia="宋体" w:cs="宋体"/>
                <w:color w:val="auto"/>
                <w:spacing w:val="-6"/>
                <w:sz w:val="24"/>
                <w:szCs w:val="24"/>
                <w:lang w:val="en-US" w:bidi="zh-CN"/>
              </w:rPr>
              <w:t>10</w:t>
            </w:r>
            <w:r>
              <w:rPr>
                <w:rFonts w:hint="eastAsia" w:ascii="宋体" w:hAnsi="宋体" w:eastAsia="宋体" w:cs="宋体"/>
                <w:color w:val="auto"/>
                <w:spacing w:val="-6"/>
                <w:sz w:val="24"/>
                <w:szCs w:val="24"/>
                <w:lang w:bidi="zh-CN"/>
              </w:rPr>
              <w:t>万元，占总投资额的</w:t>
            </w:r>
            <w:r>
              <w:rPr>
                <w:rFonts w:hint="eastAsia" w:ascii="宋体" w:hAnsi="宋体" w:eastAsia="宋体" w:cs="宋体"/>
                <w:color w:val="auto"/>
                <w:spacing w:val="-6"/>
                <w:sz w:val="24"/>
                <w:szCs w:val="24"/>
                <w:lang w:val="en-US" w:bidi="zh-CN"/>
              </w:rPr>
              <w:t>0.83</w:t>
            </w:r>
            <w:r>
              <w:rPr>
                <w:rFonts w:hint="eastAsia" w:ascii="宋体" w:hAnsi="宋体" w:eastAsia="宋体" w:cs="宋体"/>
                <w:color w:val="auto"/>
                <w:spacing w:val="-6"/>
                <w:sz w:val="24"/>
                <w:szCs w:val="24"/>
                <w:lang w:bidi="zh-CN"/>
              </w:rPr>
              <w:t>%，</w:t>
            </w:r>
            <w:r>
              <w:rPr>
                <w:rFonts w:hint="eastAsia" w:ascii="宋体" w:hAnsi="宋体" w:eastAsia="宋体" w:cs="宋体"/>
                <w:color w:val="auto"/>
                <w:kern w:val="0"/>
                <w:sz w:val="24"/>
                <w:szCs w:val="24"/>
                <w:lang w:bidi="ar"/>
              </w:rPr>
              <w:t>该项目的环保投资包括废气治理、废水治理、噪声控制以及固体废物处理与处置，该项目各项环保措施及其投资估算列于下表。</w:t>
            </w:r>
          </w:p>
          <w:p w14:paraId="19D7660E">
            <w:pPr>
              <w:adjustRightInd w:val="0"/>
              <w:snapToGrid w:val="0"/>
              <w:spacing w:beforeLines="0" w:afterLines="0"/>
              <w:jc w:val="center"/>
              <w:rPr>
                <w:rFonts w:hint="default"/>
                <w:color w:val="auto"/>
                <w:sz w:val="21"/>
                <w:szCs w:val="21"/>
                <w:lang w:val="zh-CN" w:bidi="zh-CN"/>
              </w:rPr>
            </w:pPr>
            <w:r>
              <w:rPr>
                <w:rFonts w:hint="eastAsia" w:ascii="宋体" w:eastAsia="宋体"/>
                <w:b/>
                <w:color w:val="auto"/>
                <w:sz w:val="21"/>
                <w:szCs w:val="21"/>
                <w:lang w:val="zh-CN" w:bidi="zh-CN"/>
              </w:rPr>
              <w:t>表4-</w:t>
            </w:r>
            <w:r>
              <w:rPr>
                <w:rFonts w:hint="eastAsia"/>
                <w:b/>
                <w:color w:val="auto"/>
                <w:sz w:val="21"/>
                <w:szCs w:val="21"/>
                <w:lang w:val="en-US" w:bidi="zh-CN"/>
              </w:rPr>
              <w:t>23</w:t>
            </w:r>
            <w:r>
              <w:rPr>
                <w:rFonts w:hint="default"/>
                <w:b/>
                <w:color w:val="auto"/>
                <w:sz w:val="21"/>
                <w:szCs w:val="21"/>
                <w:lang w:val="zh-CN" w:bidi="zh-CN"/>
              </w:rPr>
              <w:t xml:space="preserve"> </w:t>
            </w:r>
            <w:r>
              <w:rPr>
                <w:rFonts w:hint="default"/>
                <w:b/>
                <w:color w:val="auto"/>
                <w:sz w:val="21"/>
                <w:szCs w:val="21"/>
                <w:lang w:bidi="zh-CN"/>
              </w:rPr>
              <w:t xml:space="preserve"> </w:t>
            </w:r>
            <w:r>
              <w:rPr>
                <w:rFonts w:hint="eastAsia" w:ascii="宋体" w:eastAsia="宋体"/>
                <w:b/>
                <w:color w:val="auto"/>
                <w:sz w:val="21"/>
                <w:szCs w:val="21"/>
                <w:lang w:val="zh-CN" w:bidi="zh-CN"/>
              </w:rPr>
              <w:t>环保投资估算表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6"/>
              <w:gridCol w:w="1652"/>
              <w:gridCol w:w="4638"/>
              <w:gridCol w:w="1449"/>
            </w:tblGrid>
            <w:tr w14:paraId="1274F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1295" w:type="pct"/>
                  <w:gridSpan w:val="2"/>
                  <w:tcBorders>
                    <w:tl2br w:val="nil"/>
                    <w:tr2bl w:val="nil"/>
                  </w:tcBorders>
                  <w:noWrap w:val="0"/>
                  <w:vAlign w:val="center"/>
                </w:tcPr>
                <w:p w14:paraId="5214A677">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b/>
                      <w:color w:val="auto"/>
                      <w:spacing w:val="-6"/>
                      <w:sz w:val="21"/>
                      <w:szCs w:val="21"/>
                      <w:lang w:val="zh-CN" w:bidi="zh-CN"/>
                    </w:rPr>
                  </w:pPr>
                  <w:r>
                    <w:rPr>
                      <w:rFonts w:hint="eastAsia" w:ascii="宋体" w:eastAsia="宋体"/>
                      <w:b/>
                      <w:color w:val="auto"/>
                      <w:spacing w:val="-6"/>
                      <w:sz w:val="21"/>
                      <w:szCs w:val="21"/>
                      <w:lang w:val="zh-CN" w:bidi="zh-CN"/>
                    </w:rPr>
                    <w:t>项目</w:t>
                  </w:r>
                </w:p>
              </w:tc>
              <w:tc>
                <w:tcPr>
                  <w:tcW w:w="2822" w:type="pct"/>
                  <w:tcBorders>
                    <w:tl2br w:val="nil"/>
                    <w:tr2bl w:val="nil"/>
                  </w:tcBorders>
                  <w:noWrap w:val="0"/>
                  <w:vAlign w:val="center"/>
                </w:tcPr>
                <w:p w14:paraId="3738F880">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b/>
                      <w:color w:val="auto"/>
                      <w:spacing w:val="-6"/>
                      <w:sz w:val="21"/>
                      <w:szCs w:val="21"/>
                      <w:lang w:val="zh-CN" w:bidi="zh-CN"/>
                    </w:rPr>
                  </w:pPr>
                  <w:r>
                    <w:rPr>
                      <w:rFonts w:hint="eastAsia" w:ascii="宋体" w:eastAsia="宋体"/>
                      <w:b/>
                      <w:color w:val="auto"/>
                      <w:spacing w:val="-6"/>
                      <w:sz w:val="21"/>
                      <w:szCs w:val="21"/>
                      <w:lang w:val="zh-CN" w:bidi="zh-CN"/>
                    </w:rPr>
                    <w:t>内容</w:t>
                  </w:r>
                </w:p>
              </w:tc>
              <w:tc>
                <w:tcPr>
                  <w:tcW w:w="882" w:type="pct"/>
                  <w:tcBorders>
                    <w:tl2br w:val="nil"/>
                    <w:tr2bl w:val="nil"/>
                  </w:tcBorders>
                  <w:noWrap w:val="0"/>
                  <w:vAlign w:val="center"/>
                </w:tcPr>
                <w:p w14:paraId="6D51E69F">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b/>
                      <w:color w:val="auto"/>
                      <w:spacing w:val="-6"/>
                      <w:sz w:val="21"/>
                      <w:szCs w:val="21"/>
                      <w:lang w:val="zh-CN" w:bidi="zh-CN"/>
                    </w:rPr>
                  </w:pPr>
                  <w:r>
                    <w:rPr>
                      <w:rFonts w:hint="eastAsia" w:ascii="宋体" w:eastAsia="宋体"/>
                      <w:b/>
                      <w:color w:val="auto"/>
                      <w:spacing w:val="-6"/>
                      <w:sz w:val="21"/>
                      <w:szCs w:val="21"/>
                      <w:lang w:val="zh-CN" w:bidi="zh-CN"/>
                    </w:rPr>
                    <w:t>投资（万元）</w:t>
                  </w:r>
                </w:p>
              </w:tc>
            </w:tr>
            <w:tr w14:paraId="37690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290" w:type="pct"/>
                  <w:tcBorders>
                    <w:tl2br w:val="nil"/>
                    <w:tr2bl w:val="nil"/>
                  </w:tcBorders>
                  <w:noWrap w:val="0"/>
                  <w:vAlign w:val="center"/>
                </w:tcPr>
                <w:p w14:paraId="1025BE9B">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zh-CN" w:bidi="zh-CN"/>
                    </w:rPr>
                  </w:pPr>
                  <w:r>
                    <w:rPr>
                      <w:rFonts w:hint="eastAsia" w:ascii="宋体" w:eastAsia="宋体"/>
                      <w:color w:val="auto"/>
                      <w:spacing w:val="-6"/>
                      <w:sz w:val="21"/>
                      <w:szCs w:val="21"/>
                      <w:lang w:bidi="zh-CN"/>
                    </w:rPr>
                    <w:t>废气</w:t>
                  </w:r>
                </w:p>
              </w:tc>
              <w:tc>
                <w:tcPr>
                  <w:tcW w:w="1004" w:type="pct"/>
                  <w:tcBorders>
                    <w:tl2br w:val="nil"/>
                    <w:tr2bl w:val="nil"/>
                  </w:tcBorders>
                  <w:noWrap w:val="0"/>
                  <w:vAlign w:val="center"/>
                </w:tcPr>
                <w:p w14:paraId="256CB458">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en-US" w:bidi="zh-CN"/>
                    </w:rPr>
                  </w:pPr>
                  <w:r>
                    <w:rPr>
                      <w:rFonts w:hint="eastAsia"/>
                      <w:color w:val="auto"/>
                      <w:spacing w:val="-6"/>
                      <w:sz w:val="21"/>
                      <w:szCs w:val="21"/>
                      <w:lang w:val="en-US" w:bidi="zh-CN"/>
                    </w:rPr>
                    <w:t>造粒废气</w:t>
                  </w:r>
                </w:p>
              </w:tc>
              <w:tc>
                <w:tcPr>
                  <w:tcW w:w="2822" w:type="pct"/>
                  <w:tcBorders>
                    <w:tl2br w:val="nil"/>
                    <w:tr2bl w:val="nil"/>
                  </w:tcBorders>
                  <w:noWrap w:val="0"/>
                  <w:vAlign w:val="center"/>
                </w:tcPr>
                <w:p w14:paraId="1561D919">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zh-CN" w:bidi="zh-CN"/>
                    </w:rPr>
                  </w:pPr>
                  <w:r>
                    <w:rPr>
                      <w:rFonts w:hint="default" w:ascii="Times New Roman" w:hAnsi="Times New Roman" w:eastAsia="宋体" w:cs="Times New Roman"/>
                      <w:bCs/>
                      <w:color w:val="auto"/>
                      <w:kern w:val="44"/>
                      <w:sz w:val="21"/>
                      <w:szCs w:val="21"/>
                      <w:highlight w:val="none"/>
                      <w:lang w:val="en-US" w:eastAsia="zh-CN" w:bidi="ar-SA"/>
                    </w:rPr>
                    <w:t>水浴除尘+高效静电+UV光解+活性炭吸附+15米1#高排气筒</w:t>
                  </w:r>
                </w:p>
              </w:tc>
              <w:tc>
                <w:tcPr>
                  <w:tcW w:w="882" w:type="pct"/>
                  <w:tcBorders>
                    <w:tl2br w:val="nil"/>
                    <w:tr2bl w:val="nil"/>
                  </w:tcBorders>
                  <w:noWrap w:val="0"/>
                  <w:vAlign w:val="center"/>
                </w:tcPr>
                <w:p w14:paraId="411D5F2B">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bidi="zh-CN"/>
                    </w:rPr>
                  </w:pPr>
                  <w:r>
                    <w:rPr>
                      <w:rFonts w:hint="eastAsia" w:ascii="宋体" w:eastAsia="宋体"/>
                      <w:color w:val="auto"/>
                      <w:spacing w:val="-6"/>
                      <w:sz w:val="21"/>
                      <w:szCs w:val="21"/>
                      <w:lang w:bidi="zh-CN"/>
                    </w:rPr>
                    <w:t>依托现有</w:t>
                  </w:r>
                </w:p>
              </w:tc>
            </w:tr>
            <w:tr w14:paraId="5F6D3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90" w:type="pct"/>
                  <w:vMerge w:val="restart"/>
                  <w:tcBorders>
                    <w:tl2br w:val="nil"/>
                    <w:tr2bl w:val="nil"/>
                  </w:tcBorders>
                  <w:noWrap w:val="0"/>
                  <w:vAlign w:val="center"/>
                </w:tcPr>
                <w:p w14:paraId="6C766974">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bidi="zh-CN"/>
                    </w:rPr>
                  </w:pPr>
                  <w:r>
                    <w:rPr>
                      <w:rFonts w:hint="eastAsia" w:ascii="宋体" w:eastAsia="宋体"/>
                      <w:color w:val="auto"/>
                      <w:spacing w:val="-6"/>
                      <w:sz w:val="21"/>
                      <w:szCs w:val="21"/>
                      <w:lang w:bidi="zh-CN"/>
                    </w:rPr>
                    <w:t>废水</w:t>
                  </w:r>
                </w:p>
              </w:tc>
              <w:tc>
                <w:tcPr>
                  <w:tcW w:w="1004" w:type="pct"/>
                  <w:tcBorders>
                    <w:tl2br w:val="nil"/>
                    <w:tr2bl w:val="nil"/>
                  </w:tcBorders>
                  <w:noWrap w:val="0"/>
                  <w:vAlign w:val="center"/>
                </w:tcPr>
                <w:p w14:paraId="6F05B0A5">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zh-CN" w:bidi="zh-CN"/>
                    </w:rPr>
                  </w:pPr>
                  <w:r>
                    <w:rPr>
                      <w:rFonts w:hint="eastAsia" w:ascii="宋体" w:eastAsia="宋体"/>
                      <w:color w:val="auto"/>
                      <w:spacing w:val="-6"/>
                      <w:sz w:val="21"/>
                      <w:szCs w:val="21"/>
                      <w:lang w:val="zh-CN" w:bidi="zh-CN"/>
                    </w:rPr>
                    <w:t>生活污水</w:t>
                  </w:r>
                </w:p>
              </w:tc>
              <w:tc>
                <w:tcPr>
                  <w:tcW w:w="2822" w:type="pct"/>
                  <w:tcBorders>
                    <w:tl2br w:val="nil"/>
                    <w:tr2bl w:val="nil"/>
                  </w:tcBorders>
                  <w:noWrap w:val="0"/>
                  <w:vAlign w:val="center"/>
                </w:tcPr>
                <w:p w14:paraId="6B2CBA52">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bidi="zh-CN"/>
                    </w:rPr>
                  </w:pPr>
                  <w:r>
                    <w:rPr>
                      <w:rFonts w:hint="eastAsia" w:ascii="宋体" w:eastAsia="宋体"/>
                      <w:color w:val="auto"/>
                      <w:spacing w:val="-6"/>
                      <w:sz w:val="21"/>
                      <w:szCs w:val="21"/>
                      <w:lang w:bidi="zh-CN"/>
                    </w:rPr>
                    <w:t>三格式化粪池</w:t>
                  </w:r>
                </w:p>
              </w:tc>
              <w:tc>
                <w:tcPr>
                  <w:tcW w:w="882" w:type="pct"/>
                  <w:tcBorders>
                    <w:tl2br w:val="nil"/>
                    <w:tr2bl w:val="nil"/>
                  </w:tcBorders>
                  <w:noWrap w:val="0"/>
                  <w:vAlign w:val="center"/>
                </w:tcPr>
                <w:p w14:paraId="4483E21A">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bidi="zh-CN"/>
                    </w:rPr>
                  </w:pPr>
                  <w:r>
                    <w:rPr>
                      <w:rFonts w:hint="eastAsia" w:ascii="宋体" w:eastAsia="宋体"/>
                      <w:color w:val="auto"/>
                      <w:spacing w:val="-6"/>
                      <w:sz w:val="21"/>
                      <w:szCs w:val="21"/>
                      <w:lang w:bidi="zh-CN"/>
                    </w:rPr>
                    <w:t>依托现有</w:t>
                  </w:r>
                </w:p>
              </w:tc>
            </w:tr>
            <w:tr w14:paraId="667BE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290" w:type="pct"/>
                  <w:vMerge w:val="continue"/>
                  <w:tcBorders>
                    <w:tl2br w:val="nil"/>
                    <w:tr2bl w:val="nil"/>
                  </w:tcBorders>
                  <w:noWrap w:val="0"/>
                  <w:vAlign w:val="center"/>
                </w:tcPr>
                <w:p w14:paraId="5E58FB3A">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eastAsia="宋体"/>
                      <w:color w:val="auto"/>
                      <w:spacing w:val="-6"/>
                      <w:sz w:val="21"/>
                      <w:szCs w:val="21"/>
                      <w:lang w:bidi="zh-CN"/>
                    </w:rPr>
                  </w:pPr>
                </w:p>
              </w:tc>
              <w:tc>
                <w:tcPr>
                  <w:tcW w:w="1004" w:type="pct"/>
                  <w:tcBorders>
                    <w:tl2br w:val="nil"/>
                    <w:tr2bl w:val="nil"/>
                  </w:tcBorders>
                  <w:noWrap w:val="0"/>
                  <w:vAlign w:val="center"/>
                </w:tcPr>
                <w:p w14:paraId="2BB82FB3">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eastAsia="宋体"/>
                      <w:color w:val="auto"/>
                      <w:spacing w:val="-6"/>
                      <w:sz w:val="21"/>
                      <w:szCs w:val="21"/>
                      <w:lang w:val="zh-CN" w:bidi="zh-CN"/>
                    </w:rPr>
                  </w:pPr>
                  <w:r>
                    <w:rPr>
                      <w:rFonts w:hint="eastAsia" w:ascii="宋体" w:eastAsia="宋体"/>
                      <w:color w:val="auto"/>
                      <w:spacing w:val="-6"/>
                      <w:sz w:val="21"/>
                      <w:szCs w:val="21"/>
                      <w:lang w:val="en-US" w:bidi="zh-CN"/>
                    </w:rPr>
                    <w:t>清洗</w:t>
                  </w:r>
                  <w:r>
                    <w:rPr>
                      <w:rFonts w:hint="eastAsia" w:ascii="宋体" w:eastAsia="宋体"/>
                      <w:color w:val="auto"/>
                      <w:spacing w:val="-6"/>
                      <w:sz w:val="21"/>
                      <w:szCs w:val="21"/>
                      <w:lang w:val="zh-CN" w:bidi="zh-CN"/>
                    </w:rPr>
                    <w:t>废水</w:t>
                  </w:r>
                </w:p>
              </w:tc>
              <w:tc>
                <w:tcPr>
                  <w:tcW w:w="2822" w:type="pct"/>
                  <w:tcBorders>
                    <w:tl2br w:val="nil"/>
                    <w:tr2bl w:val="nil"/>
                  </w:tcBorders>
                  <w:noWrap w:val="0"/>
                  <w:vAlign w:val="center"/>
                </w:tcPr>
                <w:p w14:paraId="1B07C8EA">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eastAsia="宋体"/>
                      <w:color w:val="auto"/>
                      <w:spacing w:val="-6"/>
                      <w:sz w:val="21"/>
                      <w:szCs w:val="21"/>
                      <w:lang w:bidi="zh-CN"/>
                    </w:rPr>
                  </w:pPr>
                  <w:r>
                    <w:rPr>
                      <w:rFonts w:hint="eastAsia" w:ascii="宋体" w:eastAsia="宋体"/>
                      <w:color w:val="auto"/>
                      <w:spacing w:val="-6"/>
                      <w:sz w:val="21"/>
                      <w:szCs w:val="21"/>
                      <w:lang w:bidi="zh-CN"/>
                    </w:rPr>
                    <w:t>生产废水循环水池，</w:t>
                  </w:r>
                  <w:r>
                    <w:rPr>
                      <w:rFonts w:hint="eastAsia" w:ascii="宋体" w:eastAsia="宋体"/>
                      <w:color w:val="auto"/>
                      <w:spacing w:val="-6"/>
                      <w:sz w:val="21"/>
                      <w:szCs w:val="21"/>
                      <w:lang w:val="en-US" w:bidi="zh-CN"/>
                    </w:rPr>
                    <w:t>外排</w:t>
                  </w:r>
                  <w:r>
                    <w:rPr>
                      <w:rFonts w:hint="eastAsia" w:cs="Times New Roman"/>
                      <w:color w:val="auto"/>
                      <w:sz w:val="21"/>
                      <w:szCs w:val="21"/>
                      <w:highlight w:val="none"/>
                      <w:lang w:eastAsia="zh-CN"/>
                    </w:rPr>
                    <w:t>星火工业园污水处理厂</w:t>
                  </w:r>
                </w:p>
              </w:tc>
              <w:tc>
                <w:tcPr>
                  <w:tcW w:w="882" w:type="pct"/>
                  <w:tcBorders>
                    <w:tl2br w:val="nil"/>
                    <w:tr2bl w:val="nil"/>
                  </w:tcBorders>
                  <w:noWrap w:val="0"/>
                  <w:vAlign w:val="center"/>
                </w:tcPr>
                <w:p w14:paraId="2A503397">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宋体" w:eastAsia="宋体"/>
                      <w:color w:val="auto"/>
                      <w:spacing w:val="-6"/>
                      <w:sz w:val="21"/>
                      <w:szCs w:val="21"/>
                      <w:lang w:bidi="zh-CN"/>
                    </w:rPr>
                  </w:pPr>
                  <w:r>
                    <w:rPr>
                      <w:rFonts w:hint="eastAsia" w:ascii="宋体" w:eastAsia="宋体"/>
                      <w:color w:val="auto"/>
                      <w:spacing w:val="-6"/>
                      <w:sz w:val="21"/>
                      <w:szCs w:val="21"/>
                      <w:lang w:val="en-US" w:bidi="zh-CN"/>
                    </w:rPr>
                    <w:t>7</w:t>
                  </w:r>
                </w:p>
              </w:tc>
            </w:tr>
            <w:tr w14:paraId="0CD59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1295" w:type="pct"/>
                  <w:gridSpan w:val="2"/>
                  <w:tcBorders>
                    <w:tl2br w:val="nil"/>
                    <w:tr2bl w:val="nil"/>
                  </w:tcBorders>
                  <w:noWrap w:val="0"/>
                  <w:vAlign w:val="center"/>
                </w:tcPr>
                <w:p w14:paraId="6199F1BD">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bidi="zh-CN"/>
                    </w:rPr>
                  </w:pPr>
                  <w:r>
                    <w:rPr>
                      <w:rFonts w:hint="eastAsia" w:ascii="宋体" w:eastAsia="宋体"/>
                      <w:color w:val="auto"/>
                      <w:spacing w:val="-6"/>
                      <w:sz w:val="21"/>
                      <w:szCs w:val="21"/>
                      <w:lang w:bidi="zh-CN"/>
                    </w:rPr>
                    <w:t>噪声治理</w:t>
                  </w:r>
                </w:p>
              </w:tc>
              <w:tc>
                <w:tcPr>
                  <w:tcW w:w="2822" w:type="pct"/>
                  <w:tcBorders>
                    <w:tl2br w:val="nil"/>
                    <w:tr2bl w:val="nil"/>
                  </w:tcBorders>
                  <w:noWrap w:val="0"/>
                  <w:vAlign w:val="center"/>
                </w:tcPr>
                <w:p w14:paraId="60130347">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zh-CN" w:bidi="zh-CN"/>
                    </w:rPr>
                  </w:pPr>
                  <w:r>
                    <w:rPr>
                      <w:rFonts w:hint="eastAsia" w:ascii="宋体" w:eastAsia="宋体"/>
                      <w:color w:val="auto"/>
                      <w:spacing w:val="-6"/>
                      <w:sz w:val="21"/>
                      <w:szCs w:val="21"/>
                      <w:lang w:val="zh-CN" w:bidi="zh-CN"/>
                    </w:rPr>
                    <w:t>选择低噪设备、厂房内合理布置、底座安装减震垫、加强润滑保养</w:t>
                  </w:r>
                </w:p>
              </w:tc>
              <w:tc>
                <w:tcPr>
                  <w:tcW w:w="882" w:type="pct"/>
                  <w:tcBorders>
                    <w:tl2br w:val="nil"/>
                    <w:tr2bl w:val="nil"/>
                  </w:tcBorders>
                  <w:noWrap w:val="0"/>
                  <w:vAlign w:val="center"/>
                </w:tcPr>
                <w:p w14:paraId="08E0ABC8">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en-US" w:bidi="zh-CN"/>
                    </w:rPr>
                  </w:pPr>
                  <w:r>
                    <w:rPr>
                      <w:rFonts w:hint="eastAsia" w:ascii="宋体" w:eastAsia="宋体"/>
                      <w:color w:val="auto"/>
                      <w:spacing w:val="-6"/>
                      <w:sz w:val="21"/>
                      <w:szCs w:val="21"/>
                      <w:lang w:bidi="zh-CN"/>
                    </w:rPr>
                    <w:t>依托现有</w:t>
                  </w:r>
                </w:p>
              </w:tc>
            </w:tr>
            <w:tr w14:paraId="31B8C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295" w:type="pct"/>
                  <w:gridSpan w:val="2"/>
                  <w:tcBorders>
                    <w:tl2br w:val="nil"/>
                    <w:tr2bl w:val="nil"/>
                  </w:tcBorders>
                  <w:noWrap w:val="0"/>
                  <w:vAlign w:val="center"/>
                </w:tcPr>
                <w:p w14:paraId="7D5B139F">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zh-CN" w:bidi="zh-CN"/>
                    </w:rPr>
                  </w:pPr>
                  <w:r>
                    <w:rPr>
                      <w:rFonts w:hint="eastAsia" w:ascii="宋体" w:eastAsia="宋体"/>
                      <w:color w:val="auto"/>
                      <w:spacing w:val="-6"/>
                      <w:sz w:val="21"/>
                      <w:szCs w:val="21"/>
                      <w:lang w:val="zh-CN" w:bidi="zh-CN"/>
                    </w:rPr>
                    <w:t>固废处置</w:t>
                  </w:r>
                </w:p>
              </w:tc>
              <w:tc>
                <w:tcPr>
                  <w:tcW w:w="2822" w:type="pct"/>
                  <w:tcBorders>
                    <w:tl2br w:val="nil"/>
                    <w:tr2bl w:val="nil"/>
                  </w:tcBorders>
                  <w:noWrap w:val="0"/>
                  <w:vAlign w:val="center"/>
                </w:tcPr>
                <w:p w14:paraId="23377E48">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zh-CN" w:bidi="zh-CN"/>
                    </w:rPr>
                  </w:pPr>
                  <w:r>
                    <w:rPr>
                      <w:rFonts w:hint="eastAsia" w:ascii="宋体" w:eastAsia="宋体"/>
                      <w:color w:val="auto"/>
                      <w:spacing w:val="-6"/>
                      <w:sz w:val="21"/>
                      <w:szCs w:val="21"/>
                      <w:lang w:val="zh-CN" w:bidi="zh-CN"/>
                    </w:rPr>
                    <w:t>固体废物收集暂存设施</w:t>
                  </w:r>
                </w:p>
              </w:tc>
              <w:tc>
                <w:tcPr>
                  <w:tcW w:w="882" w:type="pct"/>
                  <w:tcBorders>
                    <w:tl2br w:val="nil"/>
                    <w:tr2bl w:val="nil"/>
                  </w:tcBorders>
                  <w:noWrap w:val="0"/>
                  <w:vAlign w:val="center"/>
                </w:tcPr>
                <w:p w14:paraId="3E42079F">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bidi="zh-CN"/>
                    </w:rPr>
                  </w:pPr>
                  <w:r>
                    <w:rPr>
                      <w:rFonts w:hint="eastAsia" w:ascii="宋体" w:eastAsia="宋体"/>
                      <w:color w:val="auto"/>
                      <w:spacing w:val="-6"/>
                      <w:sz w:val="21"/>
                      <w:szCs w:val="21"/>
                      <w:lang w:val="en-US" w:bidi="zh-CN"/>
                    </w:rPr>
                    <w:t>3</w:t>
                  </w:r>
                </w:p>
              </w:tc>
            </w:tr>
            <w:tr w14:paraId="1FCF9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4117" w:type="pct"/>
                  <w:gridSpan w:val="3"/>
                  <w:tcBorders>
                    <w:tl2br w:val="nil"/>
                    <w:tr2bl w:val="nil"/>
                  </w:tcBorders>
                  <w:noWrap w:val="0"/>
                  <w:vAlign w:val="center"/>
                </w:tcPr>
                <w:p w14:paraId="4EA7CC08">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zh-CN" w:bidi="zh-CN"/>
                    </w:rPr>
                  </w:pPr>
                  <w:r>
                    <w:rPr>
                      <w:rFonts w:hint="eastAsia" w:ascii="宋体" w:eastAsia="宋体"/>
                      <w:color w:val="auto"/>
                      <w:spacing w:val="-6"/>
                      <w:sz w:val="21"/>
                      <w:szCs w:val="21"/>
                      <w:lang w:val="zh-CN" w:bidi="zh-CN"/>
                    </w:rPr>
                    <w:t>环保投资合计</w:t>
                  </w:r>
                </w:p>
              </w:tc>
              <w:tc>
                <w:tcPr>
                  <w:tcW w:w="882" w:type="pct"/>
                  <w:tcBorders>
                    <w:tl2br w:val="nil"/>
                    <w:tr2bl w:val="nil"/>
                  </w:tcBorders>
                  <w:noWrap w:val="0"/>
                  <w:vAlign w:val="center"/>
                </w:tcPr>
                <w:p w14:paraId="53C208F5">
                  <w:pPr>
                    <w:pStyle w:val="101"/>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color w:val="auto"/>
                      <w:spacing w:val="-6"/>
                      <w:sz w:val="21"/>
                      <w:szCs w:val="21"/>
                      <w:lang w:val="en-US" w:bidi="zh-CN"/>
                    </w:rPr>
                  </w:pPr>
                  <w:r>
                    <w:rPr>
                      <w:rFonts w:hint="eastAsia" w:ascii="宋体" w:eastAsia="宋体"/>
                      <w:color w:val="auto"/>
                      <w:spacing w:val="-6"/>
                      <w:sz w:val="21"/>
                      <w:szCs w:val="21"/>
                      <w:lang w:val="en-US" w:bidi="zh-CN"/>
                    </w:rPr>
                    <w:t>10</w:t>
                  </w:r>
                </w:p>
              </w:tc>
            </w:tr>
          </w:tbl>
          <w:p w14:paraId="36095A2E">
            <w:pPr>
              <w:spacing w:line="360" w:lineRule="auto"/>
              <w:ind w:firstLine="482" w:firstLineChars="200"/>
              <w:rPr>
                <w:rFonts w:hint="default" w:ascii="Times New Roman" w:hAnsi="Times New Roman" w:cs="Times New Roman"/>
                <w:color w:val="auto"/>
                <w:sz w:val="24"/>
                <w:highlight w:val="none"/>
              </w:rPr>
            </w:pPr>
            <w:r>
              <w:rPr>
                <w:rFonts w:hint="eastAsia" w:ascii="宋体" w:eastAsia="宋体"/>
                <w:b/>
                <w:color w:val="auto"/>
                <w:sz w:val="24"/>
                <w:szCs w:val="24"/>
              </w:rPr>
              <w:t>十</w:t>
            </w:r>
            <w:r>
              <w:rPr>
                <w:rFonts w:hint="eastAsia" w:ascii="宋体" w:eastAsia="宋体"/>
                <w:b/>
                <w:color w:val="auto"/>
                <w:sz w:val="24"/>
                <w:szCs w:val="24"/>
                <w:lang w:val="en-US" w:eastAsia="zh-CN"/>
              </w:rPr>
              <w:t>四</w:t>
            </w:r>
            <w:r>
              <w:rPr>
                <w:rFonts w:hint="eastAsia" w:ascii="宋体" w:eastAsia="宋体"/>
                <w:b/>
                <w:color w:val="auto"/>
                <w:sz w:val="24"/>
                <w:szCs w:val="24"/>
              </w:rPr>
              <w:t xml:space="preserve">、“三同时”竣工验收一览表 </w:t>
            </w:r>
          </w:p>
          <w:p w14:paraId="4CBAABF1">
            <w:pPr>
              <w:pStyle w:val="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w:t>
            </w:r>
            <w:r>
              <w:rPr>
                <w:rFonts w:hint="eastAsia" w:ascii="宋体" w:hAnsi="宋体" w:eastAsia="宋体" w:cs="宋体"/>
                <w:b/>
                <w:color w:val="auto"/>
                <w:sz w:val="21"/>
                <w:szCs w:val="21"/>
                <w:highlight w:val="none"/>
                <w:lang w:val="en-US" w:eastAsia="zh-CN"/>
              </w:rPr>
              <w:t>-</w:t>
            </w:r>
            <w:r>
              <w:rPr>
                <w:rFonts w:hint="eastAsia" w:hAnsi="宋体" w:cs="宋体"/>
                <w:b/>
                <w:color w:val="auto"/>
                <w:sz w:val="21"/>
                <w:szCs w:val="21"/>
                <w:highlight w:val="none"/>
                <w:lang w:val="en-US" w:eastAsia="zh-CN"/>
              </w:rPr>
              <w:t>24</w:t>
            </w:r>
            <w:r>
              <w:rPr>
                <w:rFonts w:hint="eastAsia" w:ascii="宋体" w:hAnsi="宋体" w:eastAsia="宋体" w:cs="宋体"/>
                <w:b/>
                <w:color w:val="auto"/>
                <w:sz w:val="21"/>
                <w:szCs w:val="21"/>
                <w:highlight w:val="none"/>
              </w:rPr>
              <w:t xml:space="preserve">  </w:t>
            </w:r>
            <w:r>
              <w:rPr>
                <w:rFonts w:hint="eastAsia" w:hAnsi="宋体" w:cs="宋体"/>
                <w:b/>
                <w:color w:val="auto"/>
                <w:sz w:val="21"/>
                <w:szCs w:val="21"/>
                <w:highlight w:val="none"/>
                <w:lang w:val="en-US" w:eastAsia="zh-CN"/>
              </w:rPr>
              <w:t>技改</w:t>
            </w:r>
            <w:r>
              <w:rPr>
                <w:rFonts w:hint="eastAsia" w:hAnsi="宋体" w:cs="宋体"/>
                <w:b/>
                <w:color w:val="auto"/>
                <w:sz w:val="21"/>
                <w:szCs w:val="21"/>
                <w:highlight w:val="none"/>
                <w:lang w:eastAsia="zh-CN"/>
              </w:rPr>
              <w:t>后全厂</w:t>
            </w:r>
            <w:r>
              <w:rPr>
                <w:rFonts w:hint="eastAsia" w:ascii="宋体" w:hAnsi="宋体" w:eastAsia="宋体" w:cs="宋体"/>
                <w:b/>
                <w:color w:val="auto"/>
                <w:sz w:val="21"/>
                <w:szCs w:val="21"/>
                <w:highlight w:val="none"/>
              </w:rPr>
              <w:t>环保设施竣工验收一览表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927"/>
              <w:gridCol w:w="2501"/>
              <w:gridCol w:w="3128"/>
            </w:tblGrid>
            <w:tr w14:paraId="05F31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9" w:type="pct"/>
                  <w:noWrap w:val="0"/>
                  <w:vAlign w:val="center"/>
                </w:tcPr>
                <w:p w14:paraId="2B1F94CE">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b/>
                      <w:bCs w:val="0"/>
                      <w:color w:val="auto"/>
                      <w:sz w:val="21"/>
                      <w:szCs w:val="21"/>
                      <w:highlight w:val="none"/>
                      <w:lang w:eastAsia="zh-CN"/>
                    </w:rPr>
                  </w:pPr>
                  <w:r>
                    <w:rPr>
                      <w:rFonts w:hint="eastAsia" w:cs="Times New Roman"/>
                      <w:b/>
                      <w:bCs w:val="0"/>
                      <w:color w:val="auto"/>
                      <w:sz w:val="21"/>
                      <w:szCs w:val="21"/>
                      <w:highlight w:val="none"/>
                      <w:lang w:val="en-US" w:eastAsia="zh-CN"/>
                    </w:rPr>
                    <w:t>类别</w:t>
                  </w:r>
                </w:p>
              </w:tc>
              <w:tc>
                <w:tcPr>
                  <w:tcW w:w="1173" w:type="pct"/>
                  <w:noWrap w:val="0"/>
                  <w:vAlign w:val="center"/>
                </w:tcPr>
                <w:p w14:paraId="3DB224EF">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
                      <w:bCs w:val="0"/>
                      <w:color w:val="auto"/>
                      <w:sz w:val="21"/>
                      <w:szCs w:val="21"/>
                      <w:highlight w:val="none"/>
                      <w:lang w:val="en-US" w:eastAsia="zh-CN"/>
                    </w:rPr>
                  </w:pPr>
                  <w:r>
                    <w:rPr>
                      <w:rFonts w:hint="eastAsia" w:cs="Times New Roman"/>
                      <w:b/>
                      <w:bCs w:val="0"/>
                      <w:color w:val="auto"/>
                      <w:sz w:val="21"/>
                      <w:szCs w:val="21"/>
                      <w:highlight w:val="none"/>
                      <w:lang w:val="en-US" w:eastAsia="zh-CN"/>
                    </w:rPr>
                    <w:t>污染源</w:t>
                  </w:r>
                </w:p>
              </w:tc>
              <w:tc>
                <w:tcPr>
                  <w:tcW w:w="1522" w:type="pct"/>
                  <w:noWrap w:val="0"/>
                  <w:vAlign w:val="center"/>
                </w:tcPr>
                <w:p w14:paraId="5F547E51">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环保治理措施</w:t>
                  </w:r>
                </w:p>
              </w:tc>
              <w:tc>
                <w:tcPr>
                  <w:tcW w:w="1904" w:type="pct"/>
                  <w:noWrap w:val="0"/>
                  <w:vAlign w:val="center"/>
                </w:tcPr>
                <w:p w14:paraId="09E8FCC3">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val="0"/>
                      <w:color w:val="auto"/>
                      <w:sz w:val="21"/>
                      <w:szCs w:val="21"/>
                      <w:highlight w:val="none"/>
                    </w:rPr>
                  </w:pPr>
                  <w:r>
                    <w:rPr>
                      <w:rFonts w:hint="eastAsia" w:ascii="Times New Roman" w:hAnsi="Times New Roman" w:cs="Times New Roman"/>
                      <w:b/>
                      <w:bCs w:val="0"/>
                      <w:color w:val="auto"/>
                      <w:sz w:val="21"/>
                      <w:szCs w:val="21"/>
                      <w:highlight w:val="none"/>
                      <w:lang w:eastAsia="zh-CN"/>
                    </w:rPr>
                    <w:t>排放</w:t>
                  </w:r>
                  <w:r>
                    <w:rPr>
                      <w:rFonts w:hint="default" w:ascii="Times New Roman" w:hAnsi="Times New Roman" w:cs="Times New Roman"/>
                      <w:b/>
                      <w:bCs w:val="0"/>
                      <w:color w:val="auto"/>
                      <w:sz w:val="21"/>
                      <w:szCs w:val="21"/>
                      <w:highlight w:val="none"/>
                    </w:rPr>
                    <w:t>标准</w:t>
                  </w:r>
                </w:p>
              </w:tc>
            </w:tr>
            <w:tr w14:paraId="04DE5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99" w:type="pct"/>
                  <w:vMerge w:val="restart"/>
                  <w:noWrap w:val="0"/>
                  <w:vAlign w:val="center"/>
                </w:tcPr>
                <w:p w14:paraId="33F58F9B">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173" w:type="pct"/>
                  <w:shd w:val="clear" w:color="auto" w:fill="auto"/>
                  <w:noWrap w:val="0"/>
                  <w:vAlign w:val="center"/>
                </w:tcPr>
                <w:p w14:paraId="23B50247">
                  <w:pPr>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熔融挤出造粒废气</w:t>
                  </w:r>
                </w:p>
              </w:tc>
              <w:tc>
                <w:tcPr>
                  <w:tcW w:w="1522" w:type="pct"/>
                  <w:shd w:val="clear" w:color="auto" w:fill="auto"/>
                  <w:noWrap w:val="0"/>
                  <w:vAlign w:val="center"/>
                </w:tcPr>
                <w:p w14:paraId="44D37695">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bCs/>
                      <w:color w:val="auto"/>
                      <w:kern w:val="44"/>
                      <w:sz w:val="21"/>
                      <w:szCs w:val="21"/>
                      <w:highlight w:val="none"/>
                      <w:lang w:val="en-US" w:eastAsia="zh-CN" w:bidi="ar-SA"/>
                    </w:rPr>
                    <w:t>水浴除尘+高效静电+UV光解+活性炭吸附+15米1#高排气筒</w:t>
                  </w:r>
                </w:p>
              </w:tc>
              <w:tc>
                <w:tcPr>
                  <w:tcW w:w="1904" w:type="pct"/>
                  <w:shd w:val="clear" w:color="auto" w:fill="auto"/>
                  <w:noWrap w:val="0"/>
                  <w:vAlign w:val="center"/>
                </w:tcPr>
                <w:p w14:paraId="2AE0A354">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bCs/>
                      <w:color w:val="auto"/>
                      <w:kern w:val="44"/>
                      <w:sz w:val="21"/>
                      <w:szCs w:val="21"/>
                      <w:highlight w:val="none"/>
                      <w:lang w:val="en-US" w:eastAsia="zh-CN" w:bidi="ar-SA"/>
                    </w:rPr>
                    <w:t>《江西省地方标准：挥发性有机物排放标准第4部分：塑料制品业》（DB36/1101.4-2019）</w:t>
                  </w:r>
                </w:p>
              </w:tc>
            </w:tr>
            <w:tr w14:paraId="4AA7D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99" w:type="pct"/>
                  <w:vMerge w:val="continue"/>
                  <w:noWrap w:val="0"/>
                  <w:vAlign w:val="center"/>
                </w:tcPr>
                <w:p w14:paraId="2388B9AC">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p>
              </w:tc>
              <w:tc>
                <w:tcPr>
                  <w:tcW w:w="1173" w:type="pct"/>
                  <w:noWrap w:val="0"/>
                  <w:vAlign w:val="center"/>
                </w:tcPr>
                <w:p w14:paraId="46019A30">
                  <w:pPr>
                    <w:jc w:val="center"/>
                    <w:rPr>
                      <w:rFonts w:hint="default"/>
                      <w:color w:val="auto"/>
                      <w:sz w:val="21"/>
                      <w:szCs w:val="21"/>
                      <w:lang w:val="en-US" w:eastAsia="zh-CN"/>
                    </w:rPr>
                  </w:pPr>
                  <w:r>
                    <w:rPr>
                      <w:rFonts w:hint="eastAsia"/>
                      <w:color w:val="auto"/>
                      <w:sz w:val="21"/>
                      <w:szCs w:val="21"/>
                      <w:lang w:val="en-US" w:eastAsia="zh-CN"/>
                    </w:rPr>
                    <w:t>投料粉尘</w:t>
                  </w:r>
                </w:p>
              </w:tc>
              <w:tc>
                <w:tcPr>
                  <w:tcW w:w="1522" w:type="pct"/>
                  <w:noWrap w:val="0"/>
                  <w:vAlign w:val="center"/>
                </w:tcPr>
                <w:p w14:paraId="73A22E4A">
                  <w:pPr>
                    <w:jc w:val="center"/>
                    <w:rPr>
                      <w:rFonts w:hint="eastAsia"/>
                      <w:snapToGrid w:val="0"/>
                      <w:color w:val="auto"/>
                      <w:sz w:val="21"/>
                      <w:szCs w:val="21"/>
                      <w:lang w:val="en-US" w:eastAsia="zh-CN"/>
                    </w:rPr>
                  </w:pPr>
                  <w:r>
                    <w:rPr>
                      <w:color w:val="auto"/>
                      <w:szCs w:val="21"/>
                    </w:rPr>
                    <w:t>加强通风</w:t>
                  </w:r>
                </w:p>
              </w:tc>
              <w:tc>
                <w:tcPr>
                  <w:tcW w:w="1904" w:type="pct"/>
                  <w:shd w:val="clear" w:color="auto" w:fill="auto"/>
                  <w:noWrap w:val="0"/>
                  <w:vAlign w:val="center"/>
                </w:tcPr>
                <w:p w14:paraId="1DE3DA84">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bCs/>
                      <w:color w:val="auto"/>
                      <w:kern w:val="44"/>
                      <w:sz w:val="21"/>
                      <w:szCs w:val="21"/>
                      <w:highlight w:val="none"/>
                      <w:lang w:val="en-US" w:eastAsia="zh-CN" w:bidi="ar-SA"/>
                    </w:rPr>
                  </w:pPr>
                  <w:r>
                    <w:rPr>
                      <w:rFonts w:hint="eastAsia" w:ascii="Times New Roman" w:hAnsi="Times New Roman" w:eastAsia="宋体" w:cs="Times New Roman"/>
                      <w:color w:val="auto"/>
                      <w:sz w:val="21"/>
                      <w:szCs w:val="21"/>
                      <w:lang w:val="en-US" w:eastAsia="zh-CN"/>
                    </w:rPr>
                    <w:t>上海市地方标准《大气污染物综合排放标准》（DB31/933-2015）</w:t>
                  </w:r>
                </w:p>
              </w:tc>
            </w:tr>
            <w:tr w14:paraId="67279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99" w:type="pct"/>
                  <w:vMerge w:val="continue"/>
                  <w:noWrap w:val="0"/>
                  <w:vAlign w:val="center"/>
                </w:tcPr>
                <w:p w14:paraId="0FFDD677">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p>
              </w:tc>
              <w:tc>
                <w:tcPr>
                  <w:tcW w:w="1173" w:type="pct"/>
                  <w:noWrap w:val="0"/>
                  <w:vAlign w:val="center"/>
                </w:tcPr>
                <w:p w14:paraId="043C16D9">
                  <w:pPr>
                    <w:jc w:val="center"/>
                    <w:rPr>
                      <w:rFonts w:hint="eastAsia" w:ascii="Times New Roman" w:hAnsi="Times New Roman" w:eastAsia="宋体" w:cs="Times New Roman"/>
                      <w:bCs/>
                      <w:color w:val="auto"/>
                      <w:kern w:val="2"/>
                      <w:sz w:val="21"/>
                      <w:szCs w:val="21"/>
                      <w:highlight w:val="none"/>
                      <w:lang w:val="zh-CN" w:eastAsia="zh-CN" w:bidi="ar-SA"/>
                    </w:rPr>
                  </w:pPr>
                  <w:r>
                    <w:rPr>
                      <w:rFonts w:hint="eastAsia"/>
                      <w:color w:val="auto"/>
                      <w:sz w:val="21"/>
                      <w:szCs w:val="21"/>
                      <w:lang w:val="en-US" w:eastAsia="zh-CN"/>
                    </w:rPr>
                    <w:t>车间、污水处理站恶臭</w:t>
                  </w:r>
                </w:p>
              </w:tc>
              <w:tc>
                <w:tcPr>
                  <w:tcW w:w="1522" w:type="pct"/>
                  <w:noWrap w:val="0"/>
                  <w:vAlign w:val="center"/>
                </w:tcPr>
                <w:p w14:paraId="31BC5B73">
                  <w:pPr>
                    <w:jc w:val="center"/>
                    <w:rPr>
                      <w:rFonts w:hint="default" w:ascii="Times New Roman" w:hAnsi="Times New Roman" w:eastAsia="宋体" w:cs="Times New Roman"/>
                      <w:bCs/>
                      <w:color w:val="auto"/>
                      <w:kern w:val="2"/>
                      <w:sz w:val="21"/>
                      <w:szCs w:val="21"/>
                      <w:highlight w:val="none"/>
                      <w:lang w:val="en-US" w:eastAsia="zh-CN" w:bidi="ar-SA"/>
                    </w:rPr>
                  </w:pPr>
                  <w:r>
                    <w:rPr>
                      <w:color w:val="auto"/>
                      <w:szCs w:val="21"/>
                    </w:rPr>
                    <w:t>加强通风、及时清扫、喷洒除臭剂</w:t>
                  </w:r>
                </w:p>
              </w:tc>
              <w:tc>
                <w:tcPr>
                  <w:tcW w:w="1904" w:type="pct"/>
                  <w:noWrap w:val="0"/>
                  <w:vAlign w:val="center"/>
                </w:tcPr>
                <w:p w14:paraId="78DA9E3F">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lang w:val="en-US" w:eastAsia="zh-CN"/>
                    </w:rPr>
                    <w:t>《恶臭（异味）污染物排放标准》（DB31/1025-2016）</w:t>
                  </w:r>
                </w:p>
              </w:tc>
            </w:tr>
            <w:tr w14:paraId="444C4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399" w:type="pct"/>
                  <w:vMerge w:val="restart"/>
                  <w:noWrap w:val="0"/>
                  <w:vAlign w:val="center"/>
                </w:tcPr>
                <w:p w14:paraId="1DDB36F7">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废水</w:t>
                  </w:r>
                </w:p>
              </w:tc>
              <w:tc>
                <w:tcPr>
                  <w:tcW w:w="1173" w:type="pct"/>
                  <w:tcBorders>
                    <w:bottom w:val="single" w:color="000000" w:sz="2" w:space="0"/>
                  </w:tcBorders>
                  <w:noWrap w:val="0"/>
                  <w:vAlign w:val="center"/>
                </w:tcPr>
                <w:p w14:paraId="2D4BD095">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生活污水</w:t>
                  </w:r>
                </w:p>
              </w:tc>
              <w:tc>
                <w:tcPr>
                  <w:tcW w:w="1522" w:type="pct"/>
                  <w:tcBorders>
                    <w:bottom w:val="single" w:color="000000" w:sz="2" w:space="0"/>
                  </w:tcBorders>
                  <w:noWrap w:val="0"/>
                  <w:vAlign w:val="center"/>
                </w:tcPr>
                <w:p w14:paraId="3006F351">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eastAsia="zh-CN"/>
                    </w:rPr>
                    <w:t>化粪池</w:t>
                  </w:r>
                </w:p>
              </w:tc>
              <w:tc>
                <w:tcPr>
                  <w:tcW w:w="1904" w:type="pct"/>
                  <w:vMerge w:val="restart"/>
                  <w:noWrap w:val="0"/>
                  <w:vAlign w:val="center"/>
                </w:tcPr>
                <w:p w14:paraId="374D85F6">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星火工业园污水处理厂接管标准</w:t>
                  </w:r>
                </w:p>
              </w:tc>
            </w:tr>
            <w:tr w14:paraId="7DE5D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99" w:type="pct"/>
                  <w:vMerge w:val="continue"/>
                  <w:noWrap w:val="0"/>
                  <w:vAlign w:val="center"/>
                </w:tcPr>
                <w:p w14:paraId="6B62E0C3">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cs="Times New Roman"/>
                      <w:color w:val="auto"/>
                      <w:sz w:val="21"/>
                      <w:szCs w:val="21"/>
                      <w:highlight w:val="none"/>
                      <w:lang w:eastAsia="zh-CN"/>
                    </w:rPr>
                  </w:pPr>
                </w:p>
              </w:tc>
              <w:tc>
                <w:tcPr>
                  <w:tcW w:w="1173" w:type="pct"/>
                  <w:tcBorders>
                    <w:top w:val="single" w:color="000000" w:sz="2" w:space="0"/>
                  </w:tcBorders>
                  <w:noWrap w:val="0"/>
                  <w:vAlign w:val="center"/>
                </w:tcPr>
                <w:p w14:paraId="5B54253E">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清洗废水</w:t>
                  </w:r>
                </w:p>
              </w:tc>
              <w:tc>
                <w:tcPr>
                  <w:tcW w:w="1522" w:type="pct"/>
                  <w:tcBorders>
                    <w:top w:val="single" w:color="000000" w:sz="2" w:space="0"/>
                  </w:tcBorders>
                  <w:noWrap w:val="0"/>
                  <w:vAlign w:val="center"/>
                </w:tcPr>
                <w:p w14:paraId="47FFD8FB">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污水处理站</w:t>
                  </w:r>
                  <w:r>
                    <w:rPr>
                      <w:rFonts w:hint="eastAsia"/>
                      <w:color w:val="auto"/>
                      <w:sz w:val="21"/>
                      <w:szCs w:val="21"/>
                    </w:rPr>
                    <w:t>“预处理+物化沉淀”（主要工艺为格栅+调节池+初沉池+絮凝沉淀池+二沉池+回用水池）</w:t>
                  </w:r>
                  <w:r>
                    <w:rPr>
                      <w:rFonts w:hint="eastAsia" w:ascii="Times New Roman" w:hAnsi="Times New Roman" w:eastAsia="宋体" w:cs="Times New Roman"/>
                      <w:color w:val="auto"/>
                      <w:sz w:val="21"/>
                      <w:szCs w:val="21"/>
                      <w:highlight w:val="none"/>
                      <w:lang w:val="en-US" w:eastAsia="zh-CN"/>
                    </w:rPr>
                    <w:t>，处理规模</w:t>
                  </w:r>
                  <w:r>
                    <w:rPr>
                      <w:rFonts w:hint="eastAsia"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lang w:val="en-US" w:eastAsia="zh-CN"/>
                    </w:rPr>
                    <w:t>0m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/d</w:t>
                  </w:r>
                </w:p>
              </w:tc>
              <w:tc>
                <w:tcPr>
                  <w:tcW w:w="1904" w:type="pct"/>
                  <w:vMerge w:val="continue"/>
                  <w:noWrap w:val="0"/>
                  <w:vAlign w:val="center"/>
                </w:tcPr>
                <w:p w14:paraId="196998DA">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p>
              </w:tc>
            </w:tr>
            <w:tr w14:paraId="49B59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399" w:type="pct"/>
                  <w:noWrap w:val="0"/>
                  <w:vAlign w:val="center"/>
                </w:tcPr>
                <w:p w14:paraId="6971F955">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173" w:type="pct"/>
                  <w:noWrap w:val="0"/>
                  <w:vAlign w:val="center"/>
                </w:tcPr>
                <w:p w14:paraId="65B604FE">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噪声源治理</w:t>
                  </w:r>
                </w:p>
              </w:tc>
              <w:tc>
                <w:tcPr>
                  <w:tcW w:w="1522" w:type="pct"/>
                  <w:noWrap w:val="0"/>
                  <w:vAlign w:val="center"/>
                </w:tcPr>
                <w:p w14:paraId="11232EA3">
                  <w:pPr>
                    <w:pStyle w:val="88"/>
                    <w:keepNext w:val="0"/>
                    <w:keepLines w:val="0"/>
                    <w:pageBreakBefore w:val="0"/>
                    <w:widowControl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建筑</w:t>
                  </w:r>
                  <w:r>
                    <w:rPr>
                      <w:rFonts w:hint="default" w:ascii="Times New Roman" w:hAnsi="Times New Roman" w:cs="Times New Roman"/>
                      <w:color w:val="auto"/>
                      <w:sz w:val="21"/>
                      <w:szCs w:val="21"/>
                      <w:highlight w:val="none"/>
                    </w:rPr>
                    <w:t>隔声</w:t>
                  </w:r>
                  <w:r>
                    <w:rPr>
                      <w:rFonts w:hint="eastAsia" w:cs="Times New Roman"/>
                      <w:color w:val="auto"/>
                      <w:sz w:val="21"/>
                      <w:szCs w:val="21"/>
                      <w:highlight w:val="none"/>
                      <w:lang w:eastAsia="zh-CN"/>
                    </w:rPr>
                    <w:t>、减震降噪、低噪设备、合理布局</w:t>
                  </w:r>
                </w:p>
              </w:tc>
              <w:tc>
                <w:tcPr>
                  <w:tcW w:w="1904" w:type="pct"/>
                  <w:noWrap w:val="0"/>
                  <w:vAlign w:val="center"/>
                </w:tcPr>
                <w:p w14:paraId="424738F6">
                  <w:pPr>
                    <w:pStyle w:val="88"/>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厂界噪声达到《工业企业厂界环境噪声排放标准》(GB12348-2008)中3类标准</w:t>
                  </w:r>
                </w:p>
              </w:tc>
            </w:tr>
            <w:tr w14:paraId="33CE8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9" w:type="pct"/>
                  <w:vMerge w:val="restart"/>
                  <w:noWrap w:val="0"/>
                  <w:vAlign w:val="center"/>
                </w:tcPr>
                <w:p w14:paraId="3FEE5817">
                  <w:pPr>
                    <w:keepNext w:val="0"/>
                    <w:keepLines w:val="0"/>
                    <w:pageBreakBefore w:val="0"/>
                    <w:widowControl w:val="0"/>
                    <w:tabs>
                      <w:tab w:val="left" w:pos="1110"/>
                    </w:tabs>
                    <w:kinsoku/>
                    <w:wordWrap/>
                    <w:overflowPunct/>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固废</w:t>
                  </w:r>
                </w:p>
              </w:tc>
              <w:tc>
                <w:tcPr>
                  <w:tcW w:w="1173" w:type="pct"/>
                  <w:noWrap w:val="0"/>
                  <w:vAlign w:val="center"/>
                </w:tcPr>
                <w:p w14:paraId="5B20B4F9">
                  <w:pPr>
                    <w:pStyle w:val="89"/>
                    <w:keepNext w:val="0"/>
                    <w:keepLines w:val="0"/>
                    <w:pageBreakBefore w:val="0"/>
                    <w:widowControl w:val="0"/>
                    <w:kinsoku/>
                    <w:wordWrap/>
                    <w:overflowPunct/>
                    <w:topLinePunct w:val="0"/>
                    <w:bidi w:val="0"/>
                    <w:ind w:firstLine="0" w:firstLineChars="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eastAsia="zh-CN"/>
                    </w:rPr>
                    <w:t>生活垃圾</w:t>
                  </w:r>
                  <w:r>
                    <w:rPr>
                      <w:rFonts w:hint="eastAsia" w:eastAsia="宋体" w:cs="Times New Roman"/>
                      <w:bCs/>
                      <w:color w:val="auto"/>
                      <w:sz w:val="21"/>
                      <w:szCs w:val="21"/>
                      <w:highlight w:val="none"/>
                      <w:lang w:eastAsia="zh-CN"/>
                    </w:rPr>
                    <w:t>、不可利用固体废物、</w:t>
                  </w:r>
                  <w:r>
                    <w:rPr>
                      <w:rFonts w:hint="eastAsia" w:eastAsia="宋体" w:cs="Times New Roman"/>
                      <w:bCs/>
                      <w:color w:val="auto"/>
                      <w:sz w:val="21"/>
                      <w:szCs w:val="21"/>
                      <w:highlight w:val="none"/>
                      <w:lang w:val="en-US" w:eastAsia="zh-CN"/>
                    </w:rPr>
                    <w:t>沉淀池污泥</w:t>
                  </w:r>
                </w:p>
              </w:tc>
              <w:tc>
                <w:tcPr>
                  <w:tcW w:w="1522" w:type="pct"/>
                  <w:noWrap w:val="0"/>
                  <w:vAlign w:val="center"/>
                </w:tcPr>
                <w:p w14:paraId="0B6887F7">
                  <w:pPr>
                    <w:keepNext w:val="0"/>
                    <w:keepLines w:val="0"/>
                    <w:pageBreakBefore w:val="0"/>
                    <w:widowControl w:val="0"/>
                    <w:kinsoku/>
                    <w:wordWrap/>
                    <w:overflowPunct/>
                    <w:topLinePunct w:val="0"/>
                    <w:bidi w:val="0"/>
                    <w:adjustRightInd w:val="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环卫部门定期清运</w:t>
                  </w:r>
                </w:p>
              </w:tc>
              <w:tc>
                <w:tcPr>
                  <w:tcW w:w="1904" w:type="pct"/>
                  <w:vMerge w:val="restart"/>
                  <w:noWrap w:val="0"/>
                  <w:vAlign w:val="center"/>
                </w:tcPr>
                <w:p w14:paraId="13827BE6">
                  <w:pPr>
                    <w:keepNext w:val="0"/>
                    <w:keepLines w:val="0"/>
                    <w:pageBreakBefore w:val="0"/>
                    <w:widowControl w:val="0"/>
                    <w:tabs>
                      <w:tab w:val="left" w:pos="1110"/>
                    </w:tabs>
                    <w:kinsoku/>
                    <w:wordWrap/>
                    <w:overflowPunct/>
                    <w:topLinePunct w:val="0"/>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得到有效处置，对周边环境影响不大</w:t>
                  </w:r>
                </w:p>
              </w:tc>
            </w:tr>
            <w:tr w14:paraId="09A76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9" w:type="pct"/>
                  <w:vMerge w:val="continue"/>
                  <w:noWrap w:val="0"/>
                  <w:vAlign w:val="center"/>
                </w:tcPr>
                <w:p w14:paraId="65D05308">
                  <w:pPr>
                    <w:keepNext w:val="0"/>
                    <w:keepLines w:val="0"/>
                    <w:pageBreakBefore w:val="0"/>
                    <w:widowControl w:val="0"/>
                    <w:tabs>
                      <w:tab w:val="left" w:pos="1110"/>
                    </w:tabs>
                    <w:kinsoku/>
                    <w:wordWrap/>
                    <w:overflowPunct/>
                    <w:topLinePunct w:val="0"/>
                    <w:bidi w:val="0"/>
                    <w:jc w:val="center"/>
                    <w:rPr>
                      <w:rFonts w:hint="default" w:ascii="Times New Roman" w:hAnsi="Times New Roman" w:cs="Times New Roman"/>
                      <w:bCs/>
                      <w:color w:val="auto"/>
                      <w:sz w:val="21"/>
                      <w:szCs w:val="21"/>
                      <w:highlight w:val="none"/>
                    </w:rPr>
                  </w:pPr>
                </w:p>
              </w:tc>
              <w:tc>
                <w:tcPr>
                  <w:tcW w:w="1173" w:type="pct"/>
                  <w:noWrap w:val="0"/>
                  <w:vAlign w:val="center"/>
                </w:tcPr>
                <w:p w14:paraId="5057596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分选杂物</w:t>
                  </w:r>
                </w:p>
              </w:tc>
              <w:tc>
                <w:tcPr>
                  <w:tcW w:w="1522" w:type="pct"/>
                  <w:noWrap w:val="0"/>
                  <w:vAlign w:val="center"/>
                </w:tcPr>
                <w:p w14:paraId="654A2B1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snapToGrid w:val="0"/>
                      <w:color w:val="auto"/>
                      <w:kern w:val="0"/>
                      <w:sz w:val="21"/>
                      <w:szCs w:val="21"/>
                      <w:highlight w:val="none"/>
                      <w:lang w:eastAsia="zh-CN"/>
                    </w:rPr>
                    <w:t>收集外售</w:t>
                  </w:r>
                </w:p>
              </w:tc>
              <w:tc>
                <w:tcPr>
                  <w:tcW w:w="1904" w:type="pct"/>
                  <w:vMerge w:val="continue"/>
                  <w:noWrap w:val="0"/>
                  <w:vAlign w:val="center"/>
                </w:tcPr>
                <w:p w14:paraId="66140AA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r>
            <w:tr w14:paraId="6B72C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9" w:type="pct"/>
                  <w:vMerge w:val="continue"/>
                  <w:noWrap w:val="0"/>
                  <w:vAlign w:val="center"/>
                </w:tcPr>
                <w:p w14:paraId="504369A0">
                  <w:pPr>
                    <w:keepNext w:val="0"/>
                    <w:keepLines w:val="0"/>
                    <w:pageBreakBefore w:val="0"/>
                    <w:widowControl w:val="0"/>
                    <w:tabs>
                      <w:tab w:val="left" w:pos="1110"/>
                    </w:tabs>
                    <w:kinsoku/>
                    <w:wordWrap/>
                    <w:overflowPunct/>
                    <w:topLinePunct w:val="0"/>
                    <w:bidi w:val="0"/>
                    <w:jc w:val="center"/>
                    <w:rPr>
                      <w:rFonts w:hint="default" w:ascii="Times New Roman" w:hAnsi="Times New Roman" w:cs="Times New Roman"/>
                      <w:bCs/>
                      <w:color w:val="auto"/>
                      <w:sz w:val="21"/>
                      <w:szCs w:val="21"/>
                      <w:highlight w:val="none"/>
                    </w:rPr>
                  </w:pPr>
                </w:p>
              </w:tc>
              <w:tc>
                <w:tcPr>
                  <w:tcW w:w="1173" w:type="pct"/>
                  <w:noWrap w:val="0"/>
                  <w:vAlign w:val="center"/>
                </w:tcPr>
                <w:p w14:paraId="2BEDCC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eastAsia="宋体"/>
                      <w:bCs/>
                      <w:color w:val="auto"/>
                      <w:sz w:val="21"/>
                      <w:szCs w:val="21"/>
                      <w:lang w:val="en-US" w:eastAsia="zh-CN"/>
                    </w:rPr>
                  </w:pPr>
                  <w:r>
                    <w:rPr>
                      <w:rFonts w:hint="eastAsia" w:ascii="Times New Roman" w:eastAsia="宋体"/>
                      <w:bCs/>
                      <w:color w:val="auto"/>
                      <w:sz w:val="21"/>
                      <w:szCs w:val="21"/>
                      <w:lang w:val="en-US" w:eastAsia="zh-CN"/>
                    </w:rPr>
                    <w:t>废滤网</w:t>
                  </w:r>
                </w:p>
              </w:tc>
              <w:tc>
                <w:tcPr>
                  <w:tcW w:w="1522" w:type="pct"/>
                  <w:noWrap w:val="0"/>
                  <w:vAlign w:val="center"/>
                </w:tcPr>
                <w:p w14:paraId="3BE7134C">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olor w:val="auto"/>
                      <w:sz w:val="21"/>
                      <w:szCs w:val="21"/>
                    </w:rPr>
                    <w:t>委托相应单位进行清运处置</w:t>
                  </w:r>
                </w:p>
              </w:tc>
              <w:tc>
                <w:tcPr>
                  <w:tcW w:w="1904" w:type="pct"/>
                  <w:vMerge w:val="continue"/>
                  <w:noWrap w:val="0"/>
                  <w:vAlign w:val="center"/>
                </w:tcPr>
                <w:p w14:paraId="64C271F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r>
            <w:tr w14:paraId="76968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9" w:type="pct"/>
                  <w:vMerge w:val="continue"/>
                  <w:noWrap w:val="0"/>
                  <w:vAlign w:val="center"/>
                </w:tcPr>
                <w:p w14:paraId="5F464506">
                  <w:pPr>
                    <w:keepNext w:val="0"/>
                    <w:keepLines w:val="0"/>
                    <w:pageBreakBefore w:val="0"/>
                    <w:widowControl w:val="0"/>
                    <w:tabs>
                      <w:tab w:val="left" w:pos="1110"/>
                    </w:tabs>
                    <w:kinsoku/>
                    <w:wordWrap/>
                    <w:overflowPunct/>
                    <w:topLinePunct w:val="0"/>
                    <w:bidi w:val="0"/>
                    <w:jc w:val="center"/>
                    <w:rPr>
                      <w:rFonts w:hint="default" w:ascii="Times New Roman" w:hAnsi="Times New Roman" w:cs="Times New Roman"/>
                      <w:bCs/>
                      <w:color w:val="auto"/>
                      <w:sz w:val="21"/>
                      <w:szCs w:val="21"/>
                      <w:highlight w:val="none"/>
                    </w:rPr>
                  </w:pPr>
                </w:p>
              </w:tc>
              <w:tc>
                <w:tcPr>
                  <w:tcW w:w="1173" w:type="pct"/>
                  <w:noWrap w:val="0"/>
                  <w:vAlign w:val="center"/>
                </w:tcPr>
                <w:p w14:paraId="0CD8A4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bCs/>
                      <w:color w:val="auto"/>
                      <w:sz w:val="21"/>
                      <w:szCs w:val="21"/>
                    </w:rPr>
                  </w:pPr>
                  <w:r>
                    <w:rPr>
                      <w:rFonts w:hint="default" w:eastAsia="宋体"/>
                      <w:color w:val="auto"/>
                      <w:sz w:val="21"/>
                      <w:szCs w:val="21"/>
                      <w:lang w:val="en-US" w:eastAsia="zh-CN" w:bidi="ar"/>
                    </w:rPr>
                    <w:t>废包装材料</w:t>
                  </w:r>
                </w:p>
              </w:tc>
              <w:tc>
                <w:tcPr>
                  <w:tcW w:w="1522" w:type="pct"/>
                  <w:shd w:val="clear" w:color="auto" w:fill="auto"/>
                  <w:noWrap w:val="0"/>
                  <w:vAlign w:val="center"/>
                </w:tcPr>
                <w:p w14:paraId="5E2A090F">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ascii="Times New Roman" w:hAnsi="Times New Roman" w:eastAsia="Times New Roman" w:cs="Times New Roman"/>
                      <w:color w:val="auto"/>
                      <w:kern w:val="2"/>
                      <w:sz w:val="21"/>
                      <w:szCs w:val="21"/>
                      <w:lang w:val="en-US" w:eastAsia="zh-CN" w:bidi="ar"/>
                    </w:rPr>
                    <w:t>交由厂家回收利用处理</w:t>
                  </w:r>
                </w:p>
              </w:tc>
              <w:tc>
                <w:tcPr>
                  <w:tcW w:w="1904" w:type="pct"/>
                  <w:vMerge w:val="continue"/>
                  <w:noWrap w:val="0"/>
                  <w:vAlign w:val="center"/>
                </w:tcPr>
                <w:p w14:paraId="0AF6A5B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r>
            <w:tr w14:paraId="5026E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9" w:type="pct"/>
                  <w:vMerge w:val="continue"/>
                  <w:noWrap w:val="0"/>
                  <w:vAlign w:val="center"/>
                </w:tcPr>
                <w:p w14:paraId="0B8D2262">
                  <w:pPr>
                    <w:keepNext w:val="0"/>
                    <w:keepLines w:val="0"/>
                    <w:pageBreakBefore w:val="0"/>
                    <w:widowControl w:val="0"/>
                    <w:tabs>
                      <w:tab w:val="left" w:pos="1110"/>
                    </w:tabs>
                    <w:kinsoku/>
                    <w:wordWrap/>
                    <w:overflowPunct/>
                    <w:topLinePunct w:val="0"/>
                    <w:bidi w:val="0"/>
                    <w:jc w:val="center"/>
                    <w:rPr>
                      <w:rFonts w:hint="default" w:ascii="Times New Roman" w:hAnsi="Times New Roman" w:cs="Times New Roman"/>
                      <w:bCs/>
                      <w:color w:val="auto"/>
                      <w:sz w:val="21"/>
                      <w:szCs w:val="21"/>
                      <w:highlight w:val="none"/>
                    </w:rPr>
                  </w:pPr>
                </w:p>
              </w:tc>
              <w:tc>
                <w:tcPr>
                  <w:tcW w:w="1173" w:type="pct"/>
                  <w:noWrap w:val="0"/>
                  <w:vAlign w:val="center"/>
                </w:tcPr>
                <w:p w14:paraId="6BA6F4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ascii="Times New Roman"/>
                      <w:bCs/>
                      <w:color w:val="auto"/>
                      <w:sz w:val="21"/>
                      <w:szCs w:val="21"/>
                    </w:rPr>
                    <w:t>不合格产品及边角料</w:t>
                  </w:r>
                </w:p>
              </w:tc>
              <w:tc>
                <w:tcPr>
                  <w:tcW w:w="1522" w:type="pct"/>
                  <w:noWrap w:val="0"/>
                  <w:vAlign w:val="center"/>
                </w:tcPr>
                <w:p w14:paraId="5D9E9163">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回用于生产</w:t>
                  </w:r>
                </w:p>
              </w:tc>
              <w:tc>
                <w:tcPr>
                  <w:tcW w:w="1904" w:type="pct"/>
                  <w:vMerge w:val="continue"/>
                  <w:noWrap w:val="0"/>
                  <w:vAlign w:val="center"/>
                </w:tcPr>
                <w:p w14:paraId="2015184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r>
            <w:tr w14:paraId="3A671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99" w:type="pct"/>
                  <w:vMerge w:val="continue"/>
                  <w:noWrap w:val="0"/>
                  <w:vAlign w:val="center"/>
                </w:tcPr>
                <w:p w14:paraId="72DF0EA3">
                  <w:pPr>
                    <w:keepNext w:val="0"/>
                    <w:keepLines w:val="0"/>
                    <w:pageBreakBefore w:val="0"/>
                    <w:widowControl w:val="0"/>
                    <w:tabs>
                      <w:tab w:val="left" w:pos="1110"/>
                    </w:tabs>
                    <w:kinsoku/>
                    <w:wordWrap/>
                    <w:overflowPunct/>
                    <w:topLinePunct w:val="0"/>
                    <w:bidi w:val="0"/>
                    <w:jc w:val="center"/>
                    <w:rPr>
                      <w:rFonts w:hint="default" w:ascii="Times New Roman" w:hAnsi="Times New Roman" w:cs="Times New Roman"/>
                      <w:bCs/>
                      <w:color w:val="auto"/>
                      <w:sz w:val="21"/>
                      <w:szCs w:val="21"/>
                      <w:highlight w:val="none"/>
                    </w:rPr>
                  </w:pPr>
                </w:p>
              </w:tc>
              <w:tc>
                <w:tcPr>
                  <w:tcW w:w="1173" w:type="pct"/>
                  <w:noWrap w:val="0"/>
                  <w:vAlign w:val="center"/>
                </w:tcPr>
                <w:p w14:paraId="7CD9377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废活性炭</w:t>
                  </w:r>
                  <w:r>
                    <w:rPr>
                      <w:rFonts w:hint="eastAsia" w:ascii="Times New Roman" w:hAnsi="Times New Roman" w:eastAsia="宋体" w:cs="Times New Roman"/>
                      <w:color w:val="auto"/>
                      <w:kern w:val="2"/>
                      <w:sz w:val="21"/>
                      <w:szCs w:val="21"/>
                      <w:lang w:val="en-US" w:eastAsia="zh-CN" w:bidi="ar-SA"/>
                    </w:rPr>
                    <w:t>、废原料桶、</w:t>
                  </w:r>
                  <w:r>
                    <w:rPr>
                      <w:rFonts w:hint="eastAsia" w:ascii="Times New Roman" w:hAnsi="Times New Roman" w:eastAsia="宋体" w:cs="Times New Roman"/>
                      <w:color w:val="auto"/>
                      <w:sz w:val="21"/>
                      <w:szCs w:val="21"/>
                      <w:lang w:val="en-US" w:eastAsia="zh-CN"/>
                    </w:rPr>
                    <w:t>废机油、</w:t>
                  </w:r>
                  <w:r>
                    <w:rPr>
                      <w:rFonts w:hint="eastAsia" w:eastAsia="宋体" w:cs="Times New Roman"/>
                      <w:color w:val="auto"/>
                      <w:sz w:val="21"/>
                      <w:szCs w:val="21"/>
                      <w:lang w:val="en-US" w:eastAsia="zh-CN"/>
                    </w:rPr>
                    <w:t>含油抹布及手套</w:t>
                  </w:r>
                </w:p>
              </w:tc>
              <w:tc>
                <w:tcPr>
                  <w:tcW w:w="1522" w:type="pct"/>
                  <w:noWrap w:val="0"/>
                  <w:vAlign w:val="center"/>
                </w:tcPr>
                <w:p w14:paraId="7FECE43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委托有资质单位处理</w:t>
                  </w:r>
                </w:p>
              </w:tc>
              <w:tc>
                <w:tcPr>
                  <w:tcW w:w="1904" w:type="pct"/>
                  <w:vMerge w:val="continue"/>
                  <w:noWrap w:val="0"/>
                  <w:vAlign w:val="center"/>
                </w:tcPr>
                <w:p w14:paraId="45616D7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r>
          </w:tbl>
          <w:p w14:paraId="1094B30D">
            <w:pPr>
              <w:pStyle w:val="27"/>
              <w:ind w:left="0" w:leftChars="0" w:firstLine="0" w:firstLineChars="0"/>
              <w:rPr>
                <w:rFonts w:hint="default"/>
                <w:color w:val="auto"/>
                <w:lang w:val="en-US" w:eastAsia="zh-CN"/>
              </w:rPr>
            </w:pPr>
          </w:p>
        </w:tc>
      </w:tr>
    </w:tbl>
    <w:p w14:paraId="7220F410">
      <w:pPr>
        <w:pStyle w:val="14"/>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3A07799">
      <w:pPr>
        <w:pStyle w:val="14"/>
        <w:pageBreakBefore w:val="0"/>
        <w:topLinePunct w:val="0"/>
        <w:bidi w:val="0"/>
        <w:adjustRightInd/>
        <w:snapToGrid/>
        <w:spacing w:before="0" w:beforeAutospacing="0" w:after="0" w:afterAutospacing="0"/>
        <w:ind w:left="0" w:leftChars="0" w:right="0" w:rightChars="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6" w:name="_Hlk54167917"/>
      <w:r>
        <w:rPr>
          <w:rFonts w:hint="eastAsia" w:ascii="黑体" w:hAnsi="黑体" w:eastAsia="黑体"/>
          <w:snapToGrid w:val="0"/>
          <w:color w:val="auto"/>
          <w:sz w:val="30"/>
          <w:szCs w:val="30"/>
        </w:rPr>
        <w:t>环境保护措施监督检查清单</w:t>
      </w:r>
      <w:bookmarkEnd w:id="6"/>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256"/>
        <w:gridCol w:w="1053"/>
        <w:gridCol w:w="2973"/>
        <w:gridCol w:w="2288"/>
      </w:tblGrid>
      <w:tr w14:paraId="10BA2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tcBorders>
              <w:tl2br w:val="single" w:color="auto" w:sz="4" w:space="0"/>
            </w:tcBorders>
            <w:noWrap w:val="0"/>
            <w:vAlign w:val="top"/>
          </w:tcPr>
          <w:p w14:paraId="23600B6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right"/>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p w14:paraId="6AB6985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rPr>
                <w:rFonts w:hint="default" w:ascii="Times New Roman" w:hAnsi="Times New Roman" w:cs="Times New Roman"/>
                <w:b/>
                <w:bCs/>
                <w:color w:val="auto"/>
                <w:sz w:val="21"/>
                <w:szCs w:val="21"/>
              </w:rPr>
            </w:pPr>
          </w:p>
          <w:p w14:paraId="264A177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要素</w:t>
            </w:r>
          </w:p>
        </w:tc>
        <w:tc>
          <w:tcPr>
            <w:tcW w:w="736" w:type="pct"/>
            <w:noWrap w:val="0"/>
            <w:vAlign w:val="center"/>
          </w:tcPr>
          <w:p w14:paraId="0FE9E9A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排放口(编号、名称)/污染源</w:t>
            </w:r>
          </w:p>
        </w:tc>
        <w:tc>
          <w:tcPr>
            <w:tcW w:w="617" w:type="pct"/>
            <w:noWrap w:val="0"/>
            <w:vAlign w:val="center"/>
          </w:tcPr>
          <w:p w14:paraId="6E93AEC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污染物项目</w:t>
            </w:r>
          </w:p>
        </w:tc>
        <w:tc>
          <w:tcPr>
            <w:tcW w:w="1744" w:type="pct"/>
            <w:noWrap w:val="0"/>
            <w:vAlign w:val="center"/>
          </w:tcPr>
          <w:p w14:paraId="27D2FC9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环境保护措施</w:t>
            </w:r>
          </w:p>
        </w:tc>
        <w:tc>
          <w:tcPr>
            <w:tcW w:w="1342" w:type="pct"/>
            <w:noWrap w:val="0"/>
            <w:vAlign w:val="center"/>
          </w:tcPr>
          <w:p w14:paraId="3632C24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55D19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restart"/>
            <w:noWrap w:val="0"/>
            <w:vAlign w:val="center"/>
          </w:tcPr>
          <w:p w14:paraId="625C865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736" w:type="pct"/>
            <w:noWrap w:val="0"/>
            <w:vAlign w:val="center"/>
          </w:tcPr>
          <w:p w14:paraId="2DF08FB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DA001</w:t>
            </w:r>
            <w:r>
              <w:rPr>
                <w:rFonts w:hint="default"/>
                <w:color w:val="auto"/>
                <w:sz w:val="21"/>
                <w:szCs w:val="21"/>
                <w:lang w:val="en-US" w:eastAsia="zh-CN"/>
              </w:rPr>
              <w:t>排气筒</w:t>
            </w:r>
          </w:p>
        </w:tc>
        <w:tc>
          <w:tcPr>
            <w:tcW w:w="617" w:type="pct"/>
            <w:noWrap w:val="0"/>
            <w:vAlign w:val="center"/>
          </w:tcPr>
          <w:p w14:paraId="53AB7F8B">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VOC</w:t>
            </w:r>
            <w:r>
              <w:rPr>
                <w:rFonts w:hint="eastAsia" w:ascii="Times New Roman"/>
                <w:color w:val="auto"/>
                <w:sz w:val="21"/>
                <w:szCs w:val="21"/>
                <w:vertAlign w:val="subscript"/>
                <w:lang w:val="en-US" w:eastAsia="zh-CN"/>
              </w:rPr>
              <w:t>S</w:t>
            </w:r>
            <w:r>
              <w:rPr>
                <w:rFonts w:hint="eastAsia" w:eastAsia="宋体" w:cs="Times New Roman"/>
                <w:color w:val="auto"/>
                <w:sz w:val="21"/>
                <w:szCs w:val="21"/>
                <w:lang w:val="en-US" w:eastAsia="zh-CN"/>
              </w:rPr>
              <w:t>、臭气浓度</w:t>
            </w:r>
          </w:p>
        </w:tc>
        <w:tc>
          <w:tcPr>
            <w:tcW w:w="1744" w:type="pct"/>
            <w:noWrap w:val="0"/>
            <w:vAlign w:val="center"/>
          </w:tcPr>
          <w:p w14:paraId="7E1D81E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baseline"/>
              <w:rPr>
                <w:rFonts w:hint="default" w:eastAsia="宋体"/>
                <w:color w:val="auto"/>
                <w:sz w:val="21"/>
                <w:szCs w:val="21"/>
                <w:lang w:val="en-US" w:eastAsia="zh-CN"/>
              </w:rPr>
            </w:pPr>
            <w:r>
              <w:rPr>
                <w:rFonts w:hint="default" w:ascii="Times New Roman" w:hAnsi="Times New Roman" w:eastAsia="宋体" w:cs="Times New Roman"/>
                <w:bCs/>
                <w:color w:val="auto"/>
                <w:kern w:val="44"/>
                <w:sz w:val="21"/>
                <w:szCs w:val="21"/>
                <w:highlight w:val="none"/>
                <w:lang w:val="en-US" w:eastAsia="zh-CN" w:bidi="ar-SA"/>
              </w:rPr>
              <w:t>水浴除尘+高效静电+UV光解+活性炭吸附+15米1#高排气筒</w:t>
            </w:r>
          </w:p>
        </w:tc>
        <w:tc>
          <w:tcPr>
            <w:tcW w:w="1342" w:type="pct"/>
            <w:vMerge w:val="restart"/>
            <w:noWrap w:val="0"/>
            <w:vAlign w:val="center"/>
          </w:tcPr>
          <w:p w14:paraId="5048B7E5">
            <w:pPr>
              <w:pStyle w:val="42"/>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Cs/>
                <w:color w:val="auto"/>
                <w:kern w:val="44"/>
                <w:sz w:val="21"/>
                <w:szCs w:val="21"/>
                <w:highlight w:val="none"/>
                <w:lang w:val="en-US" w:eastAsia="zh-CN" w:bidi="ar-SA"/>
              </w:rPr>
            </w:pPr>
            <w:r>
              <w:rPr>
                <w:rFonts w:hint="default" w:ascii="Times New Roman" w:hAnsi="Times New Roman" w:eastAsia="宋体" w:cs="Times New Roman"/>
                <w:bCs/>
                <w:color w:val="auto"/>
                <w:kern w:val="44"/>
                <w:sz w:val="21"/>
                <w:szCs w:val="21"/>
                <w:highlight w:val="none"/>
                <w:lang w:val="en-US" w:eastAsia="zh-CN" w:bidi="ar-SA"/>
              </w:rPr>
              <w:t>《江西省地方标准：挥发性有机物排放标准第4部分：塑料制品业》（DB36/1101.4-2019）</w:t>
            </w:r>
            <w:r>
              <w:rPr>
                <w:rFonts w:hint="eastAsia" w:ascii="Times New Roman" w:hAnsi="Times New Roman" w:eastAsia="宋体" w:cs="Times New Roman"/>
                <w:bCs/>
                <w:color w:val="auto"/>
                <w:kern w:val="44"/>
                <w:sz w:val="21"/>
                <w:szCs w:val="21"/>
                <w:highlight w:val="none"/>
                <w:lang w:val="en-US" w:eastAsia="zh-CN" w:bidi="ar-SA"/>
              </w:rPr>
              <w:t>、</w:t>
            </w:r>
          </w:p>
          <w:p w14:paraId="1DA1CE0C">
            <w:pPr>
              <w:pStyle w:val="42"/>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z w:val="21"/>
                <w:szCs w:val="21"/>
              </w:rPr>
            </w:pPr>
            <w:r>
              <w:rPr>
                <w:rFonts w:hint="eastAsia" w:ascii="Times New Roman" w:hAnsi="Times New Roman" w:eastAsia="宋体" w:cs="Times New Roman"/>
                <w:color w:val="auto"/>
                <w:sz w:val="21"/>
                <w:szCs w:val="21"/>
                <w:lang w:val="en-US" w:eastAsia="zh-CN"/>
              </w:rPr>
              <w:t>上海市地方标准《大气污染物综合排放标准》（DB31/933-2015）、</w:t>
            </w:r>
          </w:p>
          <w:p w14:paraId="55A35050">
            <w:pPr>
              <w:pStyle w:val="42"/>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z w:val="21"/>
                <w:szCs w:val="21"/>
              </w:rPr>
            </w:pPr>
            <w:r>
              <w:rPr>
                <w:rFonts w:hint="eastAsia" w:cs="Times New Roman"/>
                <w:color w:val="auto"/>
                <w:sz w:val="21"/>
                <w:szCs w:val="21"/>
                <w:lang w:val="en-US" w:eastAsia="zh-CN"/>
              </w:rPr>
              <w:t>《恶臭（异味）污染物排放标准》（DB31/1025-2016）</w:t>
            </w:r>
          </w:p>
        </w:tc>
      </w:tr>
      <w:tr w14:paraId="25FC7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noWrap w:val="0"/>
            <w:vAlign w:val="center"/>
          </w:tcPr>
          <w:p w14:paraId="54824FF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736" w:type="pct"/>
            <w:noWrap w:val="0"/>
            <w:vAlign w:val="center"/>
          </w:tcPr>
          <w:p w14:paraId="168BA3D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投料粉尘</w:t>
            </w:r>
          </w:p>
        </w:tc>
        <w:tc>
          <w:tcPr>
            <w:tcW w:w="617" w:type="pct"/>
            <w:noWrap w:val="0"/>
            <w:vAlign w:val="center"/>
          </w:tcPr>
          <w:p w14:paraId="227A978E">
            <w:pPr>
              <w:pStyle w:val="60"/>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颗粒物</w:t>
            </w:r>
          </w:p>
        </w:tc>
        <w:tc>
          <w:tcPr>
            <w:tcW w:w="1744" w:type="pct"/>
            <w:vMerge w:val="restart"/>
            <w:noWrap w:val="0"/>
            <w:vAlign w:val="center"/>
          </w:tcPr>
          <w:p w14:paraId="3EE33F4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color w:val="auto"/>
                <w:sz w:val="21"/>
                <w:szCs w:val="21"/>
              </w:rPr>
            </w:pPr>
            <w:r>
              <w:rPr>
                <w:rFonts w:hint="default" w:ascii="Times New Roman" w:hAnsi="Times New Roman" w:cs="Times New Roman"/>
                <w:snapToGrid w:val="0"/>
                <w:color w:val="auto"/>
                <w:sz w:val="21"/>
                <w:szCs w:val="21"/>
              </w:rPr>
              <w:t>加强</w:t>
            </w:r>
            <w:r>
              <w:rPr>
                <w:rFonts w:hint="eastAsia" w:ascii="Times New Roman" w:hAnsi="Times New Roman" w:cs="Times New Roman"/>
                <w:snapToGrid w:val="0"/>
                <w:color w:val="auto"/>
                <w:sz w:val="21"/>
                <w:szCs w:val="21"/>
                <w:lang w:eastAsia="zh-CN"/>
              </w:rPr>
              <w:t>通风</w:t>
            </w:r>
          </w:p>
        </w:tc>
        <w:tc>
          <w:tcPr>
            <w:tcW w:w="1342" w:type="pct"/>
            <w:vMerge w:val="continue"/>
            <w:noWrap w:val="0"/>
            <w:vAlign w:val="center"/>
          </w:tcPr>
          <w:p w14:paraId="391B923D">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color w:val="auto"/>
                <w:sz w:val="21"/>
                <w:szCs w:val="21"/>
              </w:rPr>
            </w:pPr>
          </w:p>
        </w:tc>
      </w:tr>
      <w:tr w14:paraId="73109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vMerge w:val="continue"/>
            <w:noWrap w:val="0"/>
            <w:vAlign w:val="center"/>
          </w:tcPr>
          <w:p w14:paraId="30D1AFE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p>
        </w:tc>
        <w:tc>
          <w:tcPr>
            <w:tcW w:w="736" w:type="pct"/>
            <w:noWrap w:val="0"/>
            <w:vAlign w:val="center"/>
          </w:tcPr>
          <w:p w14:paraId="575B3A2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baseline"/>
              <w:rPr>
                <w:rFonts w:hint="eastAsia"/>
                <w:color w:val="auto"/>
                <w:sz w:val="21"/>
                <w:szCs w:val="21"/>
              </w:rPr>
            </w:pPr>
            <w:r>
              <w:rPr>
                <w:rFonts w:hint="eastAsia" w:eastAsia="宋体"/>
                <w:color w:val="auto"/>
                <w:sz w:val="21"/>
                <w:szCs w:val="21"/>
                <w:lang w:val="en-US" w:eastAsia="zh-CN"/>
              </w:rPr>
              <w:t>车间、污水处理站恶臭</w:t>
            </w:r>
          </w:p>
        </w:tc>
        <w:tc>
          <w:tcPr>
            <w:tcW w:w="617" w:type="pct"/>
            <w:noWrap w:val="0"/>
            <w:vAlign w:val="center"/>
          </w:tcPr>
          <w:p w14:paraId="3B4A86BB">
            <w:pPr>
              <w:pStyle w:val="5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rPr>
                <w:rFonts w:hint="eastAsia" w:ascii="Times New Roman"/>
                <w:color w:val="auto"/>
                <w:sz w:val="21"/>
                <w:szCs w:val="21"/>
              </w:rPr>
            </w:pPr>
            <w:r>
              <w:rPr>
                <w:rFonts w:hint="default" w:ascii="Times New Roman" w:hAnsi="Times New Roman" w:cs="Times New Roman"/>
                <w:color w:val="auto"/>
                <w:w w:val="100"/>
                <w:kern w:val="0"/>
                <w:sz w:val="21"/>
                <w:szCs w:val="21"/>
              </w:rPr>
              <w:t>H</w:t>
            </w:r>
            <w:r>
              <w:rPr>
                <w:rFonts w:hint="default" w:ascii="Times New Roman" w:hAnsi="Times New Roman" w:cs="Times New Roman"/>
                <w:color w:val="auto"/>
                <w:w w:val="100"/>
                <w:kern w:val="0"/>
                <w:sz w:val="21"/>
                <w:szCs w:val="21"/>
                <w:vertAlign w:val="subscript"/>
              </w:rPr>
              <w:t>2</w:t>
            </w:r>
            <w:r>
              <w:rPr>
                <w:rFonts w:hint="default" w:ascii="Times New Roman" w:hAnsi="Times New Roman" w:cs="Times New Roman"/>
                <w:color w:val="auto"/>
                <w:w w:val="100"/>
                <w:kern w:val="0"/>
                <w:sz w:val="21"/>
                <w:szCs w:val="21"/>
              </w:rPr>
              <w:t>S、NH</w:t>
            </w:r>
            <w:r>
              <w:rPr>
                <w:rFonts w:hint="default" w:ascii="Times New Roman" w:hAnsi="Times New Roman" w:cs="Times New Roman"/>
                <w:color w:val="auto"/>
                <w:w w:val="100"/>
                <w:kern w:val="0"/>
                <w:sz w:val="21"/>
                <w:szCs w:val="21"/>
                <w:vertAlign w:val="subscript"/>
              </w:rPr>
              <w:t>3</w:t>
            </w:r>
            <w:r>
              <w:rPr>
                <w:rFonts w:hint="eastAsia" w:eastAsia="宋体" w:cs="Times New Roman"/>
                <w:color w:val="auto"/>
                <w:sz w:val="21"/>
                <w:szCs w:val="21"/>
                <w:lang w:val="en-US" w:eastAsia="zh-CN"/>
              </w:rPr>
              <w:t>、臭气浓度</w:t>
            </w:r>
          </w:p>
        </w:tc>
        <w:tc>
          <w:tcPr>
            <w:tcW w:w="1744" w:type="pct"/>
            <w:vMerge w:val="continue"/>
            <w:noWrap w:val="0"/>
            <w:vAlign w:val="center"/>
          </w:tcPr>
          <w:p w14:paraId="7BB69FA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eastAsia"/>
                <w:color w:val="auto"/>
                <w:sz w:val="21"/>
                <w:szCs w:val="21"/>
              </w:rPr>
            </w:pPr>
          </w:p>
        </w:tc>
        <w:tc>
          <w:tcPr>
            <w:tcW w:w="1342" w:type="pct"/>
            <w:vMerge w:val="continue"/>
            <w:noWrap w:val="0"/>
            <w:vAlign w:val="center"/>
          </w:tcPr>
          <w:p w14:paraId="4558A30F">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color w:val="auto"/>
                <w:sz w:val="21"/>
                <w:szCs w:val="21"/>
              </w:rPr>
            </w:pPr>
          </w:p>
        </w:tc>
      </w:tr>
      <w:tr w14:paraId="484FC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tcBorders>
              <w:bottom w:val="single" w:color="000000" w:sz="4" w:space="0"/>
            </w:tcBorders>
            <w:noWrap w:val="0"/>
            <w:vAlign w:val="center"/>
          </w:tcPr>
          <w:p w14:paraId="2AD7DC1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736" w:type="pct"/>
            <w:noWrap w:val="0"/>
            <w:vAlign w:val="center"/>
          </w:tcPr>
          <w:p w14:paraId="161A47D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baseline"/>
              <w:rPr>
                <w:rFonts w:hint="eastAsia" w:ascii="Times New Roman" w:hAnsi="Times New Roman" w:eastAsia="宋体" w:cs="Times New Roman"/>
                <w:color w:val="auto"/>
                <w:sz w:val="21"/>
                <w:szCs w:val="21"/>
                <w:lang w:val="en-US" w:eastAsia="zh-CN"/>
              </w:rPr>
            </w:pPr>
            <w:r>
              <w:rPr>
                <w:rFonts w:hint="eastAsia" w:eastAsia="宋体"/>
                <w:color w:val="auto"/>
                <w:sz w:val="21"/>
                <w:szCs w:val="21"/>
                <w:lang w:val="en-US" w:eastAsia="zh-CN"/>
              </w:rPr>
              <w:t>综合废水</w:t>
            </w:r>
          </w:p>
        </w:tc>
        <w:tc>
          <w:tcPr>
            <w:tcW w:w="617" w:type="pct"/>
            <w:noWrap w:val="0"/>
            <w:vAlign w:val="center"/>
          </w:tcPr>
          <w:p w14:paraId="139E9CC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baseline"/>
              <w:rPr>
                <w:rFonts w:hint="default" w:ascii="Times New Roman" w:hAnsi="Times New Roman" w:cs="Times New Roman"/>
                <w:color w:val="auto"/>
                <w:sz w:val="21"/>
                <w:szCs w:val="21"/>
              </w:rPr>
            </w:pPr>
            <w:r>
              <w:rPr>
                <w:rFonts w:ascii="Times New Roman" w:hAnsi="Times New Roman"/>
                <w:color w:val="auto"/>
                <w:sz w:val="21"/>
                <w:szCs w:val="21"/>
              </w:rPr>
              <w:t>pH值、SS、BOD</w:t>
            </w:r>
            <w:r>
              <w:rPr>
                <w:rFonts w:ascii="Times New Roman" w:hAnsi="Times New Roman"/>
                <w:color w:val="auto"/>
                <w:sz w:val="21"/>
                <w:szCs w:val="21"/>
                <w:vertAlign w:val="subscript"/>
              </w:rPr>
              <w:t>5</w:t>
            </w:r>
            <w:r>
              <w:rPr>
                <w:rFonts w:ascii="Times New Roman" w:hAnsi="Times New Roman"/>
                <w:color w:val="auto"/>
                <w:sz w:val="21"/>
                <w:szCs w:val="21"/>
              </w:rPr>
              <w:t>、COD、氨氮、总磷、总氮</w:t>
            </w:r>
            <w:r>
              <w:rPr>
                <w:rFonts w:hint="eastAsia" w:ascii="Times New Roman" w:hAnsi="Times New Roman"/>
                <w:color w:val="auto"/>
                <w:sz w:val="21"/>
                <w:szCs w:val="21"/>
                <w:lang w:eastAsia="zh-CN"/>
              </w:rPr>
              <w:t>、</w:t>
            </w:r>
            <w:r>
              <w:rPr>
                <w:rFonts w:hint="eastAsia"/>
                <w:color w:val="auto"/>
                <w:sz w:val="21"/>
                <w:szCs w:val="21"/>
                <w:lang w:val="en-US" w:eastAsia="zh-CN"/>
              </w:rPr>
              <w:t>石油类</w:t>
            </w:r>
          </w:p>
        </w:tc>
        <w:tc>
          <w:tcPr>
            <w:tcW w:w="1744" w:type="pct"/>
            <w:noWrap w:val="0"/>
            <w:vAlign w:val="center"/>
          </w:tcPr>
          <w:p w14:paraId="0883138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color w:val="auto"/>
                <w:sz w:val="21"/>
                <w:szCs w:val="21"/>
              </w:rPr>
              <w:t>项目</w:t>
            </w:r>
            <w:r>
              <w:rPr>
                <w:rFonts w:hint="eastAsia"/>
                <w:color w:val="auto"/>
                <w:sz w:val="21"/>
                <w:szCs w:val="21"/>
                <w:lang w:val="en-US" w:eastAsia="zh-CN"/>
              </w:rPr>
              <w:t>清洗废水</w:t>
            </w:r>
            <w:r>
              <w:rPr>
                <w:rFonts w:hint="eastAsia"/>
                <w:color w:val="auto"/>
                <w:sz w:val="21"/>
                <w:szCs w:val="21"/>
              </w:rPr>
              <w:t>通过污水处理设施（主要工艺为格栅+调节池+初沉池+絮凝沉淀池+二沉池+回用水池）处理，</w:t>
            </w:r>
            <w:r>
              <w:rPr>
                <w:rFonts w:hint="eastAsia" w:eastAsia="宋体"/>
                <w:color w:val="auto"/>
                <w:sz w:val="21"/>
                <w:szCs w:val="21"/>
                <w:lang w:val="en-US" w:eastAsia="zh-CN"/>
              </w:rPr>
              <w:t>90</w:t>
            </w:r>
            <w:r>
              <w:rPr>
                <w:rFonts w:hint="eastAsia"/>
                <w:color w:val="auto"/>
                <w:sz w:val="21"/>
                <w:szCs w:val="21"/>
              </w:rPr>
              <w:t>%水可回用</w:t>
            </w:r>
            <w:r>
              <w:rPr>
                <w:rFonts w:hint="eastAsia" w:eastAsia="宋体"/>
                <w:color w:val="auto"/>
                <w:sz w:val="21"/>
                <w:szCs w:val="21"/>
                <w:lang w:val="en-US" w:eastAsia="zh-CN"/>
              </w:rPr>
              <w:t>清洗</w:t>
            </w:r>
            <w:r>
              <w:rPr>
                <w:rFonts w:hint="eastAsia"/>
                <w:color w:val="auto"/>
                <w:sz w:val="21"/>
                <w:szCs w:val="21"/>
              </w:rPr>
              <w:t>工序，剩下</w:t>
            </w:r>
            <w:r>
              <w:rPr>
                <w:rFonts w:hint="eastAsia" w:ascii="宋体" w:eastAsia="宋体"/>
                <w:color w:val="auto"/>
                <w:sz w:val="21"/>
                <w:szCs w:val="21"/>
                <w:lang w:val="en-US" w:eastAsia="zh-CN"/>
              </w:rPr>
              <w:t>10</w:t>
            </w:r>
            <w:r>
              <w:rPr>
                <w:rFonts w:hint="eastAsia"/>
                <w:color w:val="auto"/>
                <w:sz w:val="21"/>
                <w:szCs w:val="21"/>
              </w:rPr>
              <w:t>%生产废水与</w:t>
            </w:r>
            <w:r>
              <w:rPr>
                <w:rFonts w:hint="eastAsia" w:eastAsia="宋体"/>
                <w:color w:val="auto"/>
                <w:sz w:val="21"/>
                <w:szCs w:val="21"/>
                <w:lang w:eastAsia="zh-CN"/>
              </w:rPr>
              <w:t>经化粪池预处理的生活污水混合</w:t>
            </w:r>
            <w:r>
              <w:rPr>
                <w:rFonts w:hint="eastAsia"/>
                <w:color w:val="auto"/>
                <w:sz w:val="21"/>
                <w:szCs w:val="21"/>
                <w:lang w:val="en-US" w:eastAsia="zh-CN"/>
              </w:rPr>
              <w:t>外排至星火工业园污水处理厂</w:t>
            </w:r>
          </w:p>
        </w:tc>
        <w:tc>
          <w:tcPr>
            <w:tcW w:w="1342" w:type="pct"/>
            <w:noWrap w:val="0"/>
            <w:vAlign w:val="center"/>
          </w:tcPr>
          <w:p w14:paraId="300E9086">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sz w:val="21"/>
                <w:szCs w:val="21"/>
                <w:lang w:eastAsia="zh-CN"/>
              </w:rPr>
            </w:pPr>
            <w:r>
              <w:rPr>
                <w:rFonts w:hint="eastAsia" w:cs="Times New Roman"/>
                <w:color w:val="auto"/>
                <w:sz w:val="21"/>
                <w:szCs w:val="21"/>
                <w:highlight w:val="none"/>
                <w:lang w:eastAsia="zh-CN"/>
              </w:rPr>
              <w:t>星火工业园污水处理厂接管标准</w:t>
            </w:r>
          </w:p>
        </w:tc>
      </w:tr>
      <w:tr w14:paraId="693E5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14:paraId="6422E01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736" w:type="pct"/>
            <w:noWrap w:val="0"/>
            <w:vAlign w:val="center"/>
          </w:tcPr>
          <w:p w14:paraId="68DBF77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生产设备</w:t>
            </w:r>
          </w:p>
        </w:tc>
        <w:tc>
          <w:tcPr>
            <w:tcW w:w="617" w:type="pct"/>
            <w:noWrap w:val="0"/>
            <w:vAlign w:val="center"/>
          </w:tcPr>
          <w:p w14:paraId="0BA17C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等效A声级</w:t>
            </w:r>
          </w:p>
        </w:tc>
        <w:tc>
          <w:tcPr>
            <w:tcW w:w="1744" w:type="pct"/>
            <w:noWrap w:val="0"/>
            <w:vAlign w:val="center"/>
          </w:tcPr>
          <w:p w14:paraId="2905393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建筑隔声、消声、减震、吸声、合理布局</w:t>
            </w:r>
          </w:p>
        </w:tc>
        <w:tc>
          <w:tcPr>
            <w:tcW w:w="1342" w:type="pct"/>
            <w:noWrap w:val="0"/>
            <w:vAlign w:val="center"/>
          </w:tcPr>
          <w:p w14:paraId="05FA07B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eastAsia="宋体"/>
                <w:color w:val="auto"/>
                <w:sz w:val="21"/>
                <w:szCs w:val="21"/>
              </w:rPr>
              <w:t>《工业企业厂界环境噪声排放标准》（GB12348-2008）</w:t>
            </w:r>
            <w:r>
              <w:rPr>
                <w:rFonts w:hint="eastAsia" w:eastAsia="宋体"/>
                <w:color w:val="auto"/>
                <w:sz w:val="21"/>
                <w:szCs w:val="21"/>
                <w:lang w:val="en-US" w:eastAsia="zh-CN"/>
              </w:rPr>
              <w:t>3</w:t>
            </w:r>
            <w:r>
              <w:rPr>
                <w:rFonts w:eastAsia="宋体"/>
                <w:color w:val="auto"/>
                <w:sz w:val="21"/>
                <w:szCs w:val="21"/>
              </w:rPr>
              <w:t>类</w:t>
            </w:r>
          </w:p>
        </w:tc>
      </w:tr>
      <w:tr w14:paraId="2C520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14:paraId="561A148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4441" w:type="pct"/>
            <w:gridSpan w:val="4"/>
            <w:noWrap w:val="0"/>
            <w:vAlign w:val="center"/>
          </w:tcPr>
          <w:p w14:paraId="68E5084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w:t>
            </w:r>
          </w:p>
        </w:tc>
      </w:tr>
      <w:tr w14:paraId="3C63C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14:paraId="019EFDA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4441" w:type="pct"/>
            <w:gridSpan w:val="4"/>
            <w:noWrap w:val="0"/>
            <w:vAlign w:val="center"/>
          </w:tcPr>
          <w:p w14:paraId="6945D3D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bCs/>
                <w:color w:val="auto"/>
                <w:sz w:val="21"/>
                <w:szCs w:val="21"/>
                <w:highlight w:val="none"/>
                <w:lang w:eastAsia="zh-CN"/>
              </w:rPr>
              <w:t>生活垃圾</w:t>
            </w:r>
            <w:r>
              <w:rPr>
                <w:rFonts w:hint="eastAsia" w:eastAsia="宋体" w:cs="Times New Roman"/>
                <w:bCs/>
                <w:color w:val="auto"/>
                <w:sz w:val="21"/>
                <w:szCs w:val="21"/>
                <w:highlight w:val="none"/>
                <w:lang w:eastAsia="zh-CN"/>
              </w:rPr>
              <w:t>、不可利用固体废物、</w:t>
            </w:r>
            <w:r>
              <w:rPr>
                <w:rFonts w:hint="eastAsia" w:eastAsia="宋体" w:cs="Times New Roman"/>
                <w:bCs/>
                <w:color w:val="auto"/>
                <w:sz w:val="21"/>
                <w:szCs w:val="21"/>
                <w:highlight w:val="none"/>
                <w:lang w:val="en-US" w:eastAsia="zh-CN"/>
              </w:rPr>
              <w:t>沉淀池污泥</w:t>
            </w:r>
            <w:r>
              <w:rPr>
                <w:rFonts w:hint="default" w:ascii="Times New Roman" w:hAnsi="Times New Roman" w:cs="Times New Roman"/>
                <w:color w:val="auto"/>
                <w:sz w:val="21"/>
                <w:szCs w:val="21"/>
              </w:rPr>
              <w:t>统一收集后</w:t>
            </w:r>
            <w:r>
              <w:rPr>
                <w:rFonts w:hint="eastAsia" w:ascii="Times New Roman" w:hAnsi="Times New Roman" w:cs="Times New Roman"/>
                <w:color w:val="auto"/>
                <w:sz w:val="21"/>
                <w:szCs w:val="21"/>
                <w:lang w:val="en-US" w:eastAsia="zh-CN"/>
              </w:rPr>
              <w:t>环卫部门定期清运</w:t>
            </w:r>
            <w:r>
              <w:rPr>
                <w:rFonts w:hint="default" w:ascii="Times New Roman" w:hAnsi="Times New Roman" w:cs="Times New Roman"/>
                <w:color w:val="auto"/>
                <w:sz w:val="21"/>
                <w:szCs w:val="21"/>
                <w:lang w:eastAsia="zh-CN"/>
              </w:rPr>
              <w:t>；</w:t>
            </w:r>
            <w:r>
              <w:rPr>
                <w:rFonts w:hint="eastAsia" w:eastAsia="宋体" w:cs="Times New Roman"/>
                <w:color w:val="auto"/>
                <w:kern w:val="2"/>
                <w:sz w:val="21"/>
                <w:szCs w:val="21"/>
                <w:lang w:val="en-US" w:eastAsia="zh-CN" w:bidi="ar-SA"/>
              </w:rPr>
              <w:t>分选杂物</w:t>
            </w:r>
            <w:r>
              <w:rPr>
                <w:rFonts w:hint="eastAsia" w:ascii="Times New Roman" w:hAnsi="Times New Roman" w:cs="Times New Roman"/>
                <w:color w:val="auto"/>
                <w:sz w:val="21"/>
                <w:szCs w:val="21"/>
                <w:lang w:val="en-US" w:eastAsia="zh-CN"/>
              </w:rPr>
              <w:t>收</w:t>
            </w:r>
            <w:r>
              <w:rPr>
                <w:rFonts w:hint="default" w:ascii="Times New Roman" w:hAnsi="Times New Roman" w:cs="Times New Roman"/>
                <w:color w:val="auto"/>
                <w:sz w:val="21"/>
                <w:szCs w:val="21"/>
                <w:lang w:eastAsia="zh-CN"/>
              </w:rPr>
              <w:t>集后外售处理；</w:t>
            </w:r>
            <w:r>
              <w:rPr>
                <w:rFonts w:ascii="Times New Roman"/>
                <w:bCs/>
                <w:color w:val="auto"/>
                <w:sz w:val="21"/>
                <w:szCs w:val="21"/>
              </w:rPr>
              <w:t>不合格产品及边角料</w:t>
            </w:r>
            <w:r>
              <w:rPr>
                <w:rFonts w:hint="eastAsia" w:ascii="Times New Roman" w:hAnsi="Times New Roman" w:cs="Times New Roman"/>
                <w:color w:val="auto"/>
                <w:sz w:val="21"/>
                <w:szCs w:val="21"/>
                <w:lang w:val="en-US" w:eastAsia="zh-CN"/>
              </w:rPr>
              <w:t>回用于生产</w:t>
            </w:r>
            <w:r>
              <w:rPr>
                <w:rFonts w:hint="eastAsia" w:ascii="Times New Roman" w:hAnsi="Times New Roman" w:cs="Times New Roman"/>
                <w:color w:val="auto"/>
                <w:sz w:val="21"/>
                <w:szCs w:val="21"/>
                <w:lang w:eastAsia="zh-CN"/>
              </w:rPr>
              <w:t>；</w:t>
            </w:r>
            <w:r>
              <w:rPr>
                <w:rFonts w:hint="default" w:eastAsia="宋体"/>
                <w:color w:val="auto"/>
                <w:sz w:val="21"/>
                <w:szCs w:val="21"/>
                <w:lang w:val="en-US" w:eastAsia="zh-CN" w:bidi="ar"/>
              </w:rPr>
              <w:t>废包装材料</w:t>
            </w:r>
            <w:r>
              <w:rPr>
                <w:rFonts w:hint="eastAsia" w:ascii="Times New Roman" w:hAnsi="Times New Roman" w:eastAsia="Times New Roman" w:cs="Times New Roman"/>
                <w:color w:val="auto"/>
                <w:kern w:val="2"/>
                <w:sz w:val="21"/>
                <w:szCs w:val="21"/>
                <w:lang w:val="en-US" w:eastAsia="zh-CN" w:bidi="ar"/>
              </w:rPr>
              <w:t>交由厂家回收利用处理；</w:t>
            </w:r>
            <w:r>
              <w:rPr>
                <w:rFonts w:hint="eastAsia" w:ascii="Times New Roman" w:eastAsia="宋体"/>
                <w:bCs/>
                <w:color w:val="auto"/>
                <w:sz w:val="21"/>
                <w:szCs w:val="21"/>
                <w:lang w:val="en-US" w:eastAsia="zh-CN"/>
              </w:rPr>
              <w:t>废滤网</w:t>
            </w:r>
            <w:r>
              <w:rPr>
                <w:rFonts w:hint="eastAsia"/>
                <w:color w:val="auto"/>
                <w:sz w:val="21"/>
                <w:szCs w:val="21"/>
              </w:rPr>
              <w:t>委托相应单位进行清运处置</w:t>
            </w:r>
            <w:r>
              <w:rPr>
                <w:rFonts w:hint="eastAsia" w:ascii="Times New Roman" w:hAnsi="Times New Roman" w:cs="Times New Roman"/>
                <w:color w:val="auto"/>
                <w:sz w:val="21"/>
                <w:szCs w:val="21"/>
                <w:lang w:eastAsia="zh-CN"/>
              </w:rPr>
              <w:t>；</w:t>
            </w:r>
            <w:r>
              <w:rPr>
                <w:rFonts w:hint="eastAsia" w:eastAsia="宋体" w:cs="Times New Roman"/>
                <w:color w:val="auto"/>
                <w:kern w:val="2"/>
                <w:sz w:val="21"/>
                <w:szCs w:val="21"/>
                <w:lang w:val="en-US" w:eastAsia="zh-CN" w:bidi="ar-SA"/>
              </w:rPr>
              <w:t>废活性炭</w:t>
            </w:r>
            <w:r>
              <w:rPr>
                <w:rFonts w:hint="eastAsia" w:ascii="Times New Roman" w:hAnsi="Times New Roman" w:eastAsia="宋体" w:cs="Times New Roman"/>
                <w:color w:val="auto"/>
                <w:kern w:val="2"/>
                <w:sz w:val="21"/>
                <w:szCs w:val="21"/>
                <w:lang w:val="en-US" w:eastAsia="zh-CN" w:bidi="ar-SA"/>
              </w:rPr>
              <w:t>、废原料桶、</w:t>
            </w:r>
            <w:r>
              <w:rPr>
                <w:rFonts w:hint="eastAsia" w:ascii="Times New Roman" w:hAnsi="Times New Roman" w:eastAsia="宋体" w:cs="Times New Roman"/>
                <w:color w:val="auto"/>
                <w:sz w:val="21"/>
                <w:szCs w:val="21"/>
                <w:lang w:val="en-US" w:eastAsia="zh-CN"/>
              </w:rPr>
              <w:t>废机油、</w:t>
            </w:r>
            <w:r>
              <w:rPr>
                <w:rFonts w:hint="eastAsia" w:eastAsia="宋体" w:cs="Times New Roman"/>
                <w:color w:val="auto"/>
                <w:sz w:val="21"/>
                <w:szCs w:val="21"/>
                <w:lang w:val="en-US" w:eastAsia="zh-CN"/>
              </w:rPr>
              <w:t>含油抹布及手套</w:t>
            </w:r>
            <w:r>
              <w:rPr>
                <w:rFonts w:hint="default" w:ascii="Times New Roman" w:hAnsi="Times New Roman" w:cs="Times New Roman"/>
                <w:color w:val="auto"/>
                <w:sz w:val="21"/>
                <w:szCs w:val="21"/>
                <w:lang w:eastAsia="zh-CN"/>
              </w:rPr>
              <w:t>交由有资质单位处置</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设置一个占地面积面积100m</w:t>
            </w:r>
            <w:r>
              <w:rPr>
                <w:rFonts w:hint="eastAsia" w:ascii="Times New Roman" w:hAnsi="Times New Roman" w:cs="Times New Roman"/>
                <w:color w:val="auto"/>
                <w:sz w:val="21"/>
                <w:szCs w:val="21"/>
                <w:vertAlign w:val="superscript"/>
                <w:lang w:val="en-US" w:eastAsia="zh-CN"/>
              </w:rPr>
              <w:t>2</w:t>
            </w:r>
            <w:r>
              <w:rPr>
                <w:color w:val="auto"/>
                <w:sz w:val="21"/>
                <w:szCs w:val="21"/>
              </w:rPr>
              <w:t>的一般固废暂存库，</w:t>
            </w:r>
            <w:r>
              <w:rPr>
                <w:rFonts w:hint="eastAsia" w:ascii="Times New Roman" w:hAnsi="Times New Roman" w:cs="Times New Roman"/>
                <w:color w:val="auto"/>
                <w:sz w:val="21"/>
                <w:szCs w:val="21"/>
                <w:lang w:val="en-US" w:eastAsia="zh-CN"/>
              </w:rPr>
              <w:t>一个占地面积面积10m</w:t>
            </w:r>
            <w:r>
              <w:rPr>
                <w:rFonts w:hint="eastAsia" w:ascii="Times New Roman" w:hAnsi="Times New Roman" w:cs="Times New Roman"/>
                <w:color w:val="auto"/>
                <w:sz w:val="21"/>
                <w:szCs w:val="21"/>
                <w:vertAlign w:val="superscript"/>
                <w:lang w:val="en-US" w:eastAsia="zh-CN"/>
              </w:rPr>
              <w:t>2</w:t>
            </w:r>
            <w:r>
              <w:rPr>
                <w:color w:val="auto"/>
                <w:sz w:val="21"/>
                <w:szCs w:val="21"/>
              </w:rPr>
              <w:t>的</w:t>
            </w:r>
            <w:r>
              <w:rPr>
                <w:rFonts w:hint="eastAsia"/>
                <w:color w:val="auto"/>
                <w:sz w:val="21"/>
                <w:szCs w:val="21"/>
                <w:lang w:eastAsia="zh-CN"/>
              </w:rPr>
              <w:t>危废暂存库。</w:t>
            </w:r>
          </w:p>
        </w:tc>
      </w:tr>
      <w:tr w14:paraId="4303D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14:paraId="68E7DE3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4441" w:type="pct"/>
            <w:gridSpan w:val="4"/>
            <w:noWrap w:val="0"/>
            <w:vAlign w:val="center"/>
          </w:tcPr>
          <w:p w14:paraId="0DC0E3E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按源头控制、分区防渗要求做好防护措施</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rPr>
              <w:t>根据本项目厂区可能泄漏至地面区域污染物的性质和生产单元的构筑方式，将</w:t>
            </w:r>
            <w:r>
              <w:rPr>
                <w:rFonts w:hint="eastAsia" w:ascii="Times New Roman" w:hAnsi="Times New Roman" w:eastAsia="宋体" w:cs="Times New Roman"/>
                <w:color w:val="auto"/>
                <w:sz w:val="21"/>
                <w:szCs w:val="21"/>
                <w:lang w:val="en-US" w:eastAsia="zh-CN"/>
              </w:rPr>
              <w:t>厂区</w:t>
            </w:r>
            <w:r>
              <w:rPr>
                <w:rFonts w:hint="default" w:ascii="Times New Roman" w:hAnsi="Times New Roman" w:eastAsia="宋体" w:cs="Times New Roman"/>
                <w:color w:val="auto"/>
                <w:sz w:val="21"/>
                <w:szCs w:val="21"/>
                <w:lang w:val="en-US" w:eastAsia="zh-CN"/>
              </w:rPr>
              <w:t>划分为重点污染防治区、一般污染防治区和</w:t>
            </w:r>
            <w:r>
              <w:rPr>
                <w:rFonts w:hint="eastAsia" w:ascii="Times New Roman" w:hAnsi="Times New Roman" w:eastAsia="宋体" w:cs="Times New Roman"/>
                <w:color w:val="auto"/>
                <w:sz w:val="21"/>
                <w:szCs w:val="21"/>
                <w:lang w:val="en-US" w:eastAsia="zh-CN"/>
              </w:rPr>
              <w:t>简单</w:t>
            </w:r>
            <w:r>
              <w:rPr>
                <w:rFonts w:hint="default" w:ascii="Times New Roman" w:hAnsi="Times New Roman" w:eastAsia="宋体" w:cs="Times New Roman"/>
                <w:color w:val="auto"/>
                <w:sz w:val="21"/>
                <w:szCs w:val="21"/>
                <w:lang w:val="en-US" w:eastAsia="zh-CN"/>
              </w:rPr>
              <w:t>染防治区，针对不同的区域提出相应的防渗措施。危废暂存库、</w:t>
            </w:r>
            <w:r>
              <w:rPr>
                <w:rFonts w:hint="eastAsia"/>
                <w:b w:val="0"/>
                <w:color w:val="auto"/>
                <w:sz w:val="21"/>
                <w:szCs w:val="21"/>
              </w:rPr>
              <w:t>化粪池、水</w:t>
            </w:r>
            <w:r>
              <w:rPr>
                <w:rFonts w:hint="eastAsia"/>
                <w:b w:val="0"/>
                <w:color w:val="auto"/>
                <w:sz w:val="21"/>
                <w:szCs w:val="21"/>
                <w:lang w:val="en-US" w:eastAsia="zh-CN"/>
              </w:rPr>
              <w:t>洗</w:t>
            </w:r>
            <w:r>
              <w:rPr>
                <w:rFonts w:hint="eastAsia"/>
                <w:b w:val="0"/>
                <w:color w:val="auto"/>
                <w:sz w:val="21"/>
                <w:szCs w:val="21"/>
              </w:rPr>
              <w:t>池、循环水池</w:t>
            </w:r>
            <w:r>
              <w:rPr>
                <w:rFonts w:hint="default" w:ascii="Times New Roman" w:hAnsi="Times New Roman" w:eastAsia="宋体" w:cs="Times New Roman"/>
                <w:color w:val="auto"/>
                <w:sz w:val="21"/>
                <w:szCs w:val="21"/>
                <w:lang w:val="en-US" w:eastAsia="zh-CN"/>
              </w:rPr>
              <w:t>为本项目地下水重点污染区域</w:t>
            </w:r>
            <w:r>
              <w:rPr>
                <w:rFonts w:hint="eastAsia" w:ascii="Times New Roman" w:hAnsi="Times New Roman" w:eastAsia="宋体" w:cs="Times New Roman"/>
                <w:color w:val="auto"/>
                <w:sz w:val="21"/>
                <w:szCs w:val="21"/>
                <w:lang w:val="en-US" w:eastAsia="zh-CN"/>
              </w:rPr>
              <w:t>，重点防渗区的防渗性能应与6.0m厚粘土层（渗透系数1.0×10</w:t>
            </w:r>
            <w:r>
              <w:rPr>
                <w:rFonts w:hint="eastAsia" w:ascii="Times New Roman" w:hAnsi="Times New Roman" w:eastAsia="宋体" w:cs="Times New Roman"/>
                <w:color w:val="auto"/>
                <w:sz w:val="21"/>
                <w:szCs w:val="21"/>
                <w:vertAlign w:val="superscript"/>
                <w:lang w:val="en-US" w:eastAsia="zh-CN"/>
              </w:rPr>
              <w:t>-7</w:t>
            </w:r>
            <w:r>
              <w:rPr>
                <w:rFonts w:hint="eastAsia" w:ascii="Times New Roman" w:hAnsi="Times New Roman" w:eastAsia="宋体" w:cs="Times New Roman"/>
                <w:color w:val="auto"/>
                <w:sz w:val="21"/>
                <w:szCs w:val="21"/>
                <w:lang w:val="en-US" w:eastAsia="zh-CN"/>
              </w:rPr>
              <w:t>cm/s）等效</w:t>
            </w:r>
            <w:r>
              <w:rPr>
                <w:rFonts w:hint="default" w:ascii="Times New Roman" w:hAnsi="Times New Roman" w:eastAsia="宋体" w:cs="Times New Roman"/>
                <w:color w:val="auto"/>
                <w:sz w:val="21"/>
                <w:szCs w:val="21"/>
                <w:lang w:val="en-US" w:eastAsia="zh-CN"/>
              </w:rPr>
              <w:t>。一般固废暂存库</w:t>
            </w:r>
            <w:r>
              <w:rPr>
                <w:rFonts w:hint="eastAsia" w:ascii="Times New Roman" w:hAnsi="Times New Roman" w:eastAsia="宋体" w:cs="Times New Roman"/>
                <w:color w:val="auto"/>
                <w:sz w:val="21"/>
                <w:szCs w:val="21"/>
                <w:lang w:val="en-US" w:eastAsia="zh-CN"/>
              </w:rPr>
              <w:t>、生产车间为一般防渗区一般防渗区的防渗性能应与1.5m厚粘土层（渗透系数1.0×10</w:t>
            </w:r>
            <w:r>
              <w:rPr>
                <w:rFonts w:hint="eastAsia" w:ascii="Times New Roman" w:hAnsi="Times New Roman" w:eastAsia="宋体" w:cs="Times New Roman"/>
                <w:color w:val="auto"/>
                <w:sz w:val="21"/>
                <w:szCs w:val="21"/>
                <w:vertAlign w:val="superscript"/>
                <w:lang w:val="en-US" w:eastAsia="zh-CN"/>
              </w:rPr>
              <w:t>-7</w:t>
            </w:r>
            <w:r>
              <w:rPr>
                <w:rFonts w:hint="eastAsia" w:ascii="Times New Roman" w:hAnsi="Times New Roman" w:eastAsia="宋体" w:cs="Times New Roman"/>
                <w:color w:val="auto"/>
                <w:sz w:val="21"/>
                <w:szCs w:val="21"/>
                <w:lang w:val="en-US" w:eastAsia="zh-CN"/>
              </w:rPr>
              <w:t>cm/s）等效。</w:t>
            </w:r>
            <w:r>
              <w:rPr>
                <w:rFonts w:hint="eastAsia"/>
                <w:b w:val="0"/>
                <w:color w:val="auto"/>
                <w:sz w:val="21"/>
                <w:szCs w:val="21"/>
                <w:lang w:eastAsia="zh-CN"/>
              </w:rPr>
              <w:t>办公区、厂区道路</w:t>
            </w:r>
            <w:r>
              <w:rPr>
                <w:rFonts w:hint="eastAsia" w:ascii="Times New Roman" w:hAnsi="Times New Roman" w:eastAsia="宋体" w:cs="Times New Roman"/>
                <w:color w:val="auto"/>
                <w:sz w:val="21"/>
                <w:szCs w:val="21"/>
                <w:lang w:val="en-US" w:eastAsia="zh-CN"/>
              </w:rPr>
              <w:t>为简单防渗区，地面进行硬化处理。</w:t>
            </w:r>
          </w:p>
        </w:tc>
      </w:tr>
      <w:tr w14:paraId="7415D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14:paraId="60C540F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4441" w:type="pct"/>
            <w:gridSpan w:val="4"/>
            <w:noWrap w:val="0"/>
            <w:vAlign w:val="center"/>
          </w:tcPr>
          <w:p w14:paraId="57588D2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加强厂区绿化措施，同时加强管理，禁止垃圾随意丢弃堆放。</w:t>
            </w:r>
          </w:p>
        </w:tc>
      </w:tr>
      <w:tr w14:paraId="7A22B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14:paraId="2AD96AF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环境风险防范措施</w:t>
            </w:r>
          </w:p>
        </w:tc>
        <w:tc>
          <w:tcPr>
            <w:tcW w:w="4441" w:type="pct"/>
            <w:gridSpan w:val="4"/>
            <w:noWrap w:val="0"/>
            <w:vAlign w:val="center"/>
          </w:tcPr>
          <w:p w14:paraId="7A4052AB">
            <w:pPr>
              <w:pStyle w:val="100"/>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fldChar w:fldCharType="begin"/>
            </w:r>
            <w:r>
              <w:rPr>
                <w:rFonts w:hint="default" w:ascii="Times New Roman" w:hAnsi="Times New Roman" w:eastAsia="宋体" w:cs="Times New Roman"/>
                <w:color w:val="auto"/>
                <w:kern w:val="2"/>
                <w:sz w:val="21"/>
                <w:szCs w:val="21"/>
                <w:lang w:val="en-US" w:eastAsia="zh-CN" w:bidi="ar"/>
              </w:rPr>
              <w:instrText xml:space="preserve"> = 1 \* GB2 \* MERGEFORMAT </w:instrText>
            </w:r>
            <w:r>
              <w:rPr>
                <w:rFonts w:hint="default" w:ascii="Times New Roman" w:hAnsi="Times New Roman" w:eastAsia="宋体" w:cs="Times New Roman"/>
                <w:color w:val="auto"/>
                <w:kern w:val="2"/>
                <w:sz w:val="21"/>
                <w:szCs w:val="21"/>
                <w:lang w:val="en-US" w:eastAsia="zh-CN" w:bidi="ar"/>
              </w:rPr>
              <w:fldChar w:fldCharType="separate"/>
            </w:r>
            <w:r>
              <w:rPr>
                <w:rFonts w:hint="default" w:ascii="Times New Roman" w:hAnsi="Times New Roman" w:eastAsia="宋体" w:cs="Times New Roman"/>
                <w:color w:val="auto"/>
                <w:kern w:val="2"/>
                <w:sz w:val="21"/>
                <w:szCs w:val="21"/>
                <w:lang w:val="ru-RU" w:eastAsia="en-US" w:bidi="ar"/>
              </w:rPr>
              <w:t>⑴</w:t>
            </w:r>
            <w:r>
              <w:rPr>
                <w:rFonts w:hint="default" w:ascii="Times New Roman" w:hAnsi="Times New Roman" w:eastAsia="宋体" w:cs="Times New Roman"/>
                <w:color w:val="auto"/>
                <w:kern w:val="2"/>
                <w:sz w:val="21"/>
                <w:szCs w:val="21"/>
                <w:lang w:val="en-US" w:eastAsia="zh-CN" w:bidi="ar"/>
              </w:rPr>
              <w:fldChar w:fldCharType="end"/>
            </w:r>
            <w:r>
              <w:rPr>
                <w:rFonts w:hint="default" w:ascii="Times New Roman" w:hAnsi="Times New Roman" w:eastAsia="宋体" w:cs="Times New Roman"/>
                <w:color w:val="auto"/>
                <w:kern w:val="2"/>
                <w:sz w:val="21"/>
                <w:szCs w:val="21"/>
                <w:lang w:val="en-GB" w:eastAsia="zh-CN" w:bidi="ar"/>
              </w:rPr>
              <w:t>建构筑物和生产区均需配置消防灭火设施，生产车间保持良好通风，加速空气流通和交换，能有效降低因连续工作导致的</w:t>
            </w:r>
            <w:r>
              <w:rPr>
                <w:rFonts w:hint="eastAsia" w:ascii="Times New Roman" w:hAnsi="Times New Roman" w:eastAsia="宋体" w:cs="Times New Roman"/>
                <w:color w:val="auto"/>
                <w:kern w:val="2"/>
                <w:sz w:val="21"/>
                <w:szCs w:val="21"/>
                <w:lang w:val="en-US" w:eastAsia="zh-CN" w:bidi="ar"/>
              </w:rPr>
              <w:t>设备</w:t>
            </w:r>
            <w:r>
              <w:rPr>
                <w:rFonts w:hint="default" w:ascii="Times New Roman" w:hAnsi="Times New Roman" w:eastAsia="宋体" w:cs="Times New Roman"/>
                <w:color w:val="auto"/>
                <w:kern w:val="2"/>
                <w:sz w:val="21"/>
                <w:szCs w:val="21"/>
                <w:lang w:val="en-GB" w:eastAsia="zh-CN" w:bidi="ar"/>
              </w:rPr>
              <w:t>温度升高，使之远离火灾、爆炸风险</w:t>
            </w:r>
            <w:r>
              <w:rPr>
                <w:rFonts w:hint="default" w:ascii="Times New Roman" w:hAnsi="Times New Roman" w:eastAsia="宋体" w:cs="Times New Roman"/>
                <w:color w:val="auto"/>
                <w:kern w:val="2"/>
                <w:sz w:val="21"/>
                <w:szCs w:val="21"/>
                <w:lang w:val="en-US" w:eastAsia="zh-CN" w:bidi="ar"/>
              </w:rPr>
              <w:t>。</w:t>
            </w:r>
          </w:p>
          <w:p w14:paraId="6B1557E1">
            <w:pPr>
              <w:pStyle w:val="100"/>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fldChar w:fldCharType="begin"/>
            </w:r>
            <w:r>
              <w:rPr>
                <w:rFonts w:hint="eastAsia" w:ascii="Times New Roman" w:hAnsi="Times New Roman" w:eastAsia="宋体" w:cs="Times New Roman"/>
                <w:color w:val="auto"/>
                <w:kern w:val="2"/>
                <w:sz w:val="21"/>
                <w:szCs w:val="21"/>
                <w:lang w:val="en-US" w:eastAsia="zh-CN" w:bidi="ar"/>
              </w:rPr>
              <w:instrText xml:space="preserve"> = 2 \* GB2 \* MERGEFORMAT </w:instrText>
            </w:r>
            <w:r>
              <w:rPr>
                <w:rFonts w:hint="eastAsia" w:ascii="Times New Roman" w:hAnsi="Times New Roman" w:eastAsia="宋体" w:cs="Times New Roman"/>
                <w:color w:val="auto"/>
                <w:kern w:val="2"/>
                <w:sz w:val="21"/>
                <w:szCs w:val="21"/>
                <w:lang w:val="en-US" w:eastAsia="zh-CN" w:bidi="ar"/>
              </w:rPr>
              <w:fldChar w:fldCharType="separate"/>
            </w:r>
            <w:r>
              <w:rPr>
                <w:rFonts w:hint="eastAsia" w:ascii="Times New Roman" w:hAnsi="Times New Roman" w:eastAsia="宋体" w:cs="Times New Roman"/>
                <w:color w:val="auto"/>
                <w:kern w:val="2"/>
                <w:sz w:val="21"/>
                <w:szCs w:val="21"/>
                <w:lang w:val="en-GB" w:eastAsia="zh-CN" w:bidi="ar"/>
              </w:rPr>
              <w:t>⑵</w:t>
            </w:r>
            <w:r>
              <w:rPr>
                <w:rFonts w:hint="eastAsia" w:ascii="Times New Roman" w:hAnsi="Times New Roman" w:eastAsia="宋体" w:cs="Times New Roman"/>
                <w:color w:val="auto"/>
                <w:kern w:val="2"/>
                <w:sz w:val="21"/>
                <w:szCs w:val="21"/>
                <w:lang w:val="en-US" w:eastAsia="zh-CN" w:bidi="ar"/>
              </w:rPr>
              <w:fldChar w:fldCharType="end"/>
            </w:r>
            <w:r>
              <w:rPr>
                <w:rFonts w:hint="default" w:ascii="Times New Roman" w:hAnsi="Times New Roman" w:eastAsia="宋体" w:cs="Times New Roman"/>
                <w:color w:val="auto"/>
                <w:kern w:val="2"/>
                <w:sz w:val="21"/>
                <w:szCs w:val="21"/>
                <w:lang w:val="en-US" w:eastAsia="zh-CN" w:bidi="ar"/>
              </w:rPr>
              <w:t>坚持岗位培训和持证上岗制度，严格执行安全规章制度和操作规程，对所有重要设备需作出清晰的警戒标示，并加强操作工人个人防护。</w:t>
            </w:r>
          </w:p>
          <w:p w14:paraId="1EC3FCE6">
            <w:pPr>
              <w:pStyle w:val="100"/>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GB" w:eastAsia="zh-CN" w:bidi="ar"/>
              </w:rPr>
              <w:fldChar w:fldCharType="begin"/>
            </w:r>
            <w:r>
              <w:rPr>
                <w:rFonts w:hint="eastAsia" w:ascii="Times New Roman" w:hAnsi="Times New Roman" w:eastAsia="宋体" w:cs="Times New Roman"/>
                <w:color w:val="auto"/>
                <w:kern w:val="2"/>
                <w:sz w:val="21"/>
                <w:szCs w:val="21"/>
                <w:lang w:val="en-GB" w:eastAsia="zh-CN" w:bidi="ar"/>
              </w:rPr>
              <w:instrText xml:space="preserve"> = 3 \* GB2 \* MERGEFORMAT </w:instrText>
            </w:r>
            <w:r>
              <w:rPr>
                <w:rFonts w:hint="eastAsia" w:ascii="Times New Roman" w:hAnsi="Times New Roman" w:eastAsia="宋体" w:cs="Times New Roman"/>
                <w:color w:val="auto"/>
                <w:kern w:val="2"/>
                <w:sz w:val="21"/>
                <w:szCs w:val="21"/>
                <w:lang w:val="en-GB" w:eastAsia="zh-CN" w:bidi="ar"/>
              </w:rPr>
              <w:fldChar w:fldCharType="separate"/>
            </w:r>
            <w:r>
              <w:rPr>
                <w:rFonts w:hint="eastAsia" w:ascii="Times New Roman" w:hAnsi="Times New Roman" w:eastAsia="宋体" w:cs="Times New Roman"/>
                <w:color w:val="auto"/>
                <w:kern w:val="2"/>
                <w:sz w:val="21"/>
                <w:szCs w:val="21"/>
                <w:lang w:val="en-GB" w:eastAsia="zh-CN" w:bidi="ar"/>
              </w:rPr>
              <w:t>⑶</w:t>
            </w:r>
            <w:r>
              <w:rPr>
                <w:rFonts w:hint="eastAsia" w:ascii="Times New Roman" w:hAnsi="Times New Roman" w:eastAsia="宋体" w:cs="Times New Roman"/>
                <w:color w:val="auto"/>
                <w:kern w:val="2"/>
                <w:sz w:val="21"/>
                <w:szCs w:val="21"/>
                <w:lang w:val="en-GB" w:eastAsia="zh-CN" w:bidi="ar"/>
              </w:rPr>
              <w:fldChar w:fldCharType="end"/>
            </w:r>
            <w:r>
              <w:rPr>
                <w:rFonts w:hint="default" w:ascii="Times New Roman" w:hAnsi="Times New Roman" w:eastAsia="宋体" w:cs="Times New Roman"/>
                <w:color w:val="auto"/>
                <w:kern w:val="2"/>
                <w:sz w:val="21"/>
                <w:szCs w:val="21"/>
                <w:lang w:val="en-US" w:eastAsia="zh-CN" w:bidi="ar"/>
              </w:rPr>
              <w:t>厂房建筑物间距符合防火规范；厂区总平面布局符合事故防范要求，根据生产工艺和项目特点配备相应的消防设施和应急救援设施，设置消防通道。</w:t>
            </w:r>
          </w:p>
          <w:p w14:paraId="711F8711">
            <w:pPr>
              <w:pStyle w:val="100"/>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GB" w:eastAsia="zh-CN" w:bidi="ar"/>
              </w:rPr>
              <w:fldChar w:fldCharType="begin"/>
            </w:r>
            <w:r>
              <w:rPr>
                <w:rFonts w:hint="eastAsia" w:ascii="Times New Roman" w:hAnsi="Times New Roman" w:eastAsia="宋体" w:cs="Times New Roman"/>
                <w:color w:val="auto"/>
                <w:kern w:val="2"/>
                <w:sz w:val="21"/>
                <w:szCs w:val="21"/>
                <w:lang w:val="en-GB" w:eastAsia="zh-CN" w:bidi="ar"/>
              </w:rPr>
              <w:instrText xml:space="preserve"> = 4 \* GB2 \* MERGEFORMAT </w:instrText>
            </w:r>
            <w:r>
              <w:rPr>
                <w:rFonts w:hint="eastAsia" w:ascii="Times New Roman" w:hAnsi="Times New Roman" w:eastAsia="宋体" w:cs="Times New Roman"/>
                <w:color w:val="auto"/>
                <w:kern w:val="2"/>
                <w:sz w:val="21"/>
                <w:szCs w:val="21"/>
                <w:lang w:val="en-GB" w:eastAsia="zh-CN" w:bidi="ar"/>
              </w:rPr>
              <w:fldChar w:fldCharType="separate"/>
            </w:r>
            <w:r>
              <w:rPr>
                <w:rFonts w:hint="eastAsia" w:ascii="Times New Roman" w:hAnsi="Times New Roman" w:eastAsia="宋体" w:cs="Times New Roman"/>
                <w:color w:val="auto"/>
                <w:kern w:val="2"/>
                <w:sz w:val="21"/>
                <w:szCs w:val="21"/>
                <w:lang w:val="en-GB" w:eastAsia="zh-CN" w:bidi="ar"/>
              </w:rPr>
              <w:t>⑷</w:t>
            </w:r>
            <w:r>
              <w:rPr>
                <w:rFonts w:hint="eastAsia" w:ascii="Times New Roman" w:hAnsi="Times New Roman" w:eastAsia="宋体" w:cs="Times New Roman"/>
                <w:color w:val="auto"/>
                <w:kern w:val="2"/>
                <w:sz w:val="21"/>
                <w:szCs w:val="21"/>
                <w:lang w:val="en-GB" w:eastAsia="zh-CN" w:bidi="ar"/>
              </w:rPr>
              <w:fldChar w:fldCharType="end"/>
            </w:r>
            <w:r>
              <w:rPr>
                <w:rFonts w:hint="default" w:ascii="Times New Roman" w:hAnsi="Times New Roman" w:eastAsia="宋体" w:cs="Times New Roman"/>
                <w:color w:val="auto"/>
                <w:kern w:val="2"/>
                <w:sz w:val="21"/>
                <w:szCs w:val="21"/>
                <w:lang w:val="en-GB" w:eastAsia="zh-CN" w:bidi="ar"/>
              </w:rPr>
              <w:t>严格按照电气安全规程等国家有关法规规定，加大监督力度，对在安全检查中发现的电气安装不合格、线路老化、用电设施不配套，乱拉乱接、超负荷运行等问题，必须将其及时纠正</w:t>
            </w:r>
            <w:r>
              <w:rPr>
                <w:rFonts w:hint="default" w:ascii="Times New Roman" w:hAnsi="Times New Roman" w:eastAsia="宋体" w:cs="Times New Roman"/>
                <w:color w:val="auto"/>
                <w:kern w:val="2"/>
                <w:sz w:val="21"/>
                <w:szCs w:val="21"/>
                <w:lang w:val="en-US" w:eastAsia="zh-CN" w:bidi="ar"/>
              </w:rPr>
              <w:t>。</w:t>
            </w:r>
          </w:p>
          <w:p w14:paraId="503C06E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0" w:rightChars="0" w:firstLine="420" w:firstLineChars="200"/>
              <w:jc w:val="left"/>
              <w:textAlignment w:val="auto"/>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
              </w:rPr>
              <w:fldChar w:fldCharType="begin"/>
            </w:r>
            <w:r>
              <w:rPr>
                <w:rFonts w:hint="eastAsia" w:ascii="Times New Roman" w:hAnsi="Times New Roman" w:eastAsia="宋体" w:cs="Times New Roman"/>
                <w:color w:val="auto"/>
                <w:kern w:val="2"/>
                <w:sz w:val="21"/>
                <w:szCs w:val="21"/>
                <w:lang w:val="en-US" w:eastAsia="zh-CN" w:bidi="ar"/>
              </w:rPr>
              <w:instrText xml:space="preserve"> = 5 \* GB2 \* MERGEFORMAT </w:instrText>
            </w:r>
            <w:r>
              <w:rPr>
                <w:rFonts w:hint="eastAsia" w:ascii="Times New Roman" w:hAnsi="Times New Roman" w:eastAsia="宋体" w:cs="Times New Roman"/>
                <w:color w:val="auto"/>
                <w:kern w:val="2"/>
                <w:sz w:val="21"/>
                <w:szCs w:val="21"/>
                <w:lang w:val="en-US" w:eastAsia="zh-CN" w:bidi="ar"/>
              </w:rPr>
              <w:fldChar w:fldCharType="separate"/>
            </w:r>
            <w:r>
              <w:rPr>
                <w:rFonts w:hint="eastAsia" w:ascii="Times New Roman" w:hAnsi="Times New Roman" w:eastAsia="宋体" w:cs="Times New Roman"/>
                <w:color w:val="auto"/>
                <w:kern w:val="2"/>
                <w:sz w:val="21"/>
                <w:szCs w:val="21"/>
                <w:lang w:val="ru-RU" w:eastAsia="en-US" w:bidi="ar"/>
              </w:rPr>
              <w:t>⑸</w:t>
            </w:r>
            <w:r>
              <w:rPr>
                <w:rFonts w:hint="eastAsia" w:ascii="Times New Roman" w:hAnsi="Times New Roman" w:eastAsia="宋体" w:cs="Times New Roman"/>
                <w:color w:val="auto"/>
                <w:kern w:val="2"/>
                <w:sz w:val="21"/>
                <w:szCs w:val="21"/>
                <w:lang w:val="en-US" w:eastAsia="zh-CN" w:bidi="ar"/>
              </w:rPr>
              <w:fldChar w:fldCharType="end"/>
            </w:r>
            <w:r>
              <w:rPr>
                <w:rFonts w:hint="default" w:ascii="Times New Roman" w:hAnsi="Times New Roman" w:eastAsia="宋体" w:cs="Times New Roman"/>
                <w:color w:val="auto"/>
                <w:kern w:val="2"/>
                <w:sz w:val="21"/>
                <w:szCs w:val="21"/>
                <w:lang w:val="en-US" w:eastAsia="zh-CN" w:bidi="ar"/>
              </w:rPr>
              <w:t>对厂区内容易引发重大突发环境事件的环境危险源、危险区域进行调查、登记，对环境危险源、危险区域定期组织进行检查、监控，并采取安全防范措施，对突发环境事件进行预防。在危险区域应设置必备的应急救援设施、通讯工具等，提高企业事故应急能力。同时应对生产操作工人必须进行上岗前专业技术培训，严格管理，提高职工安全环保意识，定期进行安全环保宣传教育以及紧急事故模拟演习，提高员工事故应变能力。</w:t>
            </w:r>
          </w:p>
        </w:tc>
      </w:tr>
      <w:tr w14:paraId="0ECE3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noWrap w:val="0"/>
            <w:vAlign w:val="center"/>
          </w:tcPr>
          <w:p w14:paraId="1803E84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rPr>
                <w:rFonts w:hint="default" w:ascii="Times New Roman" w:hAnsi="Times New Roman" w:cs="Times New Roman"/>
                <w:color w:val="auto"/>
                <w:spacing w:val="-8"/>
                <w:sz w:val="21"/>
                <w:szCs w:val="21"/>
              </w:rPr>
            </w:pPr>
          </w:p>
          <w:p w14:paraId="2F5CED9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其他环境管理要求</w:t>
            </w:r>
          </w:p>
        </w:tc>
        <w:tc>
          <w:tcPr>
            <w:tcW w:w="4441" w:type="pct"/>
            <w:gridSpan w:val="4"/>
            <w:noWrap w:val="0"/>
            <w:vAlign w:val="center"/>
          </w:tcPr>
          <w:p w14:paraId="1DD4BD9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企业应严格落实环保“三同时”制度；</w:t>
            </w:r>
          </w:p>
          <w:p w14:paraId="16C5187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企业项目建设性质、规模、地点、生产工艺、环保措施等有重大变动时，建设单位应及时另行报批，必要时重新进行环境影响评价；</w:t>
            </w:r>
          </w:p>
          <w:p w14:paraId="7E0D67F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企业应在项目投入生产前根据《排污许可管理办法》(</w:t>
            </w:r>
            <w:r>
              <w:rPr>
                <w:rFonts w:hint="eastAsia" w:cs="Times New Roman"/>
                <w:color w:val="auto"/>
                <w:sz w:val="21"/>
                <w:szCs w:val="21"/>
                <w:lang w:val="en-US" w:eastAsia="zh-CN"/>
              </w:rPr>
              <w:t>生态环境</w:t>
            </w:r>
            <w:r>
              <w:rPr>
                <w:rFonts w:hint="default" w:ascii="Times New Roman" w:hAnsi="Times New Roman" w:eastAsia="宋体" w:cs="Times New Roman"/>
                <w:color w:val="auto"/>
                <w:sz w:val="21"/>
                <w:szCs w:val="21"/>
                <w:lang w:val="en-US" w:eastAsia="zh-CN"/>
              </w:rPr>
              <w:t>部令第</w:t>
            </w:r>
            <w:r>
              <w:rPr>
                <w:rFonts w:hint="eastAsia" w:cs="Times New Roman"/>
                <w:color w:val="auto"/>
                <w:sz w:val="21"/>
                <w:szCs w:val="21"/>
                <w:lang w:val="en-US" w:eastAsia="zh-CN"/>
              </w:rPr>
              <w:t>32</w:t>
            </w:r>
            <w:r>
              <w:rPr>
                <w:rFonts w:hint="default" w:ascii="Times New Roman" w:hAnsi="Times New Roman" w:eastAsia="宋体" w:cs="Times New Roman"/>
                <w:color w:val="auto"/>
                <w:sz w:val="21"/>
                <w:szCs w:val="21"/>
                <w:lang w:val="en-US" w:eastAsia="zh-CN"/>
              </w:rPr>
              <w:t>号)和《排污许可管理条例》等要求更新排污许可证。</w:t>
            </w:r>
          </w:p>
        </w:tc>
      </w:tr>
    </w:tbl>
    <w:p w14:paraId="2D1C6B56">
      <w:pPr>
        <w:pStyle w:val="27"/>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0489AE1">
      <w:pPr>
        <w:pStyle w:val="14"/>
        <w:pageBreakBefore w:val="0"/>
        <w:topLinePunct w:val="0"/>
        <w:bidi w:val="0"/>
        <w:adjustRightInd/>
        <w:snapToGrid/>
        <w:spacing w:before="0" w:beforeAutospacing="0" w:after="0" w:afterAutospacing="0"/>
        <w:ind w:left="0" w:leftChars="0" w:right="0" w:rightChars="0"/>
        <w:jc w:val="center"/>
        <w:outlineLvl w:val="0"/>
        <w:rPr>
          <w:rFonts w:ascii="黑体" w:hAnsi="黑体" w:eastAsia="黑体"/>
          <w:snapToGrid w:val="0"/>
          <w:color w:val="auto"/>
          <w:sz w:val="30"/>
          <w:szCs w:val="30"/>
        </w:rPr>
      </w:pPr>
      <w:bookmarkStart w:id="7" w:name="_Toc28956"/>
      <w:r>
        <w:rPr>
          <w:rFonts w:hint="eastAsia" w:ascii="黑体" w:hAnsi="黑体" w:eastAsia="黑体"/>
          <w:snapToGrid w:val="0"/>
          <w:color w:val="auto"/>
          <w:sz w:val="30"/>
          <w:szCs w:val="30"/>
        </w:rPr>
        <w:t>六、结论</w:t>
      </w:r>
      <w:bookmarkEnd w:id="7"/>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CEF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14:paraId="4F418F47">
            <w:pPr>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符合国家产业政策要求；其选址符合当地相关规划的要求；项目设计布局基本合理，采取的污染防治措施可行有效，项目实施后污染物可实行达标排放，项目建设运营后对环境的影响在周围环境可接受的范围之内。</w:t>
            </w:r>
          </w:p>
          <w:p w14:paraId="35CC127C">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因此，在建设单位履行其承诺，认真落实本报告提出的环保措施，只要确保环保设施正常运行，污染物达标排放的条件下，从环保角度考虑，本项目对环境的影响是可接受的，项目在此地建设可行</w:t>
            </w:r>
            <w:r>
              <w:rPr>
                <w:rFonts w:hint="default" w:ascii="Times New Roman" w:hAnsi="Times New Roman" w:cs="Times New Roman"/>
                <w:b/>
                <w:color w:val="auto"/>
                <w:kern w:val="0"/>
                <w:sz w:val="24"/>
                <w:szCs w:val="24"/>
              </w:rPr>
              <w:t>。</w:t>
            </w:r>
          </w:p>
          <w:p w14:paraId="06217FAF">
            <w:pPr>
              <w:pageBreakBefore w:val="0"/>
              <w:topLinePunct w:val="0"/>
              <w:bidi w:val="0"/>
              <w:adjustRightInd/>
              <w:snapToGrid/>
              <w:spacing w:beforeAutospacing="0" w:afterAutospacing="0" w:line="360" w:lineRule="auto"/>
              <w:ind w:left="0" w:leftChars="0" w:right="0" w:rightChars="0"/>
              <w:jc w:val="both"/>
              <w:rPr>
                <w:rFonts w:ascii="宋体" w:cs="宋体"/>
                <w:color w:val="auto"/>
                <w:sz w:val="24"/>
              </w:rPr>
            </w:pPr>
          </w:p>
        </w:tc>
      </w:tr>
    </w:tbl>
    <w:p w14:paraId="2389A60D">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C58CA0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textAlignment w:val="auto"/>
        <w:outlineLvl w:val="0"/>
        <w:rPr>
          <w:rFonts w:ascii="黑体" w:hAnsi="黑体" w:eastAsia="黑体"/>
          <w:snapToGrid w:val="0"/>
          <w:color w:val="auto"/>
          <w:sz w:val="32"/>
          <w:szCs w:val="32"/>
        </w:rPr>
      </w:pPr>
      <w:bookmarkStart w:id="8" w:name="_Toc17238"/>
      <w:r>
        <w:rPr>
          <w:rFonts w:hint="eastAsia" w:ascii="黑体" w:hAnsi="黑体" w:eastAsia="黑体"/>
          <w:snapToGrid w:val="0"/>
          <w:color w:val="auto"/>
          <w:sz w:val="32"/>
          <w:szCs w:val="32"/>
        </w:rPr>
        <w:t>附表</w:t>
      </w:r>
      <w:bookmarkEnd w:id="8"/>
    </w:p>
    <w:p w14:paraId="09290E6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0"/>
        <w:rPr>
          <w:rFonts w:hint="eastAsia" w:ascii="方正小标宋_GBK" w:hAnsi="黑体" w:eastAsia="方正小标宋_GBK"/>
          <w:snapToGrid w:val="0"/>
          <w:color w:val="auto"/>
          <w:sz w:val="38"/>
          <w:szCs w:val="38"/>
        </w:rPr>
      </w:pPr>
      <w:bookmarkStart w:id="9" w:name="_Toc13175"/>
      <w:r>
        <w:rPr>
          <w:rFonts w:hint="eastAsia" w:ascii="方正小标宋_GBK" w:hAnsi="黑体" w:eastAsia="方正小标宋_GBK"/>
          <w:snapToGrid w:val="0"/>
          <w:color w:val="auto"/>
          <w:sz w:val="38"/>
          <w:szCs w:val="38"/>
        </w:rPr>
        <w:t>建设项目污染物排放量汇总表</w:t>
      </w:r>
      <w:bookmarkEnd w:id="9"/>
    </w:p>
    <w:tbl>
      <w:tblPr>
        <w:tblStyle w:val="2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509"/>
        <w:gridCol w:w="1701"/>
        <w:gridCol w:w="1276"/>
        <w:gridCol w:w="1701"/>
        <w:gridCol w:w="1559"/>
        <w:gridCol w:w="1309"/>
        <w:gridCol w:w="2059"/>
        <w:gridCol w:w="1178"/>
      </w:tblGrid>
      <w:tr w14:paraId="1D329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96" w:type="dxa"/>
            <w:tcBorders>
              <w:tl2br w:val="single" w:color="auto" w:sz="4" w:space="0"/>
            </w:tcBorders>
            <w:noWrap w:val="0"/>
            <w:tcMar>
              <w:left w:w="28" w:type="dxa"/>
              <w:right w:w="28" w:type="dxa"/>
            </w:tcMar>
            <w:vAlign w:val="center"/>
          </w:tcPr>
          <w:p w14:paraId="36B43ED4">
            <w:pPr>
              <w:pStyle w:val="40"/>
              <w:pageBreakBefore w:val="0"/>
              <w:topLinePunct w:val="0"/>
              <w:bidi w:val="0"/>
              <w:adjustRightInd/>
              <w:snapToGrid/>
              <w:spacing w:beforeLines="0" w:beforeAutospacing="0" w:afterLines="0" w:afterAutospacing="0" w:line="240" w:lineRule="auto"/>
              <w:ind w:left="0" w:leftChars="0" w:right="0" w:rightChars="0"/>
              <w:jc w:val="right"/>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项目</w:t>
            </w:r>
          </w:p>
          <w:p w14:paraId="426EE027">
            <w:pPr>
              <w:pStyle w:val="40"/>
              <w:pageBreakBefore w:val="0"/>
              <w:topLinePunct w:val="0"/>
              <w:bidi w:val="0"/>
              <w:adjustRightInd/>
              <w:snapToGrid/>
              <w:spacing w:beforeLines="0" w:beforeAutospacing="0" w:afterLines="0" w:afterAutospacing="0" w:line="240" w:lineRule="auto"/>
              <w:ind w:left="0" w:leftChars="0" w:right="0" w:rightChars="0"/>
              <w:jc w:val="left"/>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分类</w:t>
            </w:r>
          </w:p>
        </w:tc>
        <w:tc>
          <w:tcPr>
            <w:tcW w:w="1509" w:type="dxa"/>
            <w:noWrap w:val="0"/>
            <w:tcMar>
              <w:left w:w="28" w:type="dxa"/>
              <w:right w:w="28" w:type="dxa"/>
            </w:tcMar>
            <w:vAlign w:val="center"/>
          </w:tcPr>
          <w:p w14:paraId="7F6D3388">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污染物名称</w:t>
            </w:r>
          </w:p>
        </w:tc>
        <w:tc>
          <w:tcPr>
            <w:tcW w:w="1701" w:type="dxa"/>
            <w:noWrap w:val="0"/>
            <w:tcMar>
              <w:left w:w="28" w:type="dxa"/>
              <w:right w:w="28" w:type="dxa"/>
            </w:tcMar>
            <w:vAlign w:val="center"/>
          </w:tcPr>
          <w:p w14:paraId="2DC62747">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现有工程</w:t>
            </w:r>
          </w:p>
          <w:p w14:paraId="22CBF4EA">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排放量（固体废物产生量）</w:t>
            </w:r>
            <w:r>
              <w:rPr>
                <w:rFonts w:hint="eastAsia" w:ascii="宋体" w:hAnsi="宋体" w:eastAsia="宋体" w:cs="宋体"/>
                <w:bCs/>
                <w:color w:val="auto"/>
                <w:sz w:val="21"/>
                <w:szCs w:val="21"/>
                <w:lang w:val="en-US" w:eastAsia="zh-CN"/>
              </w:rPr>
              <w:t>t/a</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1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①</w:t>
            </w:r>
            <w:r>
              <w:rPr>
                <w:rFonts w:hint="eastAsia" w:ascii="宋体" w:hAnsi="宋体" w:eastAsia="宋体" w:cs="宋体"/>
                <w:snapToGrid w:val="0"/>
                <w:color w:val="auto"/>
                <w:spacing w:val="-6"/>
                <w:kern w:val="21"/>
                <w:szCs w:val="21"/>
              </w:rPr>
              <w:fldChar w:fldCharType="end"/>
            </w:r>
          </w:p>
        </w:tc>
        <w:tc>
          <w:tcPr>
            <w:tcW w:w="1276" w:type="dxa"/>
            <w:noWrap w:val="0"/>
            <w:tcMar>
              <w:left w:w="28" w:type="dxa"/>
              <w:right w:w="28" w:type="dxa"/>
            </w:tcMar>
            <w:vAlign w:val="center"/>
          </w:tcPr>
          <w:p w14:paraId="0F868E09">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现有工程</w:t>
            </w:r>
          </w:p>
          <w:p w14:paraId="37A361C9">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许可排放量</w:t>
            </w:r>
          </w:p>
          <w:p w14:paraId="58FD55CE">
            <w:pPr>
              <w:pStyle w:val="40"/>
              <w:pageBreakBefore w:val="0"/>
              <w:topLinePunct w:val="0"/>
              <w:bidi w:val="0"/>
              <w:adjustRightInd/>
              <w:snapToGrid/>
              <w:spacing w:beforeLines="0" w:beforeAutospacing="0" w:afterLines="0" w:afterAutospacing="0"/>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bCs/>
                <w:color w:val="auto"/>
                <w:sz w:val="21"/>
                <w:szCs w:val="21"/>
                <w:lang w:val="en-US" w:eastAsia="zh-CN"/>
              </w:rPr>
              <w:t>t/a</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2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snapToGrid w:val="0"/>
                <w:color w:val="auto"/>
                <w:spacing w:val="-6"/>
                <w:kern w:val="21"/>
                <w:szCs w:val="21"/>
              </w:rPr>
              <w:t>②</w:t>
            </w:r>
            <w:r>
              <w:rPr>
                <w:rFonts w:hint="eastAsia" w:ascii="宋体" w:hAnsi="宋体" w:eastAsia="宋体" w:cs="宋体"/>
                <w:snapToGrid w:val="0"/>
                <w:color w:val="auto"/>
                <w:spacing w:val="-6"/>
                <w:kern w:val="21"/>
                <w:szCs w:val="21"/>
              </w:rPr>
              <w:fldChar w:fldCharType="end"/>
            </w:r>
          </w:p>
        </w:tc>
        <w:tc>
          <w:tcPr>
            <w:tcW w:w="1701" w:type="dxa"/>
            <w:noWrap w:val="0"/>
            <w:tcMar>
              <w:left w:w="28" w:type="dxa"/>
              <w:right w:w="28" w:type="dxa"/>
            </w:tcMar>
            <w:vAlign w:val="center"/>
          </w:tcPr>
          <w:p w14:paraId="55F987DE">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在建工程</w:t>
            </w:r>
          </w:p>
          <w:p w14:paraId="23490C66">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排放量（固体废物产生量）</w:t>
            </w:r>
            <w:r>
              <w:rPr>
                <w:rFonts w:hint="eastAsia" w:ascii="宋体" w:hAnsi="宋体" w:eastAsia="宋体" w:cs="宋体"/>
                <w:bCs/>
                <w:color w:val="auto"/>
                <w:sz w:val="21"/>
                <w:szCs w:val="21"/>
                <w:lang w:val="en-US" w:eastAsia="zh-CN"/>
              </w:rPr>
              <w:t>t/a</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3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③</w:t>
            </w:r>
            <w:r>
              <w:rPr>
                <w:rFonts w:hint="eastAsia" w:ascii="宋体" w:hAnsi="宋体" w:eastAsia="宋体" w:cs="宋体"/>
                <w:snapToGrid w:val="0"/>
                <w:color w:val="auto"/>
                <w:spacing w:val="-6"/>
                <w:kern w:val="21"/>
                <w:szCs w:val="21"/>
              </w:rPr>
              <w:fldChar w:fldCharType="end"/>
            </w:r>
          </w:p>
        </w:tc>
        <w:tc>
          <w:tcPr>
            <w:tcW w:w="1559" w:type="dxa"/>
            <w:noWrap w:val="0"/>
            <w:tcMar>
              <w:left w:w="28" w:type="dxa"/>
              <w:right w:w="28" w:type="dxa"/>
            </w:tcMar>
            <w:vAlign w:val="center"/>
          </w:tcPr>
          <w:p w14:paraId="2BA4D108">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本项目</w:t>
            </w:r>
          </w:p>
          <w:p w14:paraId="18AE44EF">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排放量（固体废物产生量）</w:t>
            </w:r>
            <w:r>
              <w:rPr>
                <w:rFonts w:hint="eastAsia" w:ascii="宋体" w:hAnsi="宋体" w:eastAsia="宋体" w:cs="宋体"/>
                <w:bCs/>
                <w:color w:val="auto"/>
                <w:sz w:val="21"/>
                <w:szCs w:val="21"/>
                <w:lang w:val="en-US" w:eastAsia="zh-CN"/>
              </w:rPr>
              <w:t>t/a</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4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④</w:t>
            </w:r>
            <w:r>
              <w:rPr>
                <w:rFonts w:hint="eastAsia" w:ascii="宋体" w:hAnsi="宋体" w:eastAsia="宋体" w:cs="宋体"/>
                <w:snapToGrid w:val="0"/>
                <w:color w:val="auto"/>
                <w:spacing w:val="-6"/>
                <w:kern w:val="21"/>
                <w:szCs w:val="21"/>
              </w:rPr>
              <w:fldChar w:fldCharType="end"/>
            </w:r>
          </w:p>
        </w:tc>
        <w:tc>
          <w:tcPr>
            <w:tcW w:w="1309" w:type="dxa"/>
            <w:noWrap w:val="0"/>
            <w:tcMar>
              <w:left w:w="28" w:type="dxa"/>
              <w:right w:w="28" w:type="dxa"/>
            </w:tcMar>
            <w:vAlign w:val="center"/>
          </w:tcPr>
          <w:p w14:paraId="1207C07B">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以新带老削减量</w:t>
            </w:r>
          </w:p>
          <w:p w14:paraId="572B660D">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（新建项目不填）</w:t>
            </w:r>
            <w:r>
              <w:rPr>
                <w:rFonts w:hint="eastAsia" w:ascii="宋体" w:hAnsi="宋体" w:eastAsia="宋体" w:cs="宋体"/>
                <w:bCs/>
                <w:color w:val="auto"/>
                <w:sz w:val="21"/>
                <w:szCs w:val="21"/>
                <w:lang w:val="en-US" w:eastAsia="zh-CN"/>
              </w:rPr>
              <w:t>t/a</w:t>
            </w:r>
            <w:r>
              <w:rPr>
                <w:rFonts w:hint="eastAsia" w:ascii="宋体" w:hAnsi="宋体" w:eastAsia="宋体" w:cs="宋体"/>
                <w:snapToGrid w:val="0"/>
                <w:color w:val="auto"/>
                <w:spacing w:val="-16"/>
                <w:kern w:val="21"/>
                <w:szCs w:val="21"/>
              </w:rPr>
              <w:fldChar w:fldCharType="begin"/>
            </w:r>
            <w:r>
              <w:rPr>
                <w:rFonts w:hint="eastAsia" w:ascii="宋体" w:hAnsi="宋体" w:eastAsia="宋体" w:cs="宋体"/>
                <w:snapToGrid w:val="0"/>
                <w:color w:val="auto"/>
                <w:spacing w:val="-16"/>
                <w:kern w:val="21"/>
                <w:szCs w:val="21"/>
              </w:rPr>
              <w:instrText xml:space="preserve"> = 5 \* GB3 \* MERGEFORMAT </w:instrText>
            </w:r>
            <w:r>
              <w:rPr>
                <w:rFonts w:hint="eastAsia" w:ascii="宋体" w:hAnsi="宋体" w:eastAsia="宋体" w:cs="宋体"/>
                <w:snapToGrid w:val="0"/>
                <w:color w:val="auto"/>
                <w:spacing w:val="-16"/>
                <w:kern w:val="21"/>
                <w:szCs w:val="21"/>
              </w:rPr>
              <w:fldChar w:fldCharType="separate"/>
            </w:r>
            <w:r>
              <w:rPr>
                <w:rFonts w:hint="eastAsia" w:ascii="宋体" w:hAnsi="宋体" w:eastAsia="宋体" w:cs="宋体"/>
                <w:color w:val="auto"/>
                <w:kern w:val="2"/>
                <w:szCs w:val="21"/>
              </w:rPr>
              <w:t>⑤</w:t>
            </w:r>
            <w:r>
              <w:rPr>
                <w:rFonts w:hint="eastAsia" w:ascii="宋体" w:hAnsi="宋体" w:eastAsia="宋体" w:cs="宋体"/>
                <w:snapToGrid w:val="0"/>
                <w:color w:val="auto"/>
                <w:spacing w:val="-16"/>
                <w:kern w:val="21"/>
                <w:szCs w:val="21"/>
              </w:rPr>
              <w:fldChar w:fldCharType="end"/>
            </w:r>
          </w:p>
        </w:tc>
        <w:tc>
          <w:tcPr>
            <w:tcW w:w="2059" w:type="dxa"/>
            <w:noWrap w:val="0"/>
            <w:tcMar>
              <w:left w:w="28" w:type="dxa"/>
              <w:right w:w="28" w:type="dxa"/>
            </w:tcMar>
            <w:vAlign w:val="center"/>
          </w:tcPr>
          <w:p w14:paraId="0C7BDE89">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本项目建成后</w:t>
            </w:r>
          </w:p>
          <w:p w14:paraId="0AAFD8DF">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16"/>
                <w:kern w:val="21"/>
                <w:szCs w:val="21"/>
              </w:rPr>
            </w:pPr>
            <w:r>
              <w:rPr>
                <w:rFonts w:hint="eastAsia" w:ascii="宋体" w:hAnsi="宋体" w:eastAsia="宋体" w:cs="宋体"/>
                <w:snapToGrid w:val="0"/>
                <w:color w:val="auto"/>
                <w:spacing w:val="-16"/>
                <w:kern w:val="21"/>
                <w:szCs w:val="21"/>
              </w:rPr>
              <w:t>全厂排放量（固体废物产生量）</w:t>
            </w:r>
            <w:r>
              <w:rPr>
                <w:rFonts w:hint="eastAsia" w:ascii="宋体" w:hAnsi="宋体" w:eastAsia="宋体" w:cs="宋体"/>
                <w:bCs/>
                <w:color w:val="auto"/>
                <w:sz w:val="21"/>
                <w:szCs w:val="21"/>
                <w:lang w:val="en-US" w:eastAsia="zh-CN"/>
              </w:rPr>
              <w:t>t/a</w:t>
            </w:r>
            <w:r>
              <w:rPr>
                <w:rFonts w:hint="eastAsia" w:ascii="宋体" w:hAnsi="宋体" w:eastAsia="宋体" w:cs="宋体"/>
                <w:snapToGrid w:val="0"/>
                <w:color w:val="auto"/>
                <w:spacing w:val="-16"/>
                <w:kern w:val="21"/>
                <w:szCs w:val="21"/>
              </w:rPr>
              <w:fldChar w:fldCharType="begin"/>
            </w:r>
            <w:r>
              <w:rPr>
                <w:rFonts w:hint="eastAsia" w:ascii="宋体" w:hAnsi="宋体" w:eastAsia="宋体" w:cs="宋体"/>
                <w:snapToGrid w:val="0"/>
                <w:color w:val="auto"/>
                <w:spacing w:val="-16"/>
                <w:kern w:val="21"/>
                <w:szCs w:val="21"/>
              </w:rPr>
              <w:instrText xml:space="preserve"> = 6 \* GB3 \* MERGEFORMAT </w:instrText>
            </w:r>
            <w:r>
              <w:rPr>
                <w:rFonts w:hint="eastAsia" w:ascii="宋体" w:hAnsi="宋体" w:eastAsia="宋体" w:cs="宋体"/>
                <w:snapToGrid w:val="0"/>
                <w:color w:val="auto"/>
                <w:spacing w:val="-16"/>
                <w:kern w:val="21"/>
                <w:szCs w:val="21"/>
              </w:rPr>
              <w:fldChar w:fldCharType="separate"/>
            </w:r>
            <w:r>
              <w:rPr>
                <w:rFonts w:hint="eastAsia" w:ascii="宋体" w:hAnsi="宋体" w:eastAsia="宋体" w:cs="宋体"/>
                <w:color w:val="auto"/>
                <w:kern w:val="2"/>
                <w:szCs w:val="21"/>
              </w:rPr>
              <w:t>⑥</w:t>
            </w:r>
            <w:r>
              <w:rPr>
                <w:rFonts w:hint="eastAsia" w:ascii="宋体" w:hAnsi="宋体" w:eastAsia="宋体" w:cs="宋体"/>
                <w:snapToGrid w:val="0"/>
                <w:color w:val="auto"/>
                <w:spacing w:val="-16"/>
                <w:kern w:val="21"/>
                <w:szCs w:val="21"/>
              </w:rPr>
              <w:fldChar w:fldCharType="end"/>
            </w:r>
          </w:p>
        </w:tc>
        <w:tc>
          <w:tcPr>
            <w:tcW w:w="1178" w:type="dxa"/>
            <w:noWrap w:val="0"/>
            <w:tcMar>
              <w:left w:w="28" w:type="dxa"/>
              <w:right w:w="28" w:type="dxa"/>
            </w:tcMar>
            <w:vAlign w:val="center"/>
          </w:tcPr>
          <w:p w14:paraId="058C89B7">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snapToGrid w:val="0"/>
                <w:color w:val="auto"/>
                <w:spacing w:val="-6"/>
                <w:kern w:val="21"/>
                <w:szCs w:val="21"/>
              </w:rPr>
              <w:t>变化量</w:t>
            </w:r>
          </w:p>
          <w:p w14:paraId="1473D371">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宋体" w:hAnsi="宋体" w:eastAsia="宋体" w:cs="宋体"/>
                <w:snapToGrid w:val="0"/>
                <w:color w:val="auto"/>
                <w:spacing w:val="-6"/>
                <w:kern w:val="21"/>
                <w:szCs w:val="21"/>
              </w:rPr>
            </w:pPr>
            <w:r>
              <w:rPr>
                <w:rFonts w:hint="eastAsia" w:ascii="宋体" w:hAnsi="宋体" w:eastAsia="宋体" w:cs="宋体"/>
                <w:bCs/>
                <w:color w:val="auto"/>
                <w:sz w:val="21"/>
                <w:szCs w:val="21"/>
                <w:lang w:val="en-US" w:eastAsia="zh-CN"/>
              </w:rPr>
              <w:t>t/a</w:t>
            </w:r>
            <w:r>
              <w:rPr>
                <w:rFonts w:hint="eastAsia" w:ascii="宋体" w:hAnsi="宋体" w:eastAsia="宋体" w:cs="宋体"/>
                <w:snapToGrid w:val="0"/>
                <w:color w:val="auto"/>
                <w:spacing w:val="-6"/>
                <w:kern w:val="21"/>
                <w:szCs w:val="21"/>
              </w:rPr>
              <w:fldChar w:fldCharType="begin"/>
            </w:r>
            <w:r>
              <w:rPr>
                <w:rFonts w:hint="eastAsia" w:ascii="宋体" w:hAnsi="宋体" w:eastAsia="宋体" w:cs="宋体"/>
                <w:snapToGrid w:val="0"/>
                <w:color w:val="auto"/>
                <w:spacing w:val="-6"/>
                <w:kern w:val="21"/>
                <w:szCs w:val="21"/>
              </w:rPr>
              <w:instrText xml:space="preserve"> = 7 \* GB3 \* MERGEFORMAT </w:instrText>
            </w:r>
            <w:r>
              <w:rPr>
                <w:rFonts w:hint="eastAsia" w:ascii="宋体" w:hAnsi="宋体" w:eastAsia="宋体" w:cs="宋体"/>
                <w:snapToGrid w:val="0"/>
                <w:color w:val="auto"/>
                <w:spacing w:val="-6"/>
                <w:kern w:val="21"/>
                <w:szCs w:val="21"/>
              </w:rPr>
              <w:fldChar w:fldCharType="separate"/>
            </w:r>
            <w:r>
              <w:rPr>
                <w:rFonts w:hint="eastAsia" w:ascii="宋体" w:hAnsi="宋体" w:eastAsia="宋体" w:cs="宋体"/>
                <w:color w:val="auto"/>
                <w:kern w:val="2"/>
                <w:szCs w:val="21"/>
              </w:rPr>
              <w:t>⑦</w:t>
            </w:r>
            <w:r>
              <w:rPr>
                <w:rFonts w:hint="eastAsia" w:ascii="宋体" w:hAnsi="宋体" w:eastAsia="宋体" w:cs="宋体"/>
                <w:snapToGrid w:val="0"/>
                <w:color w:val="auto"/>
                <w:spacing w:val="-6"/>
                <w:kern w:val="21"/>
                <w:szCs w:val="21"/>
              </w:rPr>
              <w:fldChar w:fldCharType="end"/>
            </w:r>
          </w:p>
        </w:tc>
      </w:tr>
      <w:tr w14:paraId="1A00D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restart"/>
            <w:noWrap w:val="0"/>
            <w:vAlign w:val="center"/>
          </w:tcPr>
          <w:p w14:paraId="17F2EE40">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509" w:type="dxa"/>
            <w:noWrap w:val="0"/>
            <w:vAlign w:val="center"/>
          </w:tcPr>
          <w:p w14:paraId="2BB322F0">
            <w:pPr>
              <w:pageBreakBefore w:val="0"/>
              <w:topLinePunct w:val="0"/>
              <w:bidi w:val="0"/>
              <w:adjustRightInd/>
              <w:snapToGrid/>
              <w:spacing w:beforeAutospacing="0" w:afterAutospacing="0" w:line="320" w:lineRule="exact"/>
              <w:ind w:left="0" w:leftChars="0" w:right="0" w:rightChars="0"/>
              <w:jc w:val="center"/>
              <w:rPr>
                <w:rFonts w:hint="eastAsia" w:ascii="Times New Roman" w:hAnsi="Times New Roman" w:eastAsia="宋体" w:cs="Times New Roman"/>
                <w:snapToGrid w:val="0"/>
                <w:color w:val="auto"/>
                <w:kern w:val="21"/>
                <w:szCs w:val="21"/>
                <w:lang w:val="en-US" w:eastAsia="zh-CN"/>
              </w:rPr>
            </w:pPr>
            <w:r>
              <w:rPr>
                <w:rFonts w:hint="eastAsia" w:eastAsia="宋体"/>
                <w:color w:val="auto"/>
                <w:kern w:val="0"/>
                <w:szCs w:val="21"/>
                <w:lang w:val="en-US" w:eastAsia="zh-CN"/>
              </w:rPr>
              <w:t>颗粒物</w:t>
            </w:r>
          </w:p>
        </w:tc>
        <w:tc>
          <w:tcPr>
            <w:tcW w:w="1701" w:type="dxa"/>
            <w:shd w:val="clear" w:color="auto" w:fill="auto"/>
            <w:noWrap w:val="0"/>
            <w:vAlign w:val="center"/>
          </w:tcPr>
          <w:p w14:paraId="029C310A">
            <w:pPr>
              <w:autoSpaceDE w:val="0"/>
              <w:autoSpaceDN w:val="0"/>
              <w:spacing w:beforeLines="0" w:afterLines="0" w:line="288" w:lineRule="auto"/>
              <w:jc w:val="center"/>
              <w:rPr>
                <w:rFonts w:hint="default" w:ascii="宋体" w:hAnsi="宋体" w:eastAsia="Times New Roman" w:cs="宋体"/>
                <w:color w:val="auto"/>
                <w:spacing w:val="-6"/>
                <w:kern w:val="2"/>
                <w:sz w:val="21"/>
                <w:szCs w:val="21"/>
                <w:vertAlign w:val="baseline"/>
                <w:lang w:val="en-US" w:eastAsia="zh-CN" w:bidi="zh-CN"/>
              </w:rPr>
            </w:pPr>
            <w:r>
              <w:rPr>
                <w:rFonts w:hint="eastAsia" w:ascii="宋体" w:hAnsi="宋体" w:cs="宋体"/>
                <w:color w:val="auto"/>
                <w:spacing w:val="-6"/>
                <w:sz w:val="21"/>
                <w:szCs w:val="21"/>
                <w:vertAlign w:val="baseline"/>
                <w:lang w:val="en-US" w:bidi="zh-CN"/>
              </w:rPr>
              <w:t>0.438</w:t>
            </w:r>
          </w:p>
        </w:tc>
        <w:tc>
          <w:tcPr>
            <w:tcW w:w="1276" w:type="dxa"/>
            <w:noWrap w:val="0"/>
            <w:vAlign w:val="center"/>
          </w:tcPr>
          <w:p w14:paraId="2D88E268">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26CF0100">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424F7431">
            <w:pPr>
              <w:pStyle w:val="13"/>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宋体" w:hAnsi="宋体" w:cs="宋体"/>
                <w:color w:val="auto"/>
                <w:spacing w:val="-6"/>
                <w:sz w:val="21"/>
                <w:szCs w:val="21"/>
                <w:vertAlign w:val="baseline"/>
                <w:lang w:val="en-US" w:bidi="zh-CN"/>
              </w:rPr>
              <w:t>0.005</w:t>
            </w:r>
          </w:p>
        </w:tc>
        <w:tc>
          <w:tcPr>
            <w:tcW w:w="1309" w:type="dxa"/>
            <w:shd w:val="clear" w:color="auto" w:fill="auto"/>
            <w:noWrap w:val="0"/>
            <w:vAlign w:val="center"/>
          </w:tcPr>
          <w:p w14:paraId="0F599003">
            <w:pPr>
              <w:pageBreakBefore w:val="0"/>
              <w:widowControl/>
              <w:topLinePunct w:val="0"/>
              <w:bidi w:val="0"/>
              <w:adjustRightInd/>
              <w:snapToGrid/>
              <w:spacing w:beforeAutospacing="0" w:afterAutospacing="0" w:line="240" w:lineRule="atLeast"/>
              <w:ind w:left="0" w:leftChars="0" w:right="0" w:rightChars="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宋体" w:hAnsi="宋体" w:cs="宋体"/>
                <w:color w:val="auto"/>
                <w:spacing w:val="-6"/>
                <w:sz w:val="21"/>
                <w:szCs w:val="21"/>
                <w:vertAlign w:val="baseline"/>
                <w:lang w:val="en-US" w:bidi="zh-CN"/>
              </w:rPr>
              <w:t>0.433</w:t>
            </w:r>
          </w:p>
        </w:tc>
        <w:tc>
          <w:tcPr>
            <w:tcW w:w="2059" w:type="dxa"/>
            <w:shd w:val="clear" w:color="auto" w:fill="auto"/>
            <w:noWrap w:val="0"/>
            <w:vAlign w:val="center"/>
          </w:tcPr>
          <w:p w14:paraId="095E1F4D">
            <w:pPr>
              <w:pStyle w:val="32"/>
              <w:autoSpaceDE w:val="0"/>
              <w:autoSpaceDN w:val="0"/>
              <w:spacing w:beforeLines="0" w:afterLines="0" w:line="288" w:lineRule="auto"/>
              <w:rPr>
                <w:rFonts w:hint="default" w:ascii="宋体" w:hAnsi="宋体" w:eastAsia="Times New Roman" w:cs="宋体"/>
                <w:color w:val="auto"/>
                <w:spacing w:val="-6"/>
                <w:kern w:val="2"/>
                <w:sz w:val="21"/>
                <w:szCs w:val="21"/>
                <w:vertAlign w:val="baseline"/>
                <w:lang w:val="en-US" w:eastAsia="zh-CN" w:bidi="zh-CN"/>
              </w:rPr>
            </w:pPr>
            <w:r>
              <w:rPr>
                <w:rFonts w:hint="eastAsia" w:ascii="宋体" w:hAnsi="宋体" w:cs="宋体"/>
                <w:color w:val="auto"/>
                <w:spacing w:val="-6"/>
                <w:sz w:val="21"/>
                <w:szCs w:val="21"/>
                <w:vertAlign w:val="baseline"/>
                <w:lang w:val="en-US" w:bidi="zh-CN"/>
              </w:rPr>
              <w:t>0.005</w:t>
            </w:r>
          </w:p>
        </w:tc>
        <w:tc>
          <w:tcPr>
            <w:tcW w:w="1178" w:type="dxa"/>
            <w:shd w:val="clear" w:color="auto" w:fill="auto"/>
            <w:noWrap w:val="0"/>
            <w:vAlign w:val="center"/>
          </w:tcPr>
          <w:p w14:paraId="48CD320F">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eastAsia="Times New Roman" w:cs="宋体"/>
                <w:color w:val="auto"/>
                <w:spacing w:val="-6"/>
                <w:kern w:val="0"/>
                <w:sz w:val="21"/>
                <w:szCs w:val="21"/>
                <w:vertAlign w:val="baseline"/>
                <w:lang w:val="en-US" w:eastAsia="zh-CN" w:bidi="zh-CN"/>
              </w:rPr>
            </w:pPr>
            <w:r>
              <w:rPr>
                <w:rFonts w:hint="eastAsia" w:ascii="宋体" w:hAnsi="宋体" w:cs="宋体"/>
                <w:color w:val="auto"/>
                <w:spacing w:val="-6"/>
                <w:sz w:val="21"/>
                <w:szCs w:val="21"/>
                <w:vertAlign w:val="baseline"/>
                <w:lang w:val="en-US" w:bidi="zh-CN"/>
              </w:rPr>
              <w:t>-0.433</w:t>
            </w:r>
          </w:p>
        </w:tc>
      </w:tr>
      <w:tr w14:paraId="1709F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6CB19A5B">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noWrap w:val="0"/>
            <w:vAlign w:val="center"/>
          </w:tcPr>
          <w:p w14:paraId="002EF5FE">
            <w:pPr>
              <w:pStyle w:val="40"/>
              <w:pageBreakBefore w:val="0"/>
              <w:topLinePunct w:val="0"/>
              <w:bidi w:val="0"/>
              <w:adjustRightInd/>
              <w:snapToGrid/>
              <w:spacing w:beforeLines="0" w:beforeAutospacing="0" w:afterLines="0" w:afterAutospacing="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ascii="Times New Roman"/>
                <w:color w:val="auto"/>
                <w:sz w:val="21"/>
                <w:szCs w:val="21"/>
                <w:lang w:val="en-US" w:eastAsia="zh-CN"/>
              </w:rPr>
              <w:t>VOC</w:t>
            </w:r>
            <w:r>
              <w:rPr>
                <w:rFonts w:hint="eastAsia" w:ascii="Times New Roman"/>
                <w:color w:val="auto"/>
                <w:sz w:val="21"/>
                <w:szCs w:val="21"/>
                <w:vertAlign w:val="subscript"/>
                <w:lang w:val="en-US" w:eastAsia="zh-CN"/>
              </w:rPr>
              <w:t>S</w:t>
            </w:r>
          </w:p>
        </w:tc>
        <w:tc>
          <w:tcPr>
            <w:tcW w:w="1701" w:type="dxa"/>
            <w:shd w:val="clear" w:color="auto" w:fill="auto"/>
            <w:noWrap w:val="0"/>
            <w:vAlign w:val="center"/>
          </w:tcPr>
          <w:p w14:paraId="1C43EDF0">
            <w:pPr>
              <w:pStyle w:val="32"/>
              <w:autoSpaceDE w:val="0"/>
              <w:autoSpaceDN w:val="0"/>
              <w:spacing w:beforeLines="0" w:afterLines="0" w:line="288" w:lineRule="auto"/>
              <w:rPr>
                <w:rFonts w:hint="default" w:ascii="宋体" w:hAnsi="宋体" w:eastAsia="Times New Roman" w:cs="宋体"/>
                <w:color w:val="auto"/>
                <w:spacing w:val="-6"/>
                <w:kern w:val="2"/>
                <w:sz w:val="21"/>
                <w:szCs w:val="21"/>
                <w:vertAlign w:val="baseline"/>
                <w:lang w:val="en-US" w:eastAsia="zh-CN" w:bidi="zh-CN"/>
              </w:rPr>
            </w:pPr>
            <w:r>
              <w:rPr>
                <w:rFonts w:hint="eastAsia" w:ascii="宋体" w:hAnsi="宋体" w:cs="宋体"/>
                <w:color w:val="auto"/>
                <w:spacing w:val="-6"/>
                <w:sz w:val="21"/>
                <w:szCs w:val="21"/>
                <w:vertAlign w:val="baseline"/>
                <w:lang w:val="en-US" w:bidi="zh-CN"/>
              </w:rPr>
              <w:t>0.742</w:t>
            </w:r>
          </w:p>
        </w:tc>
        <w:tc>
          <w:tcPr>
            <w:tcW w:w="1276" w:type="dxa"/>
            <w:noWrap w:val="0"/>
            <w:vAlign w:val="center"/>
          </w:tcPr>
          <w:p w14:paraId="6D7F8E16">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009BBE46">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2575FFD6">
            <w:pPr>
              <w:pStyle w:val="13"/>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cs="Times New Roman"/>
                <w:snapToGrid w:val="0"/>
                <w:color w:val="auto"/>
                <w:kern w:val="21"/>
                <w:sz w:val="21"/>
                <w:szCs w:val="21"/>
                <w:lang w:val="en-US" w:eastAsia="zh-CN"/>
              </w:rPr>
            </w:pPr>
            <w:r>
              <w:rPr>
                <w:rFonts w:hint="eastAsia" w:ascii="宋体" w:eastAsia="宋体" w:cs="Times New Roman"/>
                <w:color w:val="auto"/>
                <w:sz w:val="21"/>
                <w:szCs w:val="21"/>
                <w:lang w:val="en-US" w:eastAsia="zh-CN"/>
              </w:rPr>
              <w:t>1.143</w:t>
            </w:r>
          </w:p>
        </w:tc>
        <w:tc>
          <w:tcPr>
            <w:tcW w:w="1309" w:type="dxa"/>
            <w:shd w:val="clear" w:color="auto" w:fill="auto"/>
            <w:noWrap w:val="0"/>
            <w:vAlign w:val="center"/>
          </w:tcPr>
          <w:p w14:paraId="13844183">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w:t>
            </w:r>
          </w:p>
        </w:tc>
        <w:tc>
          <w:tcPr>
            <w:tcW w:w="2059" w:type="dxa"/>
            <w:shd w:val="clear" w:color="auto" w:fill="auto"/>
            <w:noWrap w:val="0"/>
            <w:vAlign w:val="center"/>
          </w:tcPr>
          <w:p w14:paraId="5D0BBBDA">
            <w:pPr>
              <w:pStyle w:val="66"/>
              <w:spacing w:beforeLines="0" w:afterLines="0" w:line="288" w:lineRule="auto"/>
              <w:rPr>
                <w:rFonts w:hint="eastAsia" w:ascii="宋体" w:hAnsi="Times New Roman" w:eastAsia="宋体" w:cs="Times New Roman"/>
                <w:color w:val="auto"/>
                <w:kern w:val="2"/>
                <w:sz w:val="21"/>
                <w:szCs w:val="21"/>
                <w:lang w:val="en-US" w:eastAsia="zh-CN" w:bidi="ar-SA"/>
              </w:rPr>
            </w:pPr>
            <w:r>
              <w:rPr>
                <w:rFonts w:hint="eastAsia" w:ascii="宋体" w:eastAsia="宋体" w:cs="Times New Roman"/>
                <w:color w:val="auto"/>
                <w:sz w:val="21"/>
                <w:szCs w:val="21"/>
                <w:lang w:val="en-US" w:eastAsia="zh-CN"/>
              </w:rPr>
              <w:t>1.143</w:t>
            </w:r>
          </w:p>
        </w:tc>
        <w:tc>
          <w:tcPr>
            <w:tcW w:w="1178" w:type="dxa"/>
            <w:shd w:val="clear" w:color="auto" w:fill="auto"/>
            <w:noWrap w:val="0"/>
            <w:vAlign w:val="center"/>
          </w:tcPr>
          <w:p w14:paraId="138152C9">
            <w:pPr>
              <w:pStyle w:val="13"/>
              <w:keepNext w:val="0"/>
              <w:keepLines w:val="0"/>
              <w:pageBreakBefore w:val="0"/>
              <w:widowControl w:val="0"/>
              <w:kinsoku/>
              <w:wordWrap/>
              <w:overflowPunct/>
              <w:topLinePunct w:val="0"/>
              <w:bidi w:val="0"/>
              <w:spacing w:line="240" w:lineRule="auto"/>
              <w:jc w:val="center"/>
              <w:textAlignment w:val="auto"/>
              <w:rPr>
                <w:rFonts w:hint="eastAsia" w:ascii="宋体" w:hAnsi="宋体" w:eastAsia="Times New Roman" w:cs="宋体"/>
                <w:color w:val="auto"/>
                <w:spacing w:val="-6"/>
                <w:kern w:val="0"/>
                <w:sz w:val="21"/>
                <w:szCs w:val="21"/>
                <w:vertAlign w:val="baseline"/>
                <w:lang w:val="en-US" w:eastAsia="zh-CN" w:bidi="zh-CN"/>
              </w:rPr>
            </w:pPr>
            <w:r>
              <w:rPr>
                <w:rFonts w:hint="eastAsia" w:ascii="宋体" w:hAnsi="宋体" w:cs="宋体"/>
                <w:color w:val="auto"/>
                <w:spacing w:val="-6"/>
                <w:sz w:val="21"/>
                <w:szCs w:val="21"/>
                <w:vertAlign w:val="baseline"/>
                <w:lang w:val="en-US" w:bidi="zh-CN"/>
              </w:rPr>
              <w:t>+0.401</w:t>
            </w:r>
          </w:p>
        </w:tc>
      </w:tr>
      <w:tr w14:paraId="069C7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restart"/>
            <w:noWrap w:val="0"/>
            <w:vAlign w:val="center"/>
          </w:tcPr>
          <w:p w14:paraId="19BBC892">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509" w:type="dxa"/>
            <w:noWrap w:val="0"/>
            <w:vAlign w:val="center"/>
          </w:tcPr>
          <w:p w14:paraId="0DE50DD1">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color w:val="auto"/>
                <w:szCs w:val="21"/>
              </w:rPr>
              <w:t>COD</w:t>
            </w:r>
            <w:r>
              <w:rPr>
                <w:rFonts w:hint="eastAsia"/>
                <w:color w:val="auto"/>
                <w:szCs w:val="21"/>
                <w:vertAlign w:val="subscript"/>
              </w:rPr>
              <w:t>C</w:t>
            </w:r>
            <w:r>
              <w:rPr>
                <w:color w:val="auto"/>
                <w:szCs w:val="21"/>
                <w:vertAlign w:val="subscript"/>
              </w:rPr>
              <w:t>r</w:t>
            </w:r>
          </w:p>
        </w:tc>
        <w:tc>
          <w:tcPr>
            <w:tcW w:w="1701" w:type="dxa"/>
            <w:shd w:val="clear" w:color="auto" w:fill="auto"/>
            <w:noWrap w:val="0"/>
            <w:vAlign w:val="center"/>
          </w:tcPr>
          <w:p w14:paraId="35CEBBB9">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0.012</w:t>
            </w:r>
          </w:p>
        </w:tc>
        <w:tc>
          <w:tcPr>
            <w:tcW w:w="1276" w:type="dxa"/>
            <w:noWrap w:val="0"/>
            <w:vAlign w:val="center"/>
          </w:tcPr>
          <w:p w14:paraId="625E6A52">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14A2A037">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576D3F14">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rPr>
            </w:pPr>
            <w:r>
              <w:rPr>
                <w:rFonts w:hint="eastAsia" w:eastAsia="宋体"/>
                <w:color w:val="auto"/>
                <w:sz w:val="21"/>
                <w:szCs w:val="21"/>
                <w:lang w:val="en-US" w:eastAsia="zh-CN"/>
              </w:rPr>
              <w:t>0.075</w:t>
            </w:r>
          </w:p>
        </w:tc>
        <w:tc>
          <w:tcPr>
            <w:tcW w:w="1309" w:type="dxa"/>
            <w:shd w:val="clear" w:color="auto" w:fill="auto"/>
            <w:noWrap w:val="0"/>
            <w:vAlign w:val="center"/>
          </w:tcPr>
          <w:p w14:paraId="2D6E38FD">
            <w:pPr>
              <w:pageBreakBefore w:val="0"/>
              <w:widowControl/>
              <w:topLinePunct w:val="0"/>
              <w:bidi w:val="0"/>
              <w:adjustRightInd/>
              <w:snapToGrid/>
              <w:spacing w:beforeAutospacing="0" w:afterAutospacing="0" w:line="240" w:lineRule="atLeast"/>
              <w:ind w:left="0" w:leftChars="0" w:right="0" w:rightChars="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w:t>
            </w:r>
          </w:p>
        </w:tc>
        <w:tc>
          <w:tcPr>
            <w:tcW w:w="2059" w:type="dxa"/>
            <w:shd w:val="clear" w:color="auto" w:fill="auto"/>
            <w:noWrap w:val="0"/>
            <w:vAlign w:val="center"/>
          </w:tcPr>
          <w:p w14:paraId="69D29A5C">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eastAsia="宋体"/>
                <w:color w:val="auto"/>
                <w:sz w:val="21"/>
                <w:szCs w:val="21"/>
                <w:lang w:val="en-US" w:eastAsia="zh-CN"/>
              </w:rPr>
              <w:t>0.075</w:t>
            </w:r>
          </w:p>
        </w:tc>
        <w:tc>
          <w:tcPr>
            <w:tcW w:w="1178" w:type="dxa"/>
            <w:shd w:val="clear" w:color="auto" w:fill="auto"/>
            <w:noWrap w:val="0"/>
            <w:vAlign w:val="center"/>
          </w:tcPr>
          <w:p w14:paraId="6E5F8733">
            <w:pPr>
              <w:pageBreakBefore w:val="0"/>
              <w:widowControl/>
              <w:topLinePunct w:val="0"/>
              <w:bidi w:val="0"/>
              <w:adjustRightInd/>
              <w:snapToGrid/>
              <w:spacing w:beforeAutospacing="0" w:afterAutospacing="0" w:line="240" w:lineRule="atLeast"/>
              <w:ind w:left="0" w:leftChars="0" w:right="0" w:rightChars="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+0.063</w:t>
            </w:r>
          </w:p>
        </w:tc>
      </w:tr>
      <w:tr w14:paraId="6A560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066413FD">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noWrap w:val="0"/>
            <w:vAlign w:val="center"/>
          </w:tcPr>
          <w:p w14:paraId="62732958">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eastAsia="宋体" w:cs="Times New Roman"/>
                <w:snapToGrid w:val="0"/>
                <w:color w:val="auto"/>
                <w:kern w:val="21"/>
                <w:szCs w:val="21"/>
                <w:lang w:val="en-US" w:eastAsia="zh-CN"/>
              </w:rPr>
            </w:pPr>
            <w:r>
              <w:rPr>
                <w:color w:val="auto"/>
                <w:szCs w:val="21"/>
              </w:rPr>
              <w:t>BOD</w:t>
            </w:r>
            <w:r>
              <w:rPr>
                <w:color w:val="auto"/>
                <w:szCs w:val="21"/>
                <w:vertAlign w:val="subscript"/>
              </w:rPr>
              <w:t>5</w:t>
            </w:r>
          </w:p>
        </w:tc>
        <w:tc>
          <w:tcPr>
            <w:tcW w:w="1701" w:type="dxa"/>
            <w:shd w:val="clear" w:color="auto" w:fill="auto"/>
            <w:noWrap w:val="0"/>
            <w:vAlign w:val="center"/>
          </w:tcPr>
          <w:p w14:paraId="046C0948">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0.0024</w:t>
            </w:r>
          </w:p>
        </w:tc>
        <w:tc>
          <w:tcPr>
            <w:tcW w:w="1276" w:type="dxa"/>
            <w:noWrap w:val="0"/>
            <w:vAlign w:val="center"/>
          </w:tcPr>
          <w:p w14:paraId="3C623F96">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37D21995">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66A10CB2">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rPr>
            </w:pPr>
            <w:r>
              <w:rPr>
                <w:rFonts w:hint="eastAsia" w:eastAsia="宋体"/>
                <w:color w:val="auto"/>
                <w:sz w:val="21"/>
                <w:szCs w:val="21"/>
                <w:lang w:val="en-US" w:eastAsia="zh-CN"/>
              </w:rPr>
              <w:t>0.015</w:t>
            </w:r>
          </w:p>
        </w:tc>
        <w:tc>
          <w:tcPr>
            <w:tcW w:w="1309" w:type="dxa"/>
            <w:shd w:val="clear" w:color="auto" w:fill="auto"/>
            <w:noWrap w:val="0"/>
            <w:vAlign w:val="center"/>
          </w:tcPr>
          <w:p w14:paraId="221934B6">
            <w:pPr>
              <w:pageBreakBefore w:val="0"/>
              <w:widowControl/>
              <w:topLinePunct w:val="0"/>
              <w:bidi w:val="0"/>
              <w:adjustRightInd/>
              <w:snapToGrid/>
              <w:spacing w:beforeAutospacing="0" w:afterAutospacing="0" w:line="240" w:lineRule="atLeast"/>
              <w:ind w:left="0" w:leftChars="0" w:right="0" w:rightChars="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w:t>
            </w:r>
          </w:p>
        </w:tc>
        <w:tc>
          <w:tcPr>
            <w:tcW w:w="2059" w:type="dxa"/>
            <w:shd w:val="clear" w:color="auto" w:fill="auto"/>
            <w:noWrap w:val="0"/>
            <w:vAlign w:val="center"/>
          </w:tcPr>
          <w:p w14:paraId="2889B23F">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eastAsia="宋体"/>
                <w:color w:val="auto"/>
                <w:sz w:val="21"/>
                <w:szCs w:val="21"/>
                <w:lang w:val="en-US" w:eastAsia="zh-CN"/>
              </w:rPr>
              <w:t>0.015</w:t>
            </w:r>
          </w:p>
        </w:tc>
        <w:tc>
          <w:tcPr>
            <w:tcW w:w="1178" w:type="dxa"/>
            <w:shd w:val="clear" w:color="auto" w:fill="auto"/>
            <w:noWrap w:val="0"/>
            <w:vAlign w:val="center"/>
          </w:tcPr>
          <w:p w14:paraId="2779808E">
            <w:pPr>
              <w:pageBreakBefore w:val="0"/>
              <w:widowControl/>
              <w:topLinePunct w:val="0"/>
              <w:bidi w:val="0"/>
              <w:adjustRightInd/>
              <w:snapToGrid/>
              <w:spacing w:beforeAutospacing="0" w:afterAutospacing="0" w:line="240" w:lineRule="atLeast"/>
              <w:ind w:left="0" w:leftChars="0" w:right="0" w:rightChars="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+0.0126</w:t>
            </w:r>
          </w:p>
        </w:tc>
      </w:tr>
      <w:tr w14:paraId="18E2C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3B0764AF">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noWrap w:val="0"/>
            <w:vAlign w:val="center"/>
          </w:tcPr>
          <w:p w14:paraId="54BB2F86">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color w:val="auto"/>
                <w:szCs w:val="21"/>
              </w:rPr>
              <w:t>SS</w:t>
            </w:r>
          </w:p>
        </w:tc>
        <w:tc>
          <w:tcPr>
            <w:tcW w:w="1701" w:type="dxa"/>
            <w:shd w:val="clear" w:color="auto" w:fill="auto"/>
            <w:noWrap w:val="0"/>
            <w:vAlign w:val="center"/>
          </w:tcPr>
          <w:p w14:paraId="3C90A2AB">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0.0024</w:t>
            </w:r>
          </w:p>
        </w:tc>
        <w:tc>
          <w:tcPr>
            <w:tcW w:w="1276" w:type="dxa"/>
            <w:noWrap w:val="0"/>
            <w:vAlign w:val="center"/>
          </w:tcPr>
          <w:p w14:paraId="38877EF7">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167BC70F">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4C261779">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eastAsia="宋体"/>
                <w:color w:val="auto"/>
                <w:sz w:val="21"/>
                <w:szCs w:val="21"/>
                <w:lang w:val="en-US" w:eastAsia="zh-CN"/>
              </w:rPr>
              <w:t>0.015</w:t>
            </w:r>
          </w:p>
        </w:tc>
        <w:tc>
          <w:tcPr>
            <w:tcW w:w="1309" w:type="dxa"/>
            <w:shd w:val="clear" w:color="auto" w:fill="auto"/>
            <w:noWrap w:val="0"/>
            <w:vAlign w:val="center"/>
          </w:tcPr>
          <w:p w14:paraId="72A0259D">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w:t>
            </w:r>
          </w:p>
        </w:tc>
        <w:tc>
          <w:tcPr>
            <w:tcW w:w="2059" w:type="dxa"/>
            <w:shd w:val="clear" w:color="auto" w:fill="auto"/>
            <w:noWrap w:val="0"/>
            <w:vAlign w:val="center"/>
          </w:tcPr>
          <w:p w14:paraId="30F19283">
            <w:pPr>
              <w:pageBreakBefore w:val="0"/>
              <w:topLinePunct w:val="0"/>
              <w:bidi w:val="0"/>
              <w:adjustRightInd/>
              <w:snapToGrid/>
              <w:spacing w:beforeAutospacing="0" w:afterAutospacing="0"/>
              <w:ind w:left="0" w:leftChars="0" w:right="0" w:rightChars="0"/>
              <w:jc w:val="center"/>
              <w:rPr>
                <w:rFonts w:hint="eastAsia" w:ascii="Times New Roman" w:hAnsi="Times New Roman" w:eastAsia="宋体" w:cs="Times New Roman"/>
                <w:snapToGrid w:val="0"/>
                <w:color w:val="auto"/>
                <w:kern w:val="21"/>
                <w:sz w:val="21"/>
                <w:szCs w:val="21"/>
                <w:lang w:val="en-US" w:eastAsia="zh-CN" w:bidi="ar-SA"/>
              </w:rPr>
            </w:pPr>
            <w:r>
              <w:rPr>
                <w:rFonts w:hint="eastAsia" w:eastAsia="宋体"/>
                <w:color w:val="auto"/>
                <w:sz w:val="21"/>
                <w:szCs w:val="21"/>
                <w:lang w:val="en-US" w:eastAsia="zh-CN"/>
              </w:rPr>
              <w:t>0.015</w:t>
            </w:r>
          </w:p>
        </w:tc>
        <w:tc>
          <w:tcPr>
            <w:tcW w:w="1178" w:type="dxa"/>
            <w:shd w:val="clear" w:color="auto" w:fill="auto"/>
            <w:noWrap w:val="0"/>
            <w:vAlign w:val="center"/>
          </w:tcPr>
          <w:p w14:paraId="14249F83">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eastAsia="宋体" w:cs="Times New Roman"/>
                <w:snapToGrid w:val="0"/>
                <w:color w:val="auto"/>
                <w:spacing w:val="0"/>
                <w:kern w:val="21"/>
                <w:sz w:val="21"/>
                <w:szCs w:val="21"/>
                <w:lang w:val="en-US" w:eastAsia="zh-CN" w:bidi="ar-SA"/>
              </w:rPr>
              <w:t>+0.0126</w:t>
            </w:r>
          </w:p>
        </w:tc>
      </w:tr>
      <w:tr w14:paraId="193FD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6C846350">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noWrap w:val="0"/>
            <w:vAlign w:val="center"/>
          </w:tcPr>
          <w:p w14:paraId="74375534">
            <w:pPr>
              <w:pageBreakBefore w:val="0"/>
              <w:topLinePunct w:val="0"/>
              <w:bidi w:val="0"/>
              <w:adjustRightInd/>
              <w:snapToGrid/>
              <w:spacing w:beforeAutospacing="0" w:afterAutospacing="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color w:val="auto"/>
                <w:szCs w:val="21"/>
              </w:rPr>
              <w:t>NH</w:t>
            </w:r>
            <w:r>
              <w:rPr>
                <w:color w:val="auto"/>
                <w:szCs w:val="21"/>
                <w:vertAlign w:val="subscript"/>
              </w:rPr>
              <w:t>3</w:t>
            </w:r>
            <w:r>
              <w:rPr>
                <w:color w:val="auto"/>
                <w:szCs w:val="21"/>
              </w:rPr>
              <w:t>-N</w:t>
            </w:r>
          </w:p>
        </w:tc>
        <w:tc>
          <w:tcPr>
            <w:tcW w:w="1701" w:type="dxa"/>
            <w:shd w:val="clear" w:color="auto" w:fill="auto"/>
            <w:noWrap w:val="0"/>
            <w:vAlign w:val="center"/>
          </w:tcPr>
          <w:p w14:paraId="175EDC35">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0.0012</w:t>
            </w:r>
          </w:p>
        </w:tc>
        <w:tc>
          <w:tcPr>
            <w:tcW w:w="1276" w:type="dxa"/>
            <w:noWrap w:val="0"/>
            <w:vAlign w:val="center"/>
          </w:tcPr>
          <w:p w14:paraId="3F9E78EF">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2DD0FD82">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3B5ECE0E">
            <w:pPr>
              <w:pageBreakBefore w:val="0"/>
              <w:topLinePunct w:val="0"/>
              <w:bidi w:val="0"/>
              <w:adjustRightInd/>
              <w:snapToGrid/>
              <w:spacing w:beforeAutospacing="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0.007</w:t>
            </w:r>
          </w:p>
        </w:tc>
        <w:tc>
          <w:tcPr>
            <w:tcW w:w="1309" w:type="dxa"/>
            <w:shd w:val="clear" w:color="auto" w:fill="auto"/>
            <w:noWrap w:val="0"/>
            <w:vAlign w:val="center"/>
          </w:tcPr>
          <w:p w14:paraId="39EEB22F">
            <w:pPr>
              <w:pageBreakBefore w:val="0"/>
              <w:widowControl/>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w:t>
            </w:r>
          </w:p>
        </w:tc>
        <w:tc>
          <w:tcPr>
            <w:tcW w:w="2059" w:type="dxa"/>
            <w:shd w:val="clear" w:color="auto" w:fill="auto"/>
            <w:noWrap w:val="0"/>
            <w:vAlign w:val="center"/>
          </w:tcPr>
          <w:p w14:paraId="3DFE06A7">
            <w:pPr>
              <w:pageBreakBefore w:val="0"/>
              <w:topLinePunct w:val="0"/>
              <w:bidi w:val="0"/>
              <w:adjustRightInd/>
              <w:snapToGrid/>
              <w:spacing w:beforeAutospacing="0" w:afterAutospacing="0"/>
              <w:ind w:left="0" w:leftChars="0" w:right="0" w:rightChars="0"/>
              <w:jc w:val="center"/>
              <w:rPr>
                <w:rFonts w:hint="eastAsia" w:ascii="Times New Roman" w:hAnsi="Times New Roman" w:eastAsia="Times New Roman" w:cs="Times New Roman"/>
                <w:color w:val="auto"/>
                <w:kern w:val="2"/>
                <w:sz w:val="21"/>
                <w:szCs w:val="21"/>
                <w:lang w:val="en-US" w:eastAsia="zh-CN" w:bidi="ar-SA"/>
              </w:rPr>
            </w:pPr>
            <w:r>
              <w:rPr>
                <w:rFonts w:hint="eastAsia"/>
                <w:color w:val="auto"/>
                <w:sz w:val="21"/>
                <w:szCs w:val="21"/>
                <w:lang w:val="en-US" w:eastAsia="zh-CN"/>
              </w:rPr>
              <w:t>0.007</w:t>
            </w:r>
          </w:p>
        </w:tc>
        <w:tc>
          <w:tcPr>
            <w:tcW w:w="1178" w:type="dxa"/>
            <w:shd w:val="clear" w:color="auto" w:fill="auto"/>
            <w:noWrap w:val="0"/>
            <w:vAlign w:val="center"/>
          </w:tcPr>
          <w:p w14:paraId="07DD6488">
            <w:pPr>
              <w:pageBreakBefore w:val="0"/>
              <w:widowControl/>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+0.0058</w:t>
            </w:r>
          </w:p>
        </w:tc>
      </w:tr>
      <w:tr w14:paraId="65915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5C63E7F9">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noWrap w:val="0"/>
            <w:vAlign w:val="center"/>
          </w:tcPr>
          <w:p w14:paraId="1B7AFC0E">
            <w:pPr>
              <w:pageBreakBefore w:val="0"/>
              <w:topLinePunct w:val="0"/>
              <w:bidi w:val="0"/>
              <w:adjustRightInd/>
              <w:snapToGrid/>
              <w:spacing w:beforeAutospacing="0" w:afterAutospacing="0" w:line="240" w:lineRule="auto"/>
              <w:ind w:left="0" w:leftChars="0" w:right="0" w:rightChars="0"/>
              <w:jc w:val="center"/>
              <w:rPr>
                <w:rFonts w:hint="default"/>
                <w:color w:val="auto"/>
                <w:szCs w:val="21"/>
                <w:lang w:val="en-US" w:eastAsia="zh-CN"/>
              </w:rPr>
            </w:pPr>
            <w:r>
              <w:rPr>
                <w:rFonts w:hint="eastAsia"/>
                <w:color w:val="auto"/>
                <w:szCs w:val="21"/>
                <w:lang w:val="en-US" w:eastAsia="zh-CN"/>
              </w:rPr>
              <w:t>TP</w:t>
            </w:r>
          </w:p>
        </w:tc>
        <w:tc>
          <w:tcPr>
            <w:tcW w:w="1701" w:type="dxa"/>
            <w:shd w:val="clear" w:color="auto" w:fill="auto"/>
            <w:noWrap w:val="0"/>
            <w:vAlign w:val="center"/>
          </w:tcPr>
          <w:p w14:paraId="28DB990C">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0.00012</w:t>
            </w:r>
          </w:p>
        </w:tc>
        <w:tc>
          <w:tcPr>
            <w:tcW w:w="1276" w:type="dxa"/>
            <w:noWrap w:val="0"/>
            <w:vAlign w:val="center"/>
          </w:tcPr>
          <w:p w14:paraId="7E7C0CCC">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30C2143F">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38CE33F8">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0.001</w:t>
            </w:r>
          </w:p>
        </w:tc>
        <w:tc>
          <w:tcPr>
            <w:tcW w:w="1309" w:type="dxa"/>
            <w:shd w:val="clear" w:color="auto" w:fill="auto"/>
            <w:noWrap w:val="0"/>
            <w:vAlign w:val="center"/>
          </w:tcPr>
          <w:p w14:paraId="7C99F54F">
            <w:pPr>
              <w:pageBreakBefore w:val="0"/>
              <w:widowControl/>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bidi="ar-SA"/>
              </w:rPr>
              <w:t>0</w:t>
            </w:r>
          </w:p>
        </w:tc>
        <w:tc>
          <w:tcPr>
            <w:tcW w:w="2059" w:type="dxa"/>
            <w:shd w:val="clear" w:color="auto" w:fill="auto"/>
            <w:noWrap w:val="0"/>
            <w:vAlign w:val="center"/>
          </w:tcPr>
          <w:p w14:paraId="6A0C179B">
            <w:pPr>
              <w:pageBreakBefore w:val="0"/>
              <w:topLinePunct w:val="0"/>
              <w:bidi w:val="0"/>
              <w:adjustRightInd/>
              <w:snapToGrid/>
              <w:spacing w:beforeAutospacing="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0.001</w:t>
            </w:r>
          </w:p>
        </w:tc>
        <w:tc>
          <w:tcPr>
            <w:tcW w:w="1178" w:type="dxa"/>
            <w:shd w:val="clear" w:color="auto" w:fill="auto"/>
            <w:noWrap w:val="0"/>
            <w:vAlign w:val="center"/>
          </w:tcPr>
          <w:p w14:paraId="1B4F5558">
            <w:pPr>
              <w:pageBreakBefore w:val="0"/>
              <w:widowControl/>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+0.00088</w:t>
            </w:r>
          </w:p>
        </w:tc>
      </w:tr>
      <w:tr w14:paraId="28D4B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16EB62CA">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noWrap w:val="0"/>
            <w:vAlign w:val="center"/>
          </w:tcPr>
          <w:p w14:paraId="307BBCA7">
            <w:pPr>
              <w:pageBreakBefore w:val="0"/>
              <w:topLinePunct w:val="0"/>
              <w:bidi w:val="0"/>
              <w:adjustRightInd/>
              <w:snapToGrid/>
              <w:spacing w:beforeAutospacing="0" w:afterAutospacing="0" w:line="240" w:lineRule="auto"/>
              <w:ind w:left="0" w:leftChars="0" w:right="0" w:rightChars="0"/>
              <w:jc w:val="center"/>
              <w:rPr>
                <w:rFonts w:hint="eastAsia"/>
                <w:color w:val="auto"/>
                <w:kern w:val="2"/>
                <w:sz w:val="21"/>
                <w:szCs w:val="21"/>
                <w:lang w:val="en-US" w:eastAsia="zh-CN" w:bidi="ar-SA"/>
              </w:rPr>
            </w:pPr>
            <w:r>
              <w:rPr>
                <w:rFonts w:hint="eastAsia"/>
                <w:color w:val="auto"/>
                <w:szCs w:val="21"/>
                <w:lang w:val="en-US" w:eastAsia="zh-CN"/>
              </w:rPr>
              <w:t>TN</w:t>
            </w:r>
          </w:p>
        </w:tc>
        <w:tc>
          <w:tcPr>
            <w:tcW w:w="1701" w:type="dxa"/>
            <w:shd w:val="clear" w:color="auto" w:fill="auto"/>
            <w:noWrap w:val="0"/>
            <w:vAlign w:val="center"/>
          </w:tcPr>
          <w:p w14:paraId="130469B0">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0.0036</w:t>
            </w:r>
          </w:p>
        </w:tc>
        <w:tc>
          <w:tcPr>
            <w:tcW w:w="1276" w:type="dxa"/>
            <w:noWrap w:val="0"/>
            <w:vAlign w:val="center"/>
          </w:tcPr>
          <w:p w14:paraId="427B9D8F">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bidi="ar-SA"/>
              </w:rPr>
              <w:t>/</w:t>
            </w:r>
          </w:p>
        </w:tc>
        <w:tc>
          <w:tcPr>
            <w:tcW w:w="1701" w:type="dxa"/>
            <w:shd w:val="clear" w:color="auto" w:fill="auto"/>
            <w:noWrap w:val="0"/>
            <w:vAlign w:val="center"/>
          </w:tcPr>
          <w:p w14:paraId="63D0EB68">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bidi="ar-SA"/>
              </w:rPr>
              <w:t>/</w:t>
            </w:r>
          </w:p>
        </w:tc>
        <w:tc>
          <w:tcPr>
            <w:tcW w:w="1559" w:type="dxa"/>
            <w:noWrap w:val="0"/>
            <w:vAlign w:val="center"/>
          </w:tcPr>
          <w:p w14:paraId="63277E22">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0.022</w:t>
            </w:r>
          </w:p>
        </w:tc>
        <w:tc>
          <w:tcPr>
            <w:tcW w:w="1309" w:type="dxa"/>
            <w:shd w:val="clear" w:color="auto" w:fill="auto"/>
            <w:noWrap w:val="0"/>
            <w:vAlign w:val="center"/>
          </w:tcPr>
          <w:p w14:paraId="0F541046">
            <w:pPr>
              <w:pageBreakBefore w:val="0"/>
              <w:widowControl/>
              <w:topLinePunct w:val="0"/>
              <w:bidi w:val="0"/>
              <w:adjustRightInd/>
              <w:snapToGrid/>
              <w:spacing w:beforeAutospacing="0" w:afterAutospacing="0" w:line="240" w:lineRule="atLeast"/>
              <w:ind w:left="0" w:leftChars="0" w:right="0" w:rightChars="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rPr>
              <w:t>0</w:t>
            </w:r>
          </w:p>
        </w:tc>
        <w:tc>
          <w:tcPr>
            <w:tcW w:w="2059" w:type="dxa"/>
            <w:shd w:val="clear" w:color="auto" w:fill="auto"/>
            <w:noWrap w:val="0"/>
            <w:vAlign w:val="center"/>
          </w:tcPr>
          <w:p w14:paraId="4D171661">
            <w:pPr>
              <w:pageBreakBefore w:val="0"/>
              <w:topLinePunct w:val="0"/>
              <w:bidi w:val="0"/>
              <w:adjustRightInd/>
              <w:snapToGrid/>
              <w:spacing w:beforeAutospacing="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0.022</w:t>
            </w:r>
          </w:p>
        </w:tc>
        <w:tc>
          <w:tcPr>
            <w:tcW w:w="1178" w:type="dxa"/>
            <w:shd w:val="clear" w:color="auto" w:fill="auto"/>
            <w:noWrap w:val="0"/>
            <w:vAlign w:val="center"/>
          </w:tcPr>
          <w:p w14:paraId="7F5097B4">
            <w:pPr>
              <w:pageBreakBefore w:val="0"/>
              <w:widowControl/>
              <w:topLinePunct w:val="0"/>
              <w:bidi w:val="0"/>
              <w:adjustRightInd/>
              <w:snapToGrid/>
              <w:spacing w:beforeAutospacing="0" w:afterAutospacing="0" w:line="240" w:lineRule="atLeast"/>
              <w:ind w:left="0" w:leftChars="0" w:right="0" w:rightChars="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+0.0184</w:t>
            </w:r>
          </w:p>
        </w:tc>
      </w:tr>
      <w:tr w14:paraId="4CD9F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restart"/>
            <w:tcBorders>
              <w:top w:val="single" w:color="000000" w:sz="2" w:space="0"/>
            </w:tcBorders>
            <w:noWrap w:val="0"/>
            <w:vAlign w:val="center"/>
          </w:tcPr>
          <w:p w14:paraId="1B7BD1F9">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673E4F0F">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509" w:type="dxa"/>
            <w:shd w:val="clear" w:color="auto" w:fill="auto"/>
            <w:noWrap w:val="0"/>
            <w:vAlign w:val="center"/>
          </w:tcPr>
          <w:p w14:paraId="459F1C92">
            <w:pPr>
              <w:adjustRightInd w:val="0"/>
              <w:snapToGrid w:val="0"/>
              <w:jc w:val="center"/>
              <w:rPr>
                <w:rFonts w:hint="default" w:ascii="Times New Roman" w:hAnsi="Times New Roman" w:eastAsia="Times New Roman" w:cs="Times New Roman"/>
                <w:color w:val="auto"/>
                <w:kern w:val="2"/>
                <w:sz w:val="21"/>
                <w:szCs w:val="21"/>
                <w:lang w:val="en-US" w:eastAsia="zh-CN" w:bidi="ar"/>
              </w:rPr>
            </w:pPr>
            <w:r>
              <w:rPr>
                <w:color w:val="auto"/>
                <w:sz w:val="21"/>
                <w:szCs w:val="21"/>
                <w:lang w:bidi="ar"/>
              </w:rPr>
              <w:t>生活垃圾</w:t>
            </w:r>
          </w:p>
        </w:tc>
        <w:tc>
          <w:tcPr>
            <w:tcW w:w="1701" w:type="dxa"/>
            <w:shd w:val="clear" w:color="auto" w:fill="auto"/>
            <w:noWrap w:val="0"/>
            <w:vAlign w:val="center"/>
          </w:tcPr>
          <w:p w14:paraId="34B9F1F0">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w:t>
            </w:r>
          </w:p>
        </w:tc>
        <w:tc>
          <w:tcPr>
            <w:tcW w:w="1276" w:type="dxa"/>
            <w:noWrap w:val="0"/>
            <w:vAlign w:val="center"/>
          </w:tcPr>
          <w:p w14:paraId="373A5028">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08F9022E">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4883A117">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309" w:type="dxa"/>
            <w:shd w:val="clear" w:color="auto" w:fill="auto"/>
            <w:noWrap w:val="0"/>
            <w:vAlign w:val="center"/>
          </w:tcPr>
          <w:p w14:paraId="2A325704">
            <w:pPr>
              <w:pageBreakBefore w:val="0"/>
              <w:widowControl/>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 w:val="21"/>
                <w:szCs w:val="21"/>
                <w:lang w:val="en-US" w:eastAsia="zh-CN" w:bidi="ar-SA"/>
              </w:rPr>
              <w:t>0</w:t>
            </w:r>
          </w:p>
        </w:tc>
        <w:tc>
          <w:tcPr>
            <w:tcW w:w="2059" w:type="dxa"/>
            <w:noWrap w:val="0"/>
            <w:vAlign w:val="center"/>
          </w:tcPr>
          <w:p w14:paraId="20A36C66">
            <w:pPr>
              <w:pageBreakBefore w:val="0"/>
              <w:topLinePunct w:val="0"/>
              <w:bidi w:val="0"/>
              <w:adjustRightInd/>
              <w:snapToGrid/>
              <w:spacing w:beforeAutospacing="0" w:afterAutospacing="0"/>
              <w:ind w:left="0" w:leftChars="0" w:right="0" w:rightChars="0"/>
              <w:jc w:val="center"/>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3</w:t>
            </w:r>
          </w:p>
        </w:tc>
        <w:tc>
          <w:tcPr>
            <w:tcW w:w="1178" w:type="dxa"/>
            <w:shd w:val="clear" w:color="auto" w:fill="auto"/>
            <w:noWrap w:val="0"/>
            <w:vAlign w:val="center"/>
          </w:tcPr>
          <w:p w14:paraId="67CB9119">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r>
      <w:tr w14:paraId="2FFA0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2B64A94D">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75F62978">
            <w:pPr>
              <w:adjustRightInd w:val="0"/>
              <w:snapToGrid w:val="0"/>
              <w:jc w:val="center"/>
              <w:rPr>
                <w:rFonts w:hint="default" w:ascii="Times New Roman" w:hAnsi="Times New Roman" w:eastAsia="Times New Roman" w:cs="Times New Roman"/>
                <w:color w:val="auto"/>
                <w:kern w:val="2"/>
                <w:sz w:val="21"/>
                <w:szCs w:val="21"/>
                <w:lang w:val="en-US" w:eastAsia="zh-CN" w:bidi="ar"/>
              </w:rPr>
            </w:pPr>
            <w:r>
              <w:rPr>
                <w:rFonts w:hint="eastAsia"/>
                <w:bCs/>
                <w:color w:val="auto"/>
                <w:szCs w:val="21"/>
              </w:rPr>
              <w:t>不可利用固体废物</w:t>
            </w:r>
          </w:p>
        </w:tc>
        <w:tc>
          <w:tcPr>
            <w:tcW w:w="1701" w:type="dxa"/>
            <w:shd w:val="clear" w:color="auto" w:fill="auto"/>
            <w:noWrap w:val="0"/>
            <w:vAlign w:val="center"/>
          </w:tcPr>
          <w:p w14:paraId="63C496B7">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rPr>
              <w:t>3043.17</w:t>
            </w:r>
          </w:p>
        </w:tc>
        <w:tc>
          <w:tcPr>
            <w:tcW w:w="1276" w:type="dxa"/>
            <w:noWrap w:val="0"/>
            <w:vAlign w:val="center"/>
          </w:tcPr>
          <w:p w14:paraId="150A7B4B">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16F8C331">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20022225">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eastAsia="宋体"/>
                <w:color w:val="auto"/>
                <w:sz w:val="21"/>
                <w:szCs w:val="21"/>
                <w:lang w:val="en-US" w:eastAsia="zh-CN"/>
              </w:rPr>
              <w:t>2195.831</w:t>
            </w:r>
          </w:p>
        </w:tc>
        <w:tc>
          <w:tcPr>
            <w:tcW w:w="1309" w:type="dxa"/>
            <w:shd w:val="clear" w:color="auto" w:fill="auto"/>
            <w:noWrap w:val="0"/>
            <w:vAlign w:val="center"/>
          </w:tcPr>
          <w:p w14:paraId="1168A541">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847.339</w:t>
            </w:r>
          </w:p>
        </w:tc>
        <w:tc>
          <w:tcPr>
            <w:tcW w:w="2059" w:type="dxa"/>
            <w:shd w:val="clear" w:color="auto" w:fill="auto"/>
            <w:noWrap w:val="0"/>
            <w:vAlign w:val="center"/>
          </w:tcPr>
          <w:p w14:paraId="448B8DBA">
            <w:pPr>
              <w:pStyle w:val="40"/>
              <w:autoSpaceDE w:val="0"/>
              <w:autoSpaceDN w:val="0"/>
              <w:spacing w:beforeLines="0" w:afterLines="0" w:line="288" w:lineRule="auto"/>
              <w:ind w:firstLine="0" w:firstLineChars="0"/>
              <w:rPr>
                <w:rFonts w:hint="default" w:ascii="Times New Roman" w:hAnsi="Times New Roman" w:eastAsia="宋体" w:cs="Times New Roman"/>
                <w:color w:val="auto"/>
                <w:spacing w:val="0"/>
                <w:kern w:val="0"/>
                <w:sz w:val="21"/>
                <w:szCs w:val="21"/>
                <w:lang w:val="en-US" w:eastAsia="zh-CN" w:bidi="ar-SA"/>
              </w:rPr>
            </w:pPr>
            <w:r>
              <w:rPr>
                <w:rFonts w:hint="eastAsia" w:ascii="Times New Roman" w:eastAsia="宋体"/>
                <w:color w:val="auto"/>
                <w:sz w:val="21"/>
                <w:szCs w:val="21"/>
                <w:lang w:val="en-US" w:eastAsia="zh-CN"/>
              </w:rPr>
              <w:t>2195.831</w:t>
            </w:r>
          </w:p>
        </w:tc>
        <w:tc>
          <w:tcPr>
            <w:tcW w:w="1178" w:type="dxa"/>
            <w:shd w:val="clear" w:color="auto" w:fill="auto"/>
            <w:noWrap w:val="0"/>
            <w:vAlign w:val="center"/>
          </w:tcPr>
          <w:p w14:paraId="425E06A1">
            <w:pPr>
              <w:pStyle w:val="40"/>
              <w:autoSpaceDE w:val="0"/>
              <w:autoSpaceDN w:val="0"/>
              <w:spacing w:beforeLines="0" w:afterLines="0" w:line="288" w:lineRule="auto"/>
              <w:ind w:firstLine="0" w:firstLineChars="0"/>
              <w:rPr>
                <w:rFonts w:hint="default" w:ascii="宋体" w:hAnsi="Times New Roman" w:eastAsia="宋体" w:cs="宋体"/>
                <w:color w:val="auto"/>
                <w:spacing w:val="0"/>
                <w:kern w:val="2"/>
                <w:sz w:val="21"/>
                <w:szCs w:val="21"/>
                <w:lang w:val="en-US" w:eastAsia="zh-CN" w:bidi="ar-SA"/>
              </w:rPr>
            </w:pPr>
            <w:r>
              <w:rPr>
                <w:rFonts w:hint="eastAsia" w:ascii="宋体" w:hAnsi="Times New Roman" w:eastAsia="宋体" w:cs="宋体"/>
                <w:color w:val="auto"/>
                <w:kern w:val="2"/>
                <w:sz w:val="21"/>
                <w:szCs w:val="21"/>
                <w:lang w:val="en-US" w:eastAsia="zh-CN" w:bidi="ar-SA"/>
              </w:rPr>
              <w:t>-</w:t>
            </w:r>
            <w:r>
              <w:rPr>
                <w:rFonts w:hint="eastAsia" w:ascii="Times New Roman" w:hAnsi="Times New Roman" w:eastAsia="宋体" w:cs="宋体"/>
                <w:color w:val="auto"/>
                <w:kern w:val="2"/>
                <w:sz w:val="21"/>
                <w:szCs w:val="21"/>
                <w:lang w:val="en-US" w:eastAsia="zh-CN" w:bidi="ar-SA"/>
              </w:rPr>
              <w:t>847.339</w:t>
            </w:r>
          </w:p>
        </w:tc>
      </w:tr>
      <w:tr w14:paraId="2F133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06146DC6">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26B5E5C7">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分</w:t>
            </w:r>
            <w:r>
              <w:rPr>
                <w:rFonts w:hint="eastAsia" w:eastAsia="宋体"/>
                <w:color w:val="auto"/>
                <w:sz w:val="21"/>
                <w:szCs w:val="21"/>
                <w:lang w:val="en-US" w:eastAsia="zh-CN" w:bidi="ar"/>
              </w:rPr>
              <w:t>选</w:t>
            </w:r>
            <w:r>
              <w:rPr>
                <w:rFonts w:hint="eastAsia"/>
                <w:color w:val="auto"/>
                <w:sz w:val="21"/>
                <w:szCs w:val="21"/>
                <w:lang w:bidi="ar"/>
              </w:rPr>
              <w:t>杂物</w:t>
            </w:r>
          </w:p>
        </w:tc>
        <w:tc>
          <w:tcPr>
            <w:tcW w:w="1701" w:type="dxa"/>
            <w:shd w:val="clear" w:color="auto" w:fill="auto"/>
            <w:noWrap w:val="0"/>
            <w:vAlign w:val="center"/>
          </w:tcPr>
          <w:p w14:paraId="7130058C">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c>
          <w:tcPr>
            <w:tcW w:w="1276" w:type="dxa"/>
            <w:noWrap w:val="0"/>
            <w:vAlign w:val="center"/>
          </w:tcPr>
          <w:p w14:paraId="60E7E20A">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6EAE671D">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163C7DEE">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100</w:t>
            </w:r>
          </w:p>
        </w:tc>
        <w:tc>
          <w:tcPr>
            <w:tcW w:w="1309" w:type="dxa"/>
            <w:shd w:val="clear" w:color="auto" w:fill="auto"/>
            <w:noWrap w:val="0"/>
            <w:vAlign w:val="center"/>
          </w:tcPr>
          <w:p w14:paraId="38548BCA">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2059" w:type="dxa"/>
            <w:shd w:val="clear" w:color="auto" w:fill="auto"/>
            <w:noWrap w:val="0"/>
            <w:vAlign w:val="center"/>
          </w:tcPr>
          <w:p w14:paraId="70A7D4B8">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100</w:t>
            </w:r>
          </w:p>
        </w:tc>
        <w:tc>
          <w:tcPr>
            <w:tcW w:w="1178" w:type="dxa"/>
            <w:shd w:val="clear" w:color="auto" w:fill="auto"/>
            <w:noWrap w:val="0"/>
            <w:vAlign w:val="center"/>
          </w:tcPr>
          <w:p w14:paraId="1B18D17B">
            <w:pPr>
              <w:pStyle w:val="40"/>
              <w:autoSpaceDE w:val="0"/>
              <w:autoSpaceDN w:val="0"/>
              <w:spacing w:beforeLines="0" w:afterLines="0" w:line="288" w:lineRule="auto"/>
              <w:ind w:firstLine="0" w:firstLineChars="0"/>
              <w:rPr>
                <w:rFonts w:hint="eastAsia" w:ascii="宋体" w:hAnsi="Times New Roman" w:eastAsia="宋体" w:cs="宋体"/>
                <w:color w:val="auto"/>
                <w:spacing w:val="0"/>
                <w:kern w:val="2"/>
                <w:sz w:val="21"/>
                <w:szCs w:val="21"/>
                <w:lang w:val="en-US" w:eastAsia="zh-CN" w:bidi="ar-SA"/>
              </w:rPr>
            </w:pPr>
            <w:r>
              <w:rPr>
                <w:rFonts w:hint="eastAsia" w:ascii="宋体" w:hAnsi="Times New Roman" w:eastAsia="宋体" w:cs="宋体"/>
                <w:color w:val="auto"/>
                <w:kern w:val="2"/>
                <w:sz w:val="21"/>
                <w:szCs w:val="21"/>
                <w:lang w:val="en-US" w:eastAsia="zh-CN" w:bidi="ar-SA"/>
              </w:rPr>
              <w:t>+100</w:t>
            </w:r>
          </w:p>
        </w:tc>
      </w:tr>
      <w:tr w14:paraId="3A5A6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4B9B549F">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1DC24EA8">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eastAsia="宋体"/>
                <w:color w:val="auto"/>
                <w:sz w:val="21"/>
                <w:szCs w:val="21"/>
                <w:lang w:val="en-US" w:eastAsia="zh-CN" w:bidi="ar"/>
              </w:rPr>
              <w:t>废滤网</w:t>
            </w:r>
          </w:p>
        </w:tc>
        <w:tc>
          <w:tcPr>
            <w:tcW w:w="1701" w:type="dxa"/>
            <w:shd w:val="clear" w:color="auto" w:fill="auto"/>
            <w:noWrap w:val="0"/>
            <w:vAlign w:val="center"/>
          </w:tcPr>
          <w:p w14:paraId="6C9ECEFE">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rPr>
              <w:t>0.36</w:t>
            </w:r>
          </w:p>
        </w:tc>
        <w:tc>
          <w:tcPr>
            <w:tcW w:w="1276" w:type="dxa"/>
            <w:noWrap w:val="0"/>
            <w:vAlign w:val="center"/>
          </w:tcPr>
          <w:p w14:paraId="786DB2ED">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637C4436">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shd w:val="clear" w:color="auto" w:fill="auto"/>
            <w:noWrap w:val="0"/>
            <w:vAlign w:val="center"/>
          </w:tcPr>
          <w:p w14:paraId="3749277F">
            <w:pPr>
              <w:pStyle w:val="40"/>
              <w:autoSpaceDE w:val="0"/>
              <w:autoSpaceDN w:val="0"/>
              <w:spacing w:beforeLines="0" w:afterLines="0" w:line="288" w:lineRule="auto"/>
              <w:ind w:firstLine="0" w:firstLineChars="0"/>
              <w:rPr>
                <w:rFonts w:hint="default"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309" w:type="dxa"/>
            <w:shd w:val="clear" w:color="auto" w:fill="auto"/>
            <w:noWrap w:val="0"/>
            <w:vAlign w:val="center"/>
          </w:tcPr>
          <w:p w14:paraId="7B09B145">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2059" w:type="dxa"/>
            <w:shd w:val="clear" w:color="auto" w:fill="auto"/>
            <w:noWrap w:val="0"/>
            <w:vAlign w:val="center"/>
          </w:tcPr>
          <w:p w14:paraId="49F59C18">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178" w:type="dxa"/>
            <w:shd w:val="clear" w:color="auto" w:fill="auto"/>
            <w:noWrap w:val="0"/>
            <w:vAlign w:val="center"/>
          </w:tcPr>
          <w:p w14:paraId="2C56981C">
            <w:pPr>
              <w:pStyle w:val="40"/>
              <w:autoSpaceDE w:val="0"/>
              <w:autoSpaceDN w:val="0"/>
              <w:spacing w:beforeLines="0" w:afterLines="0" w:line="288" w:lineRule="auto"/>
              <w:ind w:firstLine="0" w:firstLineChars="0"/>
              <w:rPr>
                <w:rFonts w:hint="eastAsia" w:ascii="Times New Roman" w:hAnsi="Times New Roman" w:eastAsia="Times New Roman" w:cs="Times New Roman"/>
                <w:color w:val="auto"/>
                <w:spacing w:val="0"/>
                <w:kern w:val="0"/>
                <w:sz w:val="21"/>
                <w:szCs w:val="21"/>
                <w:lang w:val="en-US" w:eastAsia="zh-CN" w:bidi="ar-SA"/>
              </w:rPr>
            </w:pPr>
            <w:r>
              <w:rPr>
                <w:rFonts w:hint="eastAsia" w:ascii="Times New Roman" w:hAnsi="Times New Roman" w:eastAsia="Times New Roman" w:cs="Times New Roman"/>
                <w:color w:val="auto"/>
                <w:kern w:val="0"/>
                <w:sz w:val="21"/>
                <w:szCs w:val="21"/>
                <w:lang w:val="en-US" w:eastAsia="zh-CN" w:bidi="ar-SA"/>
              </w:rPr>
              <w:t>+0.64</w:t>
            </w:r>
          </w:p>
        </w:tc>
      </w:tr>
      <w:tr w14:paraId="4FCC26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155B9C4B">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2DC46FA6">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ascii="Times New Roman"/>
                <w:bCs/>
                <w:color w:val="auto"/>
                <w:sz w:val="21"/>
                <w:szCs w:val="21"/>
              </w:rPr>
              <w:t>不合格产品及边角料</w:t>
            </w:r>
          </w:p>
        </w:tc>
        <w:tc>
          <w:tcPr>
            <w:tcW w:w="1701" w:type="dxa"/>
            <w:shd w:val="clear" w:color="auto" w:fill="auto"/>
            <w:noWrap w:val="0"/>
            <w:vAlign w:val="center"/>
          </w:tcPr>
          <w:p w14:paraId="7DA8E3A2">
            <w:pPr>
              <w:pageBreakBefore w:val="0"/>
              <w:topLinePunct w:val="0"/>
              <w:bidi w:val="0"/>
              <w:adjustRightInd/>
              <w:snapToGrid/>
              <w:spacing w:beforeAutospacing="0" w:afterAutospacing="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ascii="宋体" w:eastAsia="宋体"/>
                <w:color w:val="auto"/>
                <w:sz w:val="21"/>
                <w:szCs w:val="21"/>
                <w:lang w:val="en-US" w:eastAsia="zh-CN"/>
              </w:rPr>
              <w:t>244</w:t>
            </w:r>
          </w:p>
        </w:tc>
        <w:tc>
          <w:tcPr>
            <w:tcW w:w="1276" w:type="dxa"/>
            <w:shd w:val="clear" w:color="auto" w:fill="auto"/>
            <w:noWrap w:val="0"/>
            <w:vAlign w:val="center"/>
          </w:tcPr>
          <w:p w14:paraId="1A3997A8">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eastAsia"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3123D073">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eastAsia"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shd w:val="clear" w:color="auto" w:fill="auto"/>
            <w:noWrap w:val="0"/>
            <w:vAlign w:val="center"/>
          </w:tcPr>
          <w:p w14:paraId="6AC2DC2D">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244</w:t>
            </w:r>
          </w:p>
        </w:tc>
        <w:tc>
          <w:tcPr>
            <w:tcW w:w="1309" w:type="dxa"/>
            <w:shd w:val="clear" w:color="auto" w:fill="auto"/>
            <w:noWrap w:val="0"/>
            <w:vAlign w:val="center"/>
          </w:tcPr>
          <w:p w14:paraId="2D8AACD5">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2059" w:type="dxa"/>
            <w:shd w:val="clear" w:color="auto" w:fill="auto"/>
            <w:noWrap w:val="0"/>
            <w:vAlign w:val="center"/>
          </w:tcPr>
          <w:p w14:paraId="44F115D4">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244</w:t>
            </w:r>
          </w:p>
        </w:tc>
        <w:tc>
          <w:tcPr>
            <w:tcW w:w="1178" w:type="dxa"/>
            <w:shd w:val="clear" w:color="auto" w:fill="auto"/>
            <w:noWrap w:val="0"/>
            <w:vAlign w:val="center"/>
          </w:tcPr>
          <w:p w14:paraId="32D2DA6E">
            <w:pPr>
              <w:pStyle w:val="40"/>
              <w:autoSpaceDE w:val="0"/>
              <w:autoSpaceDN w:val="0"/>
              <w:spacing w:beforeLines="0" w:afterLines="0" w:line="288" w:lineRule="auto"/>
              <w:ind w:firstLine="0" w:firstLineChars="0"/>
              <w:rPr>
                <w:rFonts w:hint="eastAsia"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r>
      <w:tr w14:paraId="3DAD7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20EC3779">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0FE61D6A">
            <w:pPr>
              <w:adjustRightInd w:val="0"/>
              <w:snapToGrid w:val="0"/>
              <w:jc w:val="center"/>
              <w:rPr>
                <w:rFonts w:hint="default" w:ascii="Times New Roman" w:hAnsi="Times New Roman" w:eastAsia="宋体" w:cs="Times New Roman"/>
                <w:color w:val="auto"/>
                <w:kern w:val="2"/>
                <w:sz w:val="21"/>
                <w:szCs w:val="21"/>
                <w:lang w:val="en-US" w:eastAsia="zh-CN" w:bidi="ar"/>
              </w:rPr>
            </w:pPr>
            <w:r>
              <w:rPr>
                <w:rFonts w:hint="default" w:eastAsia="宋体"/>
                <w:color w:val="auto"/>
                <w:sz w:val="21"/>
                <w:szCs w:val="21"/>
                <w:lang w:val="en-US" w:eastAsia="zh-CN" w:bidi="ar"/>
              </w:rPr>
              <w:t>废包装材料</w:t>
            </w:r>
          </w:p>
        </w:tc>
        <w:tc>
          <w:tcPr>
            <w:tcW w:w="1701" w:type="dxa"/>
            <w:shd w:val="clear" w:color="auto" w:fill="auto"/>
            <w:noWrap w:val="0"/>
            <w:vAlign w:val="center"/>
          </w:tcPr>
          <w:p w14:paraId="6BC53D81">
            <w:pPr>
              <w:pageBreakBefore w:val="0"/>
              <w:topLinePunct w:val="0"/>
              <w:bidi w:val="0"/>
              <w:adjustRightInd/>
              <w:snapToGrid/>
              <w:spacing w:beforeAutospacing="0" w:afterAutospacing="0"/>
              <w:ind w:left="0" w:leftChars="0" w:right="0" w:rightChars="0"/>
              <w:jc w:val="center"/>
              <w:rPr>
                <w:rFonts w:hint="eastAsia" w:ascii="Times New Roman" w:hAnsi="Times New Roman" w:eastAsia="宋体" w:cs="Times New Roman"/>
                <w:color w:val="auto"/>
                <w:kern w:val="0"/>
                <w:sz w:val="21"/>
                <w:szCs w:val="21"/>
                <w:lang w:val="en-US" w:eastAsia="zh-CN"/>
              </w:rPr>
            </w:pPr>
            <w:r>
              <w:rPr>
                <w:rFonts w:hint="eastAsia" w:eastAsia="宋体"/>
                <w:color w:val="auto"/>
                <w:szCs w:val="21"/>
                <w:lang w:val="en-US" w:eastAsia="zh-CN"/>
              </w:rPr>
              <w:t>3.3</w:t>
            </w:r>
          </w:p>
        </w:tc>
        <w:tc>
          <w:tcPr>
            <w:tcW w:w="1276" w:type="dxa"/>
            <w:shd w:val="clear" w:color="auto" w:fill="auto"/>
            <w:noWrap w:val="0"/>
            <w:vAlign w:val="center"/>
          </w:tcPr>
          <w:p w14:paraId="2C624FFF">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eastAsia"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6C412C52">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eastAsia"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shd w:val="clear" w:color="auto" w:fill="auto"/>
            <w:noWrap w:val="0"/>
            <w:vAlign w:val="center"/>
          </w:tcPr>
          <w:p w14:paraId="027A4C74">
            <w:pPr>
              <w:pStyle w:val="66"/>
              <w:spacing w:beforeLines="0" w:afterLines="0" w:line="288"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w:t>
            </w:r>
          </w:p>
        </w:tc>
        <w:tc>
          <w:tcPr>
            <w:tcW w:w="1309" w:type="dxa"/>
            <w:shd w:val="clear" w:color="auto" w:fill="auto"/>
            <w:noWrap w:val="0"/>
            <w:vAlign w:val="center"/>
          </w:tcPr>
          <w:p w14:paraId="2661C91C">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2059" w:type="dxa"/>
            <w:shd w:val="clear" w:color="auto" w:fill="auto"/>
            <w:noWrap w:val="0"/>
            <w:vAlign w:val="center"/>
          </w:tcPr>
          <w:p w14:paraId="3B0408EF">
            <w:pPr>
              <w:pStyle w:val="66"/>
              <w:spacing w:beforeLines="0" w:afterLines="0" w:line="288"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w:t>
            </w:r>
          </w:p>
        </w:tc>
        <w:tc>
          <w:tcPr>
            <w:tcW w:w="1178" w:type="dxa"/>
            <w:shd w:val="clear" w:color="auto" w:fill="auto"/>
            <w:noWrap w:val="0"/>
            <w:vAlign w:val="center"/>
          </w:tcPr>
          <w:p w14:paraId="129EBF71">
            <w:pPr>
              <w:pStyle w:val="66"/>
              <w:spacing w:beforeLines="0" w:afterLines="0" w:line="288" w:lineRule="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14:paraId="76726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7148B4F7">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4179DB43">
            <w:pPr>
              <w:adjustRightInd w:val="0"/>
              <w:snapToGrid w:val="0"/>
              <w:jc w:val="center"/>
              <w:rPr>
                <w:rFonts w:hint="default" w:ascii="Times New Roman" w:hAnsi="Times New Roman" w:eastAsia="Times New Roman" w:cs="Times New Roman"/>
                <w:color w:val="auto"/>
                <w:kern w:val="2"/>
                <w:sz w:val="21"/>
                <w:szCs w:val="21"/>
                <w:lang w:val="en-US" w:eastAsia="zh-CN" w:bidi="ar"/>
              </w:rPr>
            </w:pPr>
            <w:r>
              <w:rPr>
                <w:color w:val="auto"/>
                <w:sz w:val="21"/>
                <w:szCs w:val="21"/>
                <w:lang w:bidi="ar"/>
              </w:rPr>
              <w:t>沉淀池污泥</w:t>
            </w:r>
          </w:p>
        </w:tc>
        <w:tc>
          <w:tcPr>
            <w:tcW w:w="1701" w:type="dxa"/>
            <w:shd w:val="clear" w:color="auto" w:fill="auto"/>
            <w:noWrap w:val="0"/>
            <w:vAlign w:val="center"/>
          </w:tcPr>
          <w:p w14:paraId="0C2C8DC1">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w:t>
            </w:r>
          </w:p>
        </w:tc>
        <w:tc>
          <w:tcPr>
            <w:tcW w:w="1276" w:type="dxa"/>
            <w:noWrap w:val="0"/>
            <w:vAlign w:val="center"/>
          </w:tcPr>
          <w:p w14:paraId="73B21A4C">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4DB752E4">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32AAEF79">
            <w:pPr>
              <w:pStyle w:val="40"/>
              <w:autoSpaceDE w:val="0"/>
              <w:autoSpaceDN w:val="0"/>
              <w:spacing w:beforeLines="0" w:afterLines="0" w:line="288" w:lineRule="auto"/>
              <w:ind w:firstLine="0" w:firstLineChars="0"/>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SA"/>
              </w:rPr>
              <w:t>8</w:t>
            </w:r>
          </w:p>
        </w:tc>
        <w:tc>
          <w:tcPr>
            <w:tcW w:w="1309" w:type="dxa"/>
            <w:shd w:val="clear" w:color="auto" w:fill="auto"/>
            <w:noWrap w:val="0"/>
            <w:vAlign w:val="center"/>
          </w:tcPr>
          <w:p w14:paraId="363C38ED">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2059" w:type="dxa"/>
            <w:noWrap w:val="0"/>
            <w:vAlign w:val="center"/>
          </w:tcPr>
          <w:p w14:paraId="7E6601D3">
            <w:pPr>
              <w:pStyle w:val="40"/>
              <w:autoSpaceDE w:val="0"/>
              <w:autoSpaceDN w:val="0"/>
              <w:spacing w:beforeLines="0" w:afterLines="0" w:line="288" w:lineRule="auto"/>
              <w:ind w:firstLine="0" w:firstLineChars="0"/>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SA"/>
              </w:rPr>
              <w:t>8</w:t>
            </w:r>
          </w:p>
        </w:tc>
        <w:tc>
          <w:tcPr>
            <w:tcW w:w="1178" w:type="dxa"/>
            <w:shd w:val="clear" w:color="auto" w:fill="auto"/>
            <w:noWrap w:val="0"/>
            <w:vAlign w:val="center"/>
          </w:tcPr>
          <w:p w14:paraId="245726A6">
            <w:pPr>
              <w:pStyle w:val="40"/>
              <w:autoSpaceDE w:val="0"/>
              <w:autoSpaceDN w:val="0"/>
              <w:spacing w:beforeLines="0" w:afterLines="0" w:line="288" w:lineRule="auto"/>
              <w:ind w:firstLine="0" w:firstLineChars="0"/>
              <w:rPr>
                <w:rFonts w:hint="eastAsia" w:ascii="Times New Roman" w:hAnsi="Times New Roman" w:eastAsia="宋体" w:cs="Times New Roman"/>
                <w:color w:val="auto"/>
                <w:kern w:val="0"/>
                <w:sz w:val="21"/>
                <w:szCs w:val="21"/>
                <w:lang w:val="en-US" w:eastAsia="zh-CN" w:bidi="ar-SA"/>
              </w:rPr>
            </w:pPr>
            <w:r>
              <w:rPr>
                <w:rFonts w:hint="eastAsia" w:ascii="宋体" w:hAnsi="Times New Roman" w:eastAsia="宋体" w:cs="宋体"/>
                <w:color w:val="auto"/>
                <w:kern w:val="2"/>
                <w:sz w:val="21"/>
                <w:szCs w:val="21"/>
                <w:lang w:val="en-US" w:eastAsia="zh-CN" w:bidi="ar-SA"/>
              </w:rPr>
              <w:t>0</w:t>
            </w:r>
          </w:p>
        </w:tc>
      </w:tr>
      <w:tr w14:paraId="58516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restart"/>
            <w:noWrap w:val="0"/>
            <w:vAlign w:val="center"/>
          </w:tcPr>
          <w:p w14:paraId="081429F4">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509" w:type="dxa"/>
            <w:shd w:val="clear" w:color="auto" w:fill="auto"/>
            <w:noWrap w:val="0"/>
            <w:vAlign w:val="center"/>
          </w:tcPr>
          <w:p w14:paraId="3E821C4A">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eastAsia="宋体"/>
                <w:color w:val="auto"/>
                <w:sz w:val="21"/>
                <w:szCs w:val="21"/>
                <w:lang w:val="en-US" w:eastAsia="zh-CN" w:bidi="ar"/>
              </w:rPr>
              <w:t>废活性炭</w:t>
            </w:r>
          </w:p>
        </w:tc>
        <w:tc>
          <w:tcPr>
            <w:tcW w:w="1701" w:type="dxa"/>
            <w:shd w:val="clear" w:color="auto" w:fill="auto"/>
            <w:noWrap w:val="0"/>
            <w:vAlign w:val="center"/>
          </w:tcPr>
          <w:p w14:paraId="4066821E">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olor w:val="auto"/>
                <w:szCs w:val="21"/>
              </w:rPr>
              <w:t>14.3325</w:t>
            </w:r>
          </w:p>
        </w:tc>
        <w:tc>
          <w:tcPr>
            <w:tcW w:w="1276" w:type="dxa"/>
            <w:noWrap w:val="0"/>
            <w:vAlign w:val="center"/>
          </w:tcPr>
          <w:p w14:paraId="01E0CE81">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32869C77">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418F9E66">
            <w:pPr>
              <w:pStyle w:val="40"/>
              <w:autoSpaceDE w:val="0"/>
              <w:autoSpaceDN w:val="0"/>
              <w:spacing w:beforeLines="0" w:afterLines="0" w:line="288" w:lineRule="auto"/>
              <w:ind w:firstLine="0" w:firstLineChars="0"/>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SA"/>
              </w:rPr>
              <w:t>12.78</w:t>
            </w:r>
          </w:p>
        </w:tc>
        <w:tc>
          <w:tcPr>
            <w:tcW w:w="1309" w:type="dxa"/>
            <w:shd w:val="clear" w:color="auto" w:fill="auto"/>
            <w:noWrap w:val="0"/>
            <w:vAlign w:val="center"/>
          </w:tcPr>
          <w:p w14:paraId="1443362E">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snapToGrid w:val="0"/>
                <w:color w:val="auto"/>
                <w:spacing w:val="0"/>
                <w:kern w:val="21"/>
                <w:sz w:val="21"/>
                <w:szCs w:val="21"/>
                <w:lang w:val="en-US" w:eastAsia="zh-CN" w:bidi="ar-SA"/>
              </w:rPr>
            </w:pPr>
            <w:r>
              <w:rPr>
                <w:rFonts w:hint="eastAsia" w:ascii="宋体" w:hAnsi="Times New Roman" w:eastAsia="宋体" w:cs="宋体"/>
                <w:color w:val="auto"/>
                <w:kern w:val="2"/>
                <w:sz w:val="21"/>
                <w:szCs w:val="21"/>
                <w:lang w:val="en-US" w:eastAsia="zh-CN" w:bidi="ar-SA"/>
              </w:rPr>
              <w:t>1.5525</w:t>
            </w:r>
          </w:p>
        </w:tc>
        <w:tc>
          <w:tcPr>
            <w:tcW w:w="2059" w:type="dxa"/>
            <w:noWrap w:val="0"/>
            <w:vAlign w:val="center"/>
          </w:tcPr>
          <w:p w14:paraId="7B32201D">
            <w:pPr>
              <w:pStyle w:val="40"/>
              <w:autoSpaceDE w:val="0"/>
              <w:autoSpaceDN w:val="0"/>
              <w:spacing w:beforeLines="0" w:afterLines="0" w:line="288" w:lineRule="auto"/>
              <w:ind w:firstLine="0" w:firstLineChars="0"/>
              <w:rPr>
                <w:rFonts w:hint="eastAsia" w:eastAsia="宋体"/>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12.78</w:t>
            </w:r>
          </w:p>
        </w:tc>
        <w:tc>
          <w:tcPr>
            <w:tcW w:w="1178" w:type="dxa"/>
            <w:shd w:val="clear" w:color="auto" w:fill="auto"/>
            <w:noWrap w:val="0"/>
            <w:vAlign w:val="center"/>
          </w:tcPr>
          <w:p w14:paraId="4F64D229">
            <w:pPr>
              <w:pStyle w:val="40"/>
              <w:autoSpaceDE w:val="0"/>
              <w:autoSpaceDN w:val="0"/>
              <w:spacing w:beforeLines="0" w:afterLines="0" w:line="288" w:lineRule="auto"/>
              <w:ind w:firstLine="0" w:firstLineChars="0"/>
              <w:rPr>
                <w:rFonts w:hint="eastAsia" w:ascii="Times New Roman" w:hAnsi="Times New Roman" w:eastAsia="宋体" w:cs="Times New Roman"/>
                <w:color w:val="auto"/>
                <w:kern w:val="0"/>
                <w:sz w:val="21"/>
                <w:szCs w:val="21"/>
                <w:lang w:val="en-US" w:eastAsia="zh-CN" w:bidi="ar-SA"/>
              </w:rPr>
            </w:pPr>
            <w:r>
              <w:rPr>
                <w:rFonts w:hint="eastAsia" w:ascii="宋体" w:hAnsi="Times New Roman" w:eastAsia="宋体" w:cs="宋体"/>
                <w:color w:val="auto"/>
                <w:kern w:val="2"/>
                <w:sz w:val="21"/>
                <w:szCs w:val="21"/>
                <w:lang w:val="en-US" w:eastAsia="zh-CN" w:bidi="ar-SA"/>
              </w:rPr>
              <w:t>-1.5525</w:t>
            </w:r>
          </w:p>
        </w:tc>
      </w:tr>
      <w:tr w14:paraId="7A35B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05CFA7C1">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3B121E7C">
            <w:pPr>
              <w:adjustRightInd w:val="0"/>
              <w:snapToGrid w:val="0"/>
              <w:jc w:val="center"/>
              <w:rPr>
                <w:rFonts w:hint="eastAsia" w:ascii="Times New Roman" w:hAnsi="Times New Roman" w:eastAsia="Times New Roman" w:cs="Times New Roman"/>
                <w:color w:val="auto"/>
                <w:kern w:val="2"/>
                <w:sz w:val="21"/>
                <w:szCs w:val="21"/>
                <w:lang w:val="en-US" w:eastAsia="zh-CN" w:bidi="ar"/>
              </w:rPr>
            </w:pPr>
            <w:r>
              <w:rPr>
                <w:rFonts w:hint="eastAsia"/>
                <w:color w:val="auto"/>
                <w:sz w:val="21"/>
                <w:szCs w:val="21"/>
                <w:lang w:bidi="ar"/>
              </w:rPr>
              <w:t>废机油</w:t>
            </w:r>
            <w:r>
              <w:rPr>
                <w:rFonts w:hint="eastAsia" w:eastAsia="宋体"/>
                <w:color w:val="auto"/>
                <w:sz w:val="21"/>
                <w:szCs w:val="21"/>
                <w:lang w:eastAsia="zh-CN" w:bidi="ar"/>
              </w:rPr>
              <w:t>、</w:t>
            </w:r>
            <w:r>
              <w:rPr>
                <w:rFonts w:hint="eastAsia"/>
                <w:color w:val="auto"/>
                <w:sz w:val="21"/>
                <w:szCs w:val="21"/>
                <w:lang w:bidi="ar"/>
              </w:rPr>
              <w:t>含油抹布及手套</w:t>
            </w:r>
          </w:p>
        </w:tc>
        <w:tc>
          <w:tcPr>
            <w:tcW w:w="1701" w:type="dxa"/>
            <w:shd w:val="clear" w:color="auto" w:fill="auto"/>
            <w:noWrap w:val="0"/>
            <w:vAlign w:val="center"/>
          </w:tcPr>
          <w:p w14:paraId="1E877ECA">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0.04</w:t>
            </w:r>
          </w:p>
        </w:tc>
        <w:tc>
          <w:tcPr>
            <w:tcW w:w="1276" w:type="dxa"/>
            <w:noWrap w:val="0"/>
            <w:vAlign w:val="center"/>
          </w:tcPr>
          <w:p w14:paraId="176FF220">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145BA5B6">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4D94BFA3">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0.04</w:t>
            </w:r>
          </w:p>
        </w:tc>
        <w:tc>
          <w:tcPr>
            <w:tcW w:w="1309" w:type="dxa"/>
            <w:shd w:val="clear" w:color="auto" w:fill="auto"/>
            <w:noWrap w:val="0"/>
            <w:vAlign w:val="center"/>
          </w:tcPr>
          <w:p w14:paraId="7A52D0E8">
            <w:pPr>
              <w:pageBreakBefore w:val="0"/>
              <w:widowControl/>
              <w:topLinePunct w:val="0"/>
              <w:bidi w:val="0"/>
              <w:adjustRightInd/>
              <w:snapToGrid/>
              <w:spacing w:beforeAutospacing="0" w:afterAutospacing="0"/>
              <w:ind w:left="0" w:leftChars="0" w:right="0" w:rightChars="0"/>
              <w:jc w:val="center"/>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snapToGrid w:val="0"/>
                <w:color w:val="auto"/>
                <w:kern w:val="21"/>
                <w:sz w:val="21"/>
                <w:szCs w:val="21"/>
                <w:lang w:val="en-US" w:eastAsia="zh-CN"/>
              </w:rPr>
              <w:t>0</w:t>
            </w:r>
          </w:p>
        </w:tc>
        <w:tc>
          <w:tcPr>
            <w:tcW w:w="2059" w:type="dxa"/>
            <w:noWrap w:val="0"/>
            <w:vAlign w:val="center"/>
          </w:tcPr>
          <w:p w14:paraId="34BF87FD">
            <w:pPr>
              <w:pageBreakBefore w:val="0"/>
              <w:topLinePunct w:val="0"/>
              <w:bidi w:val="0"/>
              <w:adjustRightInd/>
              <w:snapToGrid/>
              <w:spacing w:beforeAutospacing="0" w:afterAutospacing="0"/>
              <w:ind w:left="0" w:leftChars="0" w:right="0" w:rightChars="0"/>
              <w:jc w:val="center"/>
              <w:rPr>
                <w:rFonts w:hint="default" w:eastAsia="宋体"/>
                <w:color w:val="auto"/>
                <w:sz w:val="21"/>
                <w:szCs w:val="21"/>
                <w:lang w:val="en-US" w:eastAsia="zh-CN"/>
              </w:rPr>
            </w:pPr>
            <w:r>
              <w:rPr>
                <w:rFonts w:hint="eastAsia" w:eastAsia="宋体"/>
                <w:color w:val="auto"/>
                <w:sz w:val="21"/>
                <w:szCs w:val="21"/>
                <w:lang w:val="en-US" w:eastAsia="zh-CN"/>
              </w:rPr>
              <w:t>0.04</w:t>
            </w:r>
          </w:p>
        </w:tc>
        <w:tc>
          <w:tcPr>
            <w:tcW w:w="1178" w:type="dxa"/>
            <w:shd w:val="clear" w:color="auto" w:fill="auto"/>
            <w:noWrap w:val="0"/>
            <w:vAlign w:val="center"/>
          </w:tcPr>
          <w:p w14:paraId="74345A1D">
            <w:pPr>
              <w:pageBreakBefore w:val="0"/>
              <w:topLinePunct w:val="0"/>
              <w:bidi w:val="0"/>
              <w:adjustRightInd/>
              <w:snapToGrid/>
              <w:spacing w:beforeAutospacing="0" w:afterAutospacing="0"/>
              <w:ind w:left="0" w:leftChars="0" w:right="0"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p>
        </w:tc>
      </w:tr>
      <w:tr w14:paraId="67ABC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6" w:type="dxa"/>
            <w:vMerge w:val="continue"/>
            <w:noWrap w:val="0"/>
            <w:vAlign w:val="center"/>
          </w:tcPr>
          <w:p w14:paraId="4438ED29">
            <w:pPr>
              <w:pStyle w:val="40"/>
              <w:pageBreakBefore w:val="0"/>
              <w:topLinePunct w:val="0"/>
              <w:bidi w:val="0"/>
              <w:adjustRightInd/>
              <w:snapToGrid/>
              <w:spacing w:beforeLines="0" w:beforeAutospacing="0" w:afterLines="0" w:afterAutospacing="0" w:line="240" w:lineRule="auto"/>
              <w:ind w:left="0" w:leftChars="0" w:right="0" w:rightChars="0"/>
              <w:rPr>
                <w:rFonts w:hint="default" w:ascii="Times New Roman" w:hAnsi="Times New Roman" w:cs="Times New Roman"/>
                <w:snapToGrid w:val="0"/>
                <w:color w:val="auto"/>
                <w:kern w:val="21"/>
                <w:szCs w:val="21"/>
              </w:rPr>
            </w:pPr>
          </w:p>
        </w:tc>
        <w:tc>
          <w:tcPr>
            <w:tcW w:w="1509" w:type="dxa"/>
            <w:shd w:val="clear" w:color="auto" w:fill="auto"/>
            <w:noWrap w:val="0"/>
            <w:vAlign w:val="center"/>
          </w:tcPr>
          <w:p w14:paraId="0766B845">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color w:val="auto"/>
                <w:sz w:val="21"/>
                <w:szCs w:val="21"/>
                <w:lang w:bidi="ar"/>
              </w:rPr>
              <w:t>废油桶</w:t>
            </w:r>
          </w:p>
        </w:tc>
        <w:tc>
          <w:tcPr>
            <w:tcW w:w="1701" w:type="dxa"/>
            <w:shd w:val="clear" w:color="auto" w:fill="auto"/>
            <w:noWrap w:val="0"/>
            <w:vAlign w:val="center"/>
          </w:tcPr>
          <w:p w14:paraId="3F55141D">
            <w:pPr>
              <w:pageBreakBefore w:val="0"/>
              <w:topLinePunct w:val="0"/>
              <w:bidi w:val="0"/>
              <w:adjustRightInd/>
              <w:snapToGrid/>
              <w:spacing w:beforeAutospacing="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c>
          <w:tcPr>
            <w:tcW w:w="1276" w:type="dxa"/>
            <w:noWrap w:val="0"/>
            <w:vAlign w:val="center"/>
          </w:tcPr>
          <w:p w14:paraId="3AA7C71C">
            <w:pPr>
              <w:pStyle w:val="40"/>
              <w:pageBreakBefore w:val="0"/>
              <w:topLinePunct w:val="0"/>
              <w:bidi w:val="0"/>
              <w:adjustRightInd/>
              <w:snapToGrid/>
              <w:spacing w:beforeLines="0" w:beforeAutospacing="0" w:afterLines="0" w:afterAutospacing="0" w:line="240" w:lineRule="auto"/>
              <w:ind w:left="0" w:leftChars="0" w:right="0" w:rightChars="0"/>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701" w:type="dxa"/>
            <w:shd w:val="clear" w:color="auto" w:fill="auto"/>
            <w:noWrap w:val="0"/>
            <w:vAlign w:val="center"/>
          </w:tcPr>
          <w:p w14:paraId="2FB2E08B">
            <w:pPr>
              <w:pStyle w:val="40"/>
              <w:pageBreakBefore w:val="0"/>
              <w:topLinePunct w:val="0"/>
              <w:bidi w:val="0"/>
              <w:adjustRightInd/>
              <w:snapToGrid/>
              <w:spacing w:beforeLines="0" w:beforeAutospacing="0" w:afterLines="0" w:afterAutospacing="0" w:line="240" w:lineRule="auto"/>
              <w:ind w:left="0" w:leftChars="0" w:right="0" w:rightChars="0" w:firstLine="0" w:firstLineChars="0"/>
              <w:rPr>
                <w:rFonts w:hint="default" w:ascii="Times New Roman" w:hAnsi="Times New Roman" w:eastAsia="宋体" w:cs="Times New Roman"/>
                <w:snapToGrid w:val="0"/>
                <w:color w:val="auto"/>
                <w:spacing w:val="0"/>
                <w:kern w:val="21"/>
                <w:sz w:val="21"/>
                <w:szCs w:val="21"/>
                <w:lang w:val="en-US" w:eastAsia="zh-CN" w:bidi="ar-SA"/>
              </w:rPr>
            </w:pPr>
            <w:r>
              <w:rPr>
                <w:rFonts w:hint="eastAsia" w:ascii="Times New Roman" w:hAnsi="Times New Roman" w:cs="Times New Roman"/>
                <w:snapToGrid w:val="0"/>
                <w:color w:val="auto"/>
                <w:kern w:val="21"/>
                <w:szCs w:val="21"/>
                <w:lang w:val="en-US" w:eastAsia="zh-CN"/>
              </w:rPr>
              <w:t>/</w:t>
            </w:r>
          </w:p>
        </w:tc>
        <w:tc>
          <w:tcPr>
            <w:tcW w:w="1559" w:type="dxa"/>
            <w:noWrap w:val="0"/>
            <w:vAlign w:val="center"/>
          </w:tcPr>
          <w:p w14:paraId="3B0C7A5D">
            <w:pPr>
              <w:pStyle w:val="40"/>
              <w:autoSpaceDE w:val="0"/>
              <w:autoSpaceDN w:val="0"/>
              <w:spacing w:beforeLines="0" w:afterLines="0" w:line="288" w:lineRule="auto"/>
              <w:ind w:firstLine="0" w:firstLineChars="0"/>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SA"/>
              </w:rPr>
              <w:t>0.7</w:t>
            </w:r>
          </w:p>
        </w:tc>
        <w:tc>
          <w:tcPr>
            <w:tcW w:w="1309" w:type="dxa"/>
            <w:shd w:val="clear" w:color="auto" w:fill="auto"/>
            <w:noWrap w:val="0"/>
            <w:vAlign w:val="center"/>
          </w:tcPr>
          <w:p w14:paraId="2A86E363">
            <w:pPr>
              <w:pStyle w:val="32"/>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宋体"/>
                <w:color w:val="auto"/>
                <w:kern w:val="2"/>
                <w:sz w:val="21"/>
                <w:szCs w:val="21"/>
                <w:lang w:val="en-US" w:eastAsia="zh-CN" w:bidi="ar-SA"/>
              </w:rPr>
              <w:t>0</w:t>
            </w:r>
          </w:p>
        </w:tc>
        <w:tc>
          <w:tcPr>
            <w:tcW w:w="2059" w:type="dxa"/>
            <w:noWrap w:val="0"/>
            <w:vAlign w:val="center"/>
          </w:tcPr>
          <w:p w14:paraId="07485C4B">
            <w:pPr>
              <w:pStyle w:val="40"/>
              <w:autoSpaceDE w:val="0"/>
              <w:autoSpaceDN w:val="0"/>
              <w:spacing w:beforeLines="0" w:afterLines="0" w:line="288" w:lineRule="auto"/>
              <w:ind w:firstLine="0" w:firstLineChars="0"/>
              <w:rPr>
                <w:rFonts w:hint="eastAsia" w:eastAsia="宋体"/>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0.7</w:t>
            </w:r>
          </w:p>
        </w:tc>
        <w:tc>
          <w:tcPr>
            <w:tcW w:w="1178" w:type="dxa"/>
            <w:shd w:val="clear" w:color="auto" w:fill="auto"/>
            <w:noWrap w:val="0"/>
            <w:vAlign w:val="center"/>
          </w:tcPr>
          <w:p w14:paraId="56600E8D">
            <w:pPr>
              <w:pStyle w:val="40"/>
              <w:autoSpaceDE w:val="0"/>
              <w:autoSpaceDN w:val="0"/>
              <w:spacing w:beforeLines="0" w:afterLines="0" w:line="288" w:lineRule="auto"/>
              <w:ind w:firstLine="0" w:firstLineChars="0"/>
              <w:rPr>
                <w:rFonts w:hint="eastAsia" w:ascii="Times New Roman" w:hAnsi="Times New Roman" w:eastAsia="宋体" w:cs="Times New Roman"/>
                <w:color w:val="auto"/>
                <w:kern w:val="0"/>
                <w:sz w:val="21"/>
                <w:szCs w:val="21"/>
                <w:lang w:val="en-US" w:eastAsia="zh-CN" w:bidi="ar-SA"/>
              </w:rPr>
            </w:pPr>
            <w:r>
              <w:rPr>
                <w:rFonts w:hint="eastAsia" w:ascii="宋体" w:hAnsi="Times New Roman" w:eastAsia="宋体" w:cs="宋体"/>
                <w:color w:val="auto"/>
                <w:kern w:val="2"/>
                <w:sz w:val="21"/>
                <w:szCs w:val="21"/>
                <w:lang w:val="en-US" w:eastAsia="zh-CN" w:bidi="ar-SA"/>
              </w:rPr>
              <w:t>+0.7</w:t>
            </w:r>
          </w:p>
        </w:tc>
      </w:tr>
    </w:tbl>
    <w:p w14:paraId="0483E65C">
      <w:pPr>
        <w:pStyle w:val="40"/>
        <w:pageBreakBefore w:val="0"/>
        <w:topLinePunct w:val="0"/>
        <w:bidi w:val="0"/>
        <w:adjustRightInd/>
        <w:snapToGrid/>
        <w:spacing w:beforeLines="0" w:beforeAutospacing="0" w:afterLines="0" w:afterAutospacing="0"/>
        <w:ind w:left="0" w:leftChars="0" w:right="0" w:rightChars="0"/>
        <w:jc w:val="left"/>
        <w:rPr>
          <w:rFonts w:hint="eastAsia" w:ascii="宋体" w:hAnsi="宋体" w:eastAsia="宋体"/>
          <w:color w:val="auto"/>
          <w:lang w:val="en-US" w:eastAsia="zh-CN"/>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7E73E215">
      <w:pPr>
        <w:pStyle w:val="27"/>
        <w:rPr>
          <w:color w:val="auto"/>
        </w:rPr>
      </w:pPr>
    </w:p>
    <w:p w14:paraId="753E2F67">
      <w:pPr>
        <w:pStyle w:val="15"/>
        <w:rPr>
          <w:color w:val="auto"/>
        </w:rPr>
      </w:pP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仿宋_GBK">
    <w:panose1 w:val="03000509000000000000"/>
    <w:charset w:val="86"/>
    <w:family w:val="script"/>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60001" w:csb1="00000000"/>
  </w:font>
  <w:font w:name="Century Gothic">
    <w:altName w:val="Segoe Print"/>
    <w:panose1 w:val="020B0502020202020204"/>
    <w:charset w:val="00"/>
    <w:family w:val="swiss"/>
    <w:pitch w:val="default"/>
    <w:sig w:usb0="00000000" w:usb1="00000000" w:usb2="00000000" w:usb3="00000000" w:csb0="2000009F" w:csb1="DFD70000"/>
  </w:font>
  <w:font w:name="MingLiU">
    <w:altName w:val="PMingLiU-ExtB"/>
    <w:panose1 w:val="02020509000000000000"/>
    <w:charset w:val="88"/>
    <w:family w:val="auto"/>
    <w:pitch w:val="default"/>
    <w:sig w:usb0="00000000" w:usb1="00000000" w:usb2="00000016" w:usb3="00000000" w:csb0="00100001" w:csb1="00000000"/>
  </w:font>
  <w:font w:name="仿宋体">
    <w:altName w:val="仿宋"/>
    <w:panose1 w:val="00000000000000000000"/>
    <w:charset w:val="86"/>
    <w:family w:val="auto"/>
    <w:pitch w:val="default"/>
    <w:sig w:usb0="00000000" w:usb1="00000000" w:usb2="00000010" w:usb3="00000000" w:csb0="00140000"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auto"/>
    <w:pitch w:val="default"/>
    <w:sig w:usb0="00000000" w:usb1="00000000" w:usb2="00000000" w:usb3="00000000" w:csb0="80000000" w:csb1="00000000"/>
  </w:font>
  <w:font w:name="Yu Gothic UI Semilight">
    <w:panose1 w:val="020B0400000000000000"/>
    <w:charset w:val="80"/>
    <w:family w:val="auto"/>
    <w:pitch w:val="default"/>
    <w:sig w:usb0="E00002FF" w:usb1="2AC7FDFF" w:usb2="00000016" w:usb3="00000000" w:csb0="2002009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1E84E">
    <w:pPr>
      <w:pStyle w:val="13"/>
      <w:ind w:right="360" w:firstLine="360"/>
      <w:jc w:val="center"/>
      <w:rPr>
        <w:rFonts w:hint="eastAsia"/>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0A07F">
    <w:pPr>
      <w:pStyle w:val="13"/>
      <w:ind w:right="360" w:firstLine="360"/>
      <w:jc w:val="cente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FAEE7">
                          <w:pPr>
                            <w:pStyle w:val="13"/>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11</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D9FAEE7">
                    <w:pPr>
                      <w:pStyle w:val="13"/>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11</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05797">
    <w:pPr>
      <w:pStyle w:val="16"/>
      <w:pBdr>
        <w:bottom w:val="none" w:color="auto" w:sz="0" w:space="0"/>
      </w:pBdr>
      <w:rPr>
        <w:rFonts w:hint="eastAsia"/>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D1270"/>
    <w:multiLevelType w:val="singleLevel"/>
    <w:tmpl w:val="991D1270"/>
    <w:lvl w:ilvl="0" w:tentative="0">
      <w:start w:val="2"/>
      <w:numFmt w:val="decimal"/>
      <w:suff w:val="nothing"/>
      <w:lvlText w:val="（%1）"/>
      <w:lvlJc w:val="left"/>
    </w:lvl>
  </w:abstractNum>
  <w:abstractNum w:abstractNumId="1">
    <w:nsid w:val="C3C47125"/>
    <w:multiLevelType w:val="multilevel"/>
    <w:tmpl w:val="C3C47125"/>
    <w:lvl w:ilvl="0" w:tentative="0">
      <w:start w:val="1"/>
      <w:numFmt w:val="chineseCounting"/>
      <w:suff w:val="space"/>
      <w:lvlText w:val="%1、"/>
      <w:lvlJc w:val="left"/>
      <w:pPr>
        <w:tabs>
          <w:tab w:val="left" w:pos="0"/>
        </w:tabs>
        <w:ind w:left="0" w:firstLine="0"/>
      </w:pPr>
      <w:rPr>
        <w:rFonts w:hint="eastAsia" w:ascii="Times New Roman" w:hAnsi="Times New Roman" w:eastAsia="宋体" w:cs="宋体"/>
        <w:b/>
        <w:bCs w:val="0"/>
        <w:i w:val="0"/>
        <w:iCs w:val="0"/>
        <w:caps w:val="0"/>
        <w:smallCaps w:val="0"/>
        <w:strike w:val="0"/>
        <w:dstrike w:val="0"/>
        <w:vanish w:val="0"/>
        <w:spacing w:val="0"/>
        <w:position w:val="0"/>
        <w:u w:val="none"/>
        <w:vertAlign w:val="baseline"/>
      </w:rPr>
    </w:lvl>
    <w:lvl w:ilvl="1" w:tentative="0">
      <w:start w:val="1"/>
      <w:numFmt w:val="decimal"/>
      <w:isLgl/>
      <w:suff w:val="space"/>
      <w:lvlText w:val="%1.%2"/>
      <w:lvlJc w:val="left"/>
      <w:pPr>
        <w:tabs>
          <w:tab w:val="left" w:pos="420"/>
        </w:tabs>
        <w:ind w:left="567" w:hanging="567"/>
      </w:pPr>
      <w:rPr>
        <w:rFonts w:hint="eastAsia" w:ascii="宋体" w:hAnsi="宋体" w:eastAsia="宋体" w:cs="宋体"/>
        <w:i w:val="0"/>
        <w:iCs w:val="0"/>
        <w:caps w:val="0"/>
        <w:smallCaps w:val="0"/>
        <w:strike w:val="0"/>
        <w:dstrike w:val="0"/>
        <w:vanish w:val="0"/>
        <w:color w:val="000000"/>
        <w:spacing w:val="0"/>
        <w:position w:val="0"/>
        <w:u w:val="none"/>
        <w:vertAlign w:val="baseline"/>
      </w:rPr>
    </w:lvl>
    <w:lvl w:ilvl="2" w:tentative="0">
      <w:start w:val="1"/>
      <w:numFmt w:val="decimal"/>
      <w:isLgl/>
      <w:suff w:val="space"/>
      <w:lvlText w:val="%1.%2.%3"/>
      <w:lvlJc w:val="left"/>
      <w:pPr>
        <w:ind w:left="567" w:hanging="567"/>
      </w:pPr>
      <w:rPr>
        <w:rFonts w:hint="eastAsia" w:ascii="宋体" w:hAnsi="宋体" w:eastAsia="宋体" w:cs="宋体"/>
      </w:rPr>
    </w:lvl>
    <w:lvl w:ilvl="3" w:tentative="0">
      <w:start w:val="1"/>
      <w:numFmt w:val="decimal"/>
      <w:isLgl/>
      <w:suff w:val="space"/>
      <w:lvlText w:val="%1.%2.%3.%4"/>
      <w:lvlJc w:val="left"/>
      <w:pPr>
        <w:ind w:left="567" w:hanging="567"/>
      </w:pPr>
      <w:rPr>
        <w:rFonts w:hint="eastAsia" w:ascii="宋体" w:hAnsi="宋体" w:eastAsia="宋体" w:cs="宋体"/>
        <w:b/>
        <w:bCs w:val="0"/>
        <w:i w:val="0"/>
        <w:iCs w:val="0"/>
        <w:caps w:val="0"/>
        <w:smallCaps w:val="0"/>
        <w:strike w:val="0"/>
        <w:dstrike w:val="0"/>
        <w:vanish w:val="0"/>
        <w:color w:val="000000"/>
        <w:spacing w:val="0"/>
        <w:position w:val="0"/>
        <w:u w:val="none"/>
        <w:vertAlign w:val="baseline"/>
      </w:rPr>
    </w:lvl>
    <w:lvl w:ilvl="4" w:tentative="0">
      <w:start w:val="1"/>
      <w:numFmt w:val="decimal"/>
      <w:isLgl/>
      <w:suff w:val="space"/>
      <w:lvlText w:val="%1.%2.%3.%4.%5"/>
      <w:lvlJc w:val="left"/>
      <w:pPr>
        <w:ind w:left="1134" w:hanging="567"/>
      </w:pPr>
      <w:rPr>
        <w:rFonts w:hint="eastAsia" w:ascii="宋体" w:hAnsi="宋体" w:eastAsia="宋体" w:cs="宋体"/>
      </w:rPr>
    </w:lvl>
    <w:lvl w:ilvl="5" w:tentative="0">
      <w:start w:val="1"/>
      <w:numFmt w:val="decimal"/>
      <w:lvlRestart w:val="1"/>
      <w:pStyle w:val="58"/>
      <w:isLgl/>
      <w:suff w:val="space"/>
      <w:lvlText w:val="表%1-%6"/>
      <w:lvlJc w:val="center"/>
      <w:pPr>
        <w:tabs>
          <w:tab w:val="left" w:pos="0"/>
        </w:tabs>
        <w:ind w:left="0" w:firstLine="0"/>
      </w:pPr>
      <w:rPr>
        <w:rFonts w:hint="eastAsia" w:ascii="宋体" w:hAnsi="宋体" w:eastAsia="宋体" w:cs="宋体"/>
        <w:b/>
        <w:bCs w:val="0"/>
        <w:i w:val="0"/>
        <w:iCs w:val="0"/>
        <w:caps w:val="0"/>
        <w:smallCaps w:val="0"/>
        <w:strike w:val="0"/>
        <w:dstrike w:val="0"/>
        <w:vanish w:val="0"/>
        <w:color w:val="000000"/>
        <w:spacing w:val="0"/>
        <w:position w:val="0"/>
        <w:sz w:val="24"/>
        <w:szCs w:val="24"/>
        <w:u w:val="none"/>
        <w:vertAlign w:val="baseline"/>
      </w:rPr>
    </w:lvl>
    <w:lvl w:ilvl="6" w:tentative="0">
      <w:start w:val="1"/>
      <w:numFmt w:val="decimal"/>
      <w:lvlRestart w:val="1"/>
      <w:isLgl/>
      <w:suff w:val="space"/>
      <w:lvlText w:val="图%1.%2-%7"/>
      <w:lvlJc w:val="center"/>
      <w:pPr>
        <w:ind w:left="0" w:firstLine="0"/>
      </w:pPr>
      <w:rPr>
        <w:rFonts w:hint="eastAsia" w:ascii="宋体" w:hAnsi="宋体" w:eastAsia="宋体" w:cs="宋体"/>
        <w:b/>
        <w:bCs w:val="0"/>
        <w:i w:val="0"/>
        <w:iCs w:val="0"/>
        <w:caps w:val="0"/>
        <w:smallCaps w:val="0"/>
        <w:strike w:val="0"/>
        <w:dstrike w:val="0"/>
        <w:vanish w:val="0"/>
        <w:color w:val="000000"/>
        <w:spacing w:val="0"/>
        <w:position w:val="0"/>
        <w:u w:val="none"/>
        <w:vertAlign w:val="baseline"/>
      </w:rPr>
    </w:lvl>
    <w:lvl w:ilvl="7" w:tentative="0">
      <w:start w:val="1"/>
      <w:numFmt w:val="none"/>
      <w:lvlRestart w:val="2"/>
      <w:isLgl/>
      <w:suff w:val="nothing"/>
      <w:lvlText w:val=""/>
      <w:lvlJc w:val="left"/>
      <w:pPr>
        <w:ind w:left="283" w:firstLine="0"/>
      </w:pPr>
      <w:rPr>
        <w:rFonts w:hint="eastAsia" w:cs="仿宋_GB2312"/>
        <w:b w:val="0"/>
        <w:bCs w:val="0"/>
        <w:i w:val="0"/>
        <w:iCs w:val="0"/>
        <w:caps w:val="0"/>
        <w:smallCaps w:val="0"/>
        <w:strike w:val="0"/>
        <w:dstrike w:val="0"/>
        <w:vanish w:val="0"/>
        <w:color w:val="000000"/>
        <w:spacing w:val="0"/>
        <w:position w:val="0"/>
        <w:u w:val="none"/>
        <w:vertAlign w:val="baseline"/>
      </w:rPr>
    </w:lvl>
    <w:lvl w:ilvl="8" w:tentative="0">
      <w:start w:val="1"/>
      <w:numFmt w:val="none"/>
      <w:isLgl/>
      <w:lvlText w:val=""/>
      <w:lvlJc w:val="left"/>
      <w:pPr>
        <w:ind w:left="1559" w:hanging="1559"/>
      </w:pPr>
      <w:rPr>
        <w:rFonts w:hint="eastAsia"/>
      </w:rPr>
    </w:lvl>
  </w:abstractNum>
  <w:abstractNum w:abstractNumId="2">
    <w:nsid w:val="CDEAE96E"/>
    <w:multiLevelType w:val="singleLevel"/>
    <w:tmpl w:val="CDEAE96E"/>
    <w:lvl w:ilvl="0" w:tentative="0">
      <w:start w:val="1"/>
      <w:numFmt w:val="chineseCounting"/>
      <w:suff w:val="nothing"/>
      <w:lvlText w:val="（%1）"/>
      <w:lvlJc w:val="left"/>
      <w:rPr>
        <w:rFonts w:hint="eastAsia"/>
      </w:rPr>
    </w:lvl>
  </w:abstractNum>
  <w:abstractNum w:abstractNumId="3">
    <w:nsid w:val="D0B82B5D"/>
    <w:multiLevelType w:val="multilevel"/>
    <w:tmpl w:val="D0B82B5D"/>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4">
    <w:nsid w:val="D93068F2"/>
    <w:multiLevelType w:val="singleLevel"/>
    <w:tmpl w:val="D93068F2"/>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5">
    <w:nsid w:val="E8EAB2C4"/>
    <w:multiLevelType w:val="multilevel"/>
    <w:tmpl w:val="E8EAB2C4"/>
    <w:lvl w:ilvl="0" w:tentative="0">
      <w:start w:val="2"/>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6">
    <w:nsid w:val="02676451"/>
    <w:multiLevelType w:val="singleLevel"/>
    <w:tmpl w:val="02676451"/>
    <w:lvl w:ilvl="0" w:tentative="0">
      <w:start w:val="2"/>
      <w:numFmt w:val="decimal"/>
      <w:suff w:val="nothing"/>
      <w:lvlText w:val="（%1）"/>
      <w:lvlJc w:val="left"/>
    </w:lvl>
  </w:abstractNum>
  <w:abstractNum w:abstractNumId="7">
    <w:nsid w:val="040C3E5D"/>
    <w:multiLevelType w:val="singleLevel"/>
    <w:tmpl w:val="040C3E5D"/>
    <w:lvl w:ilvl="0" w:tentative="0">
      <w:start w:val="1"/>
      <w:numFmt w:val="chineseCounting"/>
      <w:suff w:val="nothing"/>
      <w:lvlText w:val="（%1）"/>
      <w:lvlJc w:val="left"/>
      <w:rPr>
        <w:rFonts w:hint="eastAsia"/>
      </w:rPr>
    </w:lvl>
  </w:abstractNum>
  <w:abstractNum w:abstractNumId="8">
    <w:nsid w:val="2C7A5F8C"/>
    <w:multiLevelType w:val="singleLevel"/>
    <w:tmpl w:val="2C7A5F8C"/>
    <w:lvl w:ilvl="0" w:tentative="0">
      <w:start w:val="1"/>
      <w:numFmt w:val="decimal"/>
      <w:suff w:val="nothing"/>
      <w:lvlText w:val="（%1）"/>
      <w:lvlJc w:val="left"/>
    </w:lvl>
  </w:abstractNum>
  <w:abstractNum w:abstractNumId="9">
    <w:nsid w:val="4B150BAE"/>
    <w:multiLevelType w:val="multilevel"/>
    <w:tmpl w:val="4B150BAE"/>
    <w:lvl w:ilvl="0" w:tentative="0">
      <w:start w:val="2"/>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0">
    <w:nsid w:val="644D3847"/>
    <w:multiLevelType w:val="multilevel"/>
    <w:tmpl w:val="644D3847"/>
    <w:lvl w:ilvl="0" w:tentative="0">
      <w:start w:val="1"/>
      <w:numFmt w:val="none"/>
      <w:suff w:val="nothing"/>
      <w:lvlText w:val="%1"/>
      <w:lvlJc w:val="left"/>
      <w:pPr>
        <w:ind w:left="0" w:firstLine="0"/>
      </w:pPr>
      <w:rPr>
        <w:rFonts w:hint="default"/>
        <w:u w:val="none" w:color="auto"/>
      </w:rPr>
    </w:lvl>
    <w:lvl w:ilvl="1" w:tentative="0">
      <w:start w:val="1"/>
      <w:numFmt w:val="chineseCountingThousand"/>
      <w:suff w:val="nothing"/>
      <w:lvlText w:val="%2、"/>
      <w:lvlJc w:val="left"/>
      <w:pPr>
        <w:ind w:left="0" w:firstLine="0"/>
      </w:pPr>
      <w:rPr>
        <w:rFonts w:hint="default"/>
        <w:u w:val="none" w:color="auto"/>
      </w:rPr>
    </w:lvl>
    <w:lvl w:ilvl="2" w:tentative="0">
      <w:start w:val="1"/>
      <w:numFmt w:val="decimal"/>
      <w:suff w:val="nothing"/>
      <w:lvlText w:val="%3、"/>
      <w:lvlJc w:val="left"/>
      <w:pPr>
        <w:ind w:left="0" w:firstLine="0"/>
      </w:pPr>
      <w:rPr>
        <w:rFonts w:hint="default"/>
        <w:u w:val="none" w:color="auto"/>
      </w:rPr>
    </w:lvl>
    <w:lvl w:ilvl="3" w:tentative="0">
      <w:start w:val="1"/>
      <w:numFmt w:val="decimal"/>
      <w:suff w:val="space"/>
      <w:lvlText w:val="%3.%4"/>
      <w:lvlJc w:val="left"/>
      <w:pPr>
        <w:ind w:left="0" w:firstLine="0"/>
      </w:pPr>
      <w:rPr>
        <w:rFonts w:hint="default"/>
        <w:u w:val="none" w:color="auto"/>
      </w:rPr>
    </w:lvl>
    <w:lvl w:ilvl="4" w:tentative="0">
      <w:start w:val="1"/>
      <w:numFmt w:val="decimal"/>
      <w:suff w:val="space"/>
      <w:lvlText w:val="%3.%4.%5"/>
      <w:lvlJc w:val="left"/>
      <w:pPr>
        <w:ind w:left="0" w:firstLine="0"/>
      </w:pPr>
      <w:rPr>
        <w:rFonts w:hint="default"/>
        <w:u w:val="none" w:color="auto"/>
      </w:rPr>
    </w:lvl>
    <w:lvl w:ilvl="5" w:tentative="0">
      <w:start w:val="1"/>
      <w:numFmt w:val="decimal"/>
      <w:lvlRestart w:val="0"/>
      <w:pStyle w:val="93"/>
      <w:suff w:val="space"/>
      <w:lvlText w:val="表%6"/>
      <w:lvlJc w:val="center"/>
      <w:pPr>
        <w:ind w:left="0" w:firstLine="0"/>
      </w:pPr>
      <w:rPr>
        <w:rFonts w:hint="default"/>
        <w:sz w:val="22"/>
        <w:u w:val="none" w:color="auto"/>
      </w:rPr>
    </w:lvl>
    <w:lvl w:ilvl="6" w:tentative="0">
      <w:start w:val="1"/>
      <w:numFmt w:val="decimal"/>
      <w:lvlRestart w:val="0"/>
      <w:suff w:val="space"/>
      <w:lvlText w:val="图%7"/>
      <w:lvlJc w:val="center"/>
      <w:pPr>
        <w:ind w:left="0" w:firstLine="0"/>
      </w:pPr>
      <w:rPr>
        <w:rFonts w:hint="default"/>
        <w:u w:val="none" w:color="auto"/>
      </w:rPr>
    </w:lvl>
    <w:lvl w:ilvl="7" w:tentative="0">
      <w:start w:val="1"/>
      <w:numFmt w:val="lowerLetter"/>
      <w:lvlText w:val="%8)"/>
      <w:lvlJc w:val="left"/>
      <w:pPr>
        <w:ind w:left="0" w:firstLine="0"/>
      </w:pPr>
      <w:rPr>
        <w:rFonts w:hint="default"/>
        <w:u w:val="none" w:color="auto"/>
      </w:rPr>
    </w:lvl>
    <w:lvl w:ilvl="8" w:tentative="0">
      <w:start w:val="1"/>
      <w:numFmt w:val="lowerRoman"/>
      <w:lvlText w:val="%9."/>
      <w:lvlJc w:val="right"/>
      <w:pPr>
        <w:ind w:left="0" w:firstLine="0"/>
      </w:pPr>
      <w:rPr>
        <w:rFonts w:hint="default"/>
        <w:u w:val="none" w:color="auto"/>
      </w:rPr>
    </w:lvl>
  </w:abstractNum>
  <w:abstractNum w:abstractNumId="11">
    <w:nsid w:val="6AB6CF00"/>
    <w:multiLevelType w:val="singleLevel"/>
    <w:tmpl w:val="6AB6CF00"/>
    <w:lvl w:ilvl="0" w:tentative="0">
      <w:start w:val="1"/>
      <w:numFmt w:val="chineseCounting"/>
      <w:suff w:val="nothing"/>
      <w:lvlText w:val="（%1）"/>
      <w:lvlJc w:val="left"/>
      <w:rPr>
        <w:rFonts w:hint="eastAsia"/>
      </w:rPr>
    </w:lvl>
  </w:abstractNum>
  <w:abstractNum w:abstractNumId="12">
    <w:nsid w:val="6C367D41"/>
    <w:multiLevelType w:val="singleLevel"/>
    <w:tmpl w:val="6C367D41"/>
    <w:lvl w:ilvl="0" w:tentative="0">
      <w:start w:val="1"/>
      <w:numFmt w:val="decimal"/>
      <w:suff w:val="nothing"/>
      <w:lvlText w:val="%1、"/>
      <w:lvlJc w:val="left"/>
    </w:lvl>
  </w:abstractNum>
  <w:abstractNum w:abstractNumId="13">
    <w:nsid w:val="6DCA6E63"/>
    <w:multiLevelType w:val="singleLevel"/>
    <w:tmpl w:val="6DCA6E63"/>
    <w:lvl w:ilvl="0" w:tentative="0">
      <w:start w:val="1"/>
      <w:numFmt w:val="decimal"/>
      <w:suff w:val="nothing"/>
      <w:lvlText w:val="%1、"/>
      <w:lvlJc w:val="left"/>
    </w:lvl>
  </w:abstractNum>
  <w:abstractNum w:abstractNumId="14">
    <w:nsid w:val="71DA1DEE"/>
    <w:multiLevelType w:val="singleLevel"/>
    <w:tmpl w:val="71DA1DEE"/>
    <w:lvl w:ilvl="0" w:tentative="0">
      <w:start w:val="1"/>
      <w:numFmt w:val="decimal"/>
      <w:suff w:val="nothing"/>
      <w:lvlText w:val="%1、"/>
      <w:lvlJc w:val="left"/>
    </w:lvl>
  </w:abstractNum>
  <w:abstractNum w:abstractNumId="15">
    <w:nsid w:val="7AFD5629"/>
    <w:multiLevelType w:val="singleLevel"/>
    <w:tmpl w:val="7AFD5629"/>
    <w:lvl w:ilvl="0" w:tentative="0">
      <w:start w:val="3"/>
      <w:numFmt w:val="decimal"/>
      <w:suff w:val="nothing"/>
      <w:lvlText w:val="%1、"/>
      <w:lvlJc w:val="left"/>
    </w:lvl>
  </w:abstractNum>
  <w:num w:numId="1">
    <w:abstractNumId w:val="4"/>
  </w:num>
  <w:num w:numId="2">
    <w:abstractNumId w:val="1"/>
  </w:num>
  <w:num w:numId="3">
    <w:abstractNumId w:val="10"/>
  </w:num>
  <w:num w:numId="4">
    <w:abstractNumId w:val="7"/>
  </w:num>
  <w:num w:numId="5">
    <w:abstractNumId w:val="11"/>
  </w:num>
  <w:num w:numId="6">
    <w:abstractNumId w:val="2"/>
  </w:num>
  <w:num w:numId="7">
    <w:abstractNumId w:val="0"/>
  </w:num>
  <w:num w:numId="8">
    <w:abstractNumId w:val="15"/>
  </w:num>
  <w:num w:numId="9">
    <w:abstractNumId w:val="5"/>
  </w:num>
  <w:num w:numId="10">
    <w:abstractNumId w:val="3"/>
  </w:num>
  <w:num w:numId="11">
    <w:abstractNumId w:val="9"/>
  </w:num>
  <w:num w:numId="12">
    <w:abstractNumId w:val="14"/>
  </w:num>
  <w:num w:numId="13">
    <w:abstractNumId w:val="13"/>
  </w:num>
  <w:num w:numId="14">
    <w:abstractNumId w:val="6"/>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B2866"/>
    <w:rsid w:val="00723BC9"/>
    <w:rsid w:val="00C04E40"/>
    <w:rsid w:val="015C4E4C"/>
    <w:rsid w:val="01EC4075"/>
    <w:rsid w:val="028711AE"/>
    <w:rsid w:val="038C6C59"/>
    <w:rsid w:val="042807E2"/>
    <w:rsid w:val="04420C4E"/>
    <w:rsid w:val="0454423B"/>
    <w:rsid w:val="04C33E81"/>
    <w:rsid w:val="050F525C"/>
    <w:rsid w:val="05393287"/>
    <w:rsid w:val="05394387"/>
    <w:rsid w:val="05C25D0B"/>
    <w:rsid w:val="07004FA3"/>
    <w:rsid w:val="08BC263E"/>
    <w:rsid w:val="0A515D78"/>
    <w:rsid w:val="0B271847"/>
    <w:rsid w:val="0BCD2337"/>
    <w:rsid w:val="0C9F68C2"/>
    <w:rsid w:val="0CC56048"/>
    <w:rsid w:val="0CED409F"/>
    <w:rsid w:val="0D172FF8"/>
    <w:rsid w:val="0D4B696B"/>
    <w:rsid w:val="0D6D38CF"/>
    <w:rsid w:val="0E1B6C4F"/>
    <w:rsid w:val="0E5516E9"/>
    <w:rsid w:val="0EAD113B"/>
    <w:rsid w:val="105C1FFA"/>
    <w:rsid w:val="11637EAE"/>
    <w:rsid w:val="1168209E"/>
    <w:rsid w:val="12527D51"/>
    <w:rsid w:val="12BD6CF7"/>
    <w:rsid w:val="1497409C"/>
    <w:rsid w:val="14DE6331"/>
    <w:rsid w:val="155147CA"/>
    <w:rsid w:val="155223BE"/>
    <w:rsid w:val="16177C04"/>
    <w:rsid w:val="166E0B4C"/>
    <w:rsid w:val="17561FEC"/>
    <w:rsid w:val="185309F7"/>
    <w:rsid w:val="1954590B"/>
    <w:rsid w:val="19A03FDD"/>
    <w:rsid w:val="19AA6420"/>
    <w:rsid w:val="19D159ED"/>
    <w:rsid w:val="1AC31A11"/>
    <w:rsid w:val="1C7A371E"/>
    <w:rsid w:val="1C8D7BF0"/>
    <w:rsid w:val="1CF36F0D"/>
    <w:rsid w:val="1D021F1E"/>
    <w:rsid w:val="1D6658D2"/>
    <w:rsid w:val="1DEC2CAE"/>
    <w:rsid w:val="1E4A32D7"/>
    <w:rsid w:val="1E4B7090"/>
    <w:rsid w:val="1E9A1ECB"/>
    <w:rsid w:val="2024414B"/>
    <w:rsid w:val="203778E9"/>
    <w:rsid w:val="210F064C"/>
    <w:rsid w:val="213A3C94"/>
    <w:rsid w:val="2176709F"/>
    <w:rsid w:val="220F3BC8"/>
    <w:rsid w:val="22CD2DE5"/>
    <w:rsid w:val="239E62D0"/>
    <w:rsid w:val="24805C6F"/>
    <w:rsid w:val="248322AB"/>
    <w:rsid w:val="24A54462"/>
    <w:rsid w:val="25207D76"/>
    <w:rsid w:val="2553182C"/>
    <w:rsid w:val="255B69A7"/>
    <w:rsid w:val="257D3EC7"/>
    <w:rsid w:val="25F74556"/>
    <w:rsid w:val="26257624"/>
    <w:rsid w:val="26BF0015"/>
    <w:rsid w:val="26C86E2D"/>
    <w:rsid w:val="26CC1620"/>
    <w:rsid w:val="273F7D71"/>
    <w:rsid w:val="27A842FD"/>
    <w:rsid w:val="290F5DEA"/>
    <w:rsid w:val="2A6510D1"/>
    <w:rsid w:val="2B3302E4"/>
    <w:rsid w:val="2BDA5F01"/>
    <w:rsid w:val="2C142F97"/>
    <w:rsid w:val="2D685918"/>
    <w:rsid w:val="2DF36970"/>
    <w:rsid w:val="30542EED"/>
    <w:rsid w:val="3218123E"/>
    <w:rsid w:val="32846A67"/>
    <w:rsid w:val="33F52E2B"/>
    <w:rsid w:val="34887D3E"/>
    <w:rsid w:val="34906F14"/>
    <w:rsid w:val="34FE3200"/>
    <w:rsid w:val="35817F56"/>
    <w:rsid w:val="35E62456"/>
    <w:rsid w:val="367A5F70"/>
    <w:rsid w:val="37F92D4A"/>
    <w:rsid w:val="37FB5C74"/>
    <w:rsid w:val="383A0759"/>
    <w:rsid w:val="38402058"/>
    <w:rsid w:val="386106E0"/>
    <w:rsid w:val="38A95023"/>
    <w:rsid w:val="38C11B6A"/>
    <w:rsid w:val="3A093C5F"/>
    <w:rsid w:val="3A2321ED"/>
    <w:rsid w:val="3A740CF3"/>
    <w:rsid w:val="3AEF75C9"/>
    <w:rsid w:val="3AFE60EF"/>
    <w:rsid w:val="3C8148A4"/>
    <w:rsid w:val="3D43308F"/>
    <w:rsid w:val="3D9608C6"/>
    <w:rsid w:val="3DE74F30"/>
    <w:rsid w:val="3E971F5B"/>
    <w:rsid w:val="3ED969A9"/>
    <w:rsid w:val="400E6DA6"/>
    <w:rsid w:val="403C032E"/>
    <w:rsid w:val="40585F20"/>
    <w:rsid w:val="41D3540D"/>
    <w:rsid w:val="41D64B48"/>
    <w:rsid w:val="42CA079C"/>
    <w:rsid w:val="42D832B0"/>
    <w:rsid w:val="431A389F"/>
    <w:rsid w:val="43A638A3"/>
    <w:rsid w:val="43D12647"/>
    <w:rsid w:val="44CD3E71"/>
    <w:rsid w:val="46203420"/>
    <w:rsid w:val="46325936"/>
    <w:rsid w:val="467A73AF"/>
    <w:rsid w:val="469A133D"/>
    <w:rsid w:val="46E054E1"/>
    <w:rsid w:val="47D604EF"/>
    <w:rsid w:val="487D32FD"/>
    <w:rsid w:val="49624874"/>
    <w:rsid w:val="49C01EDD"/>
    <w:rsid w:val="49F650E8"/>
    <w:rsid w:val="4AC75EBD"/>
    <w:rsid w:val="4B523D1F"/>
    <w:rsid w:val="4B7C2965"/>
    <w:rsid w:val="4C714177"/>
    <w:rsid w:val="4C9F16B9"/>
    <w:rsid w:val="4D7E2FC1"/>
    <w:rsid w:val="4DBD2FC9"/>
    <w:rsid w:val="4DF516B6"/>
    <w:rsid w:val="4F2C7509"/>
    <w:rsid w:val="4F706E18"/>
    <w:rsid w:val="4F912E1A"/>
    <w:rsid w:val="50484B47"/>
    <w:rsid w:val="50EB0ACD"/>
    <w:rsid w:val="522F77ED"/>
    <w:rsid w:val="53FF7575"/>
    <w:rsid w:val="54C13ED2"/>
    <w:rsid w:val="550E11C4"/>
    <w:rsid w:val="55966EF8"/>
    <w:rsid w:val="55BB2954"/>
    <w:rsid w:val="567860BA"/>
    <w:rsid w:val="57061309"/>
    <w:rsid w:val="57243E1F"/>
    <w:rsid w:val="583355C2"/>
    <w:rsid w:val="596203D5"/>
    <w:rsid w:val="597E1D61"/>
    <w:rsid w:val="5A442E3C"/>
    <w:rsid w:val="5AD86BFB"/>
    <w:rsid w:val="5B2335F4"/>
    <w:rsid w:val="5BA210F8"/>
    <w:rsid w:val="5BE537D4"/>
    <w:rsid w:val="5C2B0143"/>
    <w:rsid w:val="5E8134D9"/>
    <w:rsid w:val="5F9109D7"/>
    <w:rsid w:val="604B2581"/>
    <w:rsid w:val="60B16A2C"/>
    <w:rsid w:val="610619ED"/>
    <w:rsid w:val="613022A7"/>
    <w:rsid w:val="614E6EF1"/>
    <w:rsid w:val="61E91E30"/>
    <w:rsid w:val="61F5736C"/>
    <w:rsid w:val="627D26A4"/>
    <w:rsid w:val="62A32CCC"/>
    <w:rsid w:val="63750765"/>
    <w:rsid w:val="63A067B0"/>
    <w:rsid w:val="64982477"/>
    <w:rsid w:val="64E965CB"/>
    <w:rsid w:val="653F572A"/>
    <w:rsid w:val="65730002"/>
    <w:rsid w:val="65911D51"/>
    <w:rsid w:val="65A92544"/>
    <w:rsid w:val="65BC0D03"/>
    <w:rsid w:val="66A71EFE"/>
    <w:rsid w:val="66F068E5"/>
    <w:rsid w:val="6809233A"/>
    <w:rsid w:val="68A633DC"/>
    <w:rsid w:val="69853F9C"/>
    <w:rsid w:val="6A034C97"/>
    <w:rsid w:val="6AE12D9C"/>
    <w:rsid w:val="6B135C1A"/>
    <w:rsid w:val="6BF333DF"/>
    <w:rsid w:val="6C8570FA"/>
    <w:rsid w:val="6CA41FF3"/>
    <w:rsid w:val="6CB50463"/>
    <w:rsid w:val="6D162D88"/>
    <w:rsid w:val="6D7256A0"/>
    <w:rsid w:val="6F141C9E"/>
    <w:rsid w:val="6FEE09D2"/>
    <w:rsid w:val="70122941"/>
    <w:rsid w:val="70157A2F"/>
    <w:rsid w:val="70370F9A"/>
    <w:rsid w:val="70734C41"/>
    <w:rsid w:val="70E94CC2"/>
    <w:rsid w:val="710171A8"/>
    <w:rsid w:val="718D6E95"/>
    <w:rsid w:val="71BC7CD8"/>
    <w:rsid w:val="73257D5E"/>
    <w:rsid w:val="740A1C05"/>
    <w:rsid w:val="74CD3617"/>
    <w:rsid w:val="756D615C"/>
    <w:rsid w:val="761930D0"/>
    <w:rsid w:val="76CD17F4"/>
    <w:rsid w:val="783201C2"/>
    <w:rsid w:val="78EC0871"/>
    <w:rsid w:val="792C06FF"/>
    <w:rsid w:val="798B6080"/>
    <w:rsid w:val="79E0024E"/>
    <w:rsid w:val="7A2618F6"/>
    <w:rsid w:val="7ABF173D"/>
    <w:rsid w:val="7BDE3AD1"/>
    <w:rsid w:val="7BEB2F28"/>
    <w:rsid w:val="7D5D23BD"/>
    <w:rsid w:val="7D7157DB"/>
    <w:rsid w:val="7D885400"/>
    <w:rsid w:val="7E3F608B"/>
    <w:rsid w:val="7EF85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jc w:val="both"/>
    </w:pPr>
    <w:rPr>
      <w:rFonts w:hint="eastAsia" w:ascii="Times New Roman" w:hAnsi="Times New Roman" w:eastAsia="Times New Roman" w:cs="Times New Roman"/>
      <w:kern w:val="2"/>
      <w:sz w:val="21"/>
      <w:szCs w:val="24"/>
      <w:lang w:val="en-US" w:eastAsia="zh-CN" w:bidi="ar-SA"/>
    </w:rPr>
  </w:style>
  <w:style w:type="paragraph" w:styleId="5">
    <w:name w:val="heading 1"/>
    <w:basedOn w:val="1"/>
    <w:next w:val="1"/>
    <w:semiHidden/>
    <w:qFormat/>
    <w:uiPriority w:val="0"/>
    <w:pPr>
      <w:keepNext/>
      <w:overflowPunct w:val="0"/>
      <w:jc w:val="center"/>
      <w:outlineLvl w:val="0"/>
    </w:pPr>
    <w:rPr>
      <w:rFonts w:eastAsia="黑体"/>
      <w:b/>
      <w:bCs/>
      <w:color w:val="000000"/>
      <w:kern w:val="44"/>
      <w:sz w:val="30"/>
      <w:szCs w:val="30"/>
    </w:rPr>
  </w:style>
  <w:style w:type="paragraph" w:styleId="6">
    <w:name w:val="heading 4"/>
    <w:basedOn w:val="1"/>
    <w:next w:val="1"/>
    <w:qFormat/>
    <w:uiPriority w:val="0"/>
    <w:pPr>
      <w:keepNext/>
      <w:spacing w:line="500" w:lineRule="atLeast"/>
      <w:outlineLvl w:val="3"/>
    </w:pPr>
    <w:rPr>
      <w:sz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autoRedefine/>
    <w:unhideWhenUsed/>
    <w:qFormat/>
    <w:uiPriority w:val="0"/>
    <w:pPr>
      <w:autoSpaceDE w:val="0"/>
      <w:autoSpaceDN w:val="0"/>
    </w:pPr>
    <w:rPr>
      <w:rFonts w:hint="eastAsia" w:ascii="宋体" w:eastAsia="宋体" w:cs="宋体"/>
      <w:sz w:val="24"/>
      <w:szCs w:val="24"/>
    </w:rPr>
  </w:style>
  <w:style w:type="paragraph" w:customStyle="1" w:styleId="3">
    <w:name w:val="批注文字1"/>
    <w:autoRedefine/>
    <w:unhideWhenUsed/>
    <w:qFormat/>
    <w:uiPriority w:val="0"/>
    <w:pPr>
      <w:widowControl w:val="0"/>
    </w:pPr>
    <w:rPr>
      <w:rFonts w:hint="eastAsia" w:ascii="Times New Roman" w:hAnsi="Times New Roman" w:eastAsia="Times New Roman" w:cs="Times New Roman"/>
      <w:color w:val="000000"/>
      <w:kern w:val="2"/>
      <w:sz w:val="21"/>
      <w:szCs w:val="24"/>
      <w:lang w:val="en-US" w:eastAsia="zh-CN" w:bidi="ar-SA"/>
    </w:rPr>
  </w:style>
  <w:style w:type="paragraph" w:styleId="4">
    <w:name w:val="Body Text First Indent 2"/>
    <w:basedOn w:val="1"/>
    <w:next w:val="1"/>
    <w:unhideWhenUsed/>
    <w:qFormat/>
    <w:uiPriority w:val="99"/>
    <w:pPr>
      <w:ind w:firstLine="210"/>
    </w:pPr>
    <w:rPr>
      <w:rFonts w:hint="eastAsia"/>
      <w:sz w:val="24"/>
      <w:szCs w:val="20"/>
    </w:rPr>
  </w:style>
  <w:style w:type="paragraph" w:styleId="7">
    <w:name w:val="Normal Indent"/>
    <w:basedOn w:val="1"/>
    <w:next w:val="8"/>
    <w:qFormat/>
    <w:uiPriority w:val="0"/>
    <w:pPr>
      <w:autoSpaceDE w:val="0"/>
      <w:autoSpaceDN w:val="0"/>
      <w:adjustRightInd w:val="0"/>
      <w:snapToGrid w:val="0"/>
      <w:spacing w:line="360" w:lineRule="auto"/>
      <w:ind w:firstLine="720" w:firstLineChars="200"/>
    </w:pPr>
    <w:rPr>
      <w:rFonts w:ascii="Times New Roman" w:hAnsi="Times New Roman" w:eastAsia="宋体"/>
      <w:sz w:val="24"/>
    </w:r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Body Text Indent"/>
    <w:basedOn w:val="1"/>
    <w:next w:val="4"/>
    <w:unhideWhenUsed/>
    <w:qFormat/>
    <w:uiPriority w:val="0"/>
    <w:pPr>
      <w:spacing w:beforeLines="0" w:after="120" w:afterLines="0"/>
      <w:ind w:left="420" w:leftChars="200"/>
    </w:pPr>
    <w:rPr>
      <w:rFonts w:hint="eastAsia"/>
      <w:kern w:val="0"/>
      <w:sz w:val="24"/>
      <w:szCs w:val="20"/>
    </w:rPr>
  </w:style>
  <w:style w:type="paragraph" w:styleId="10">
    <w:name w:val="Plain Text"/>
    <w:basedOn w:val="1"/>
    <w:unhideWhenUsed/>
    <w:qFormat/>
    <w:uiPriority w:val="0"/>
    <w:pPr>
      <w:spacing w:beforeLines="0" w:afterLines="0" w:line="240" w:lineRule="atLeast"/>
    </w:pPr>
    <w:rPr>
      <w:rFonts w:hint="eastAsia" w:ascii="宋体" w:hAnsi="Courier New" w:eastAsia="宋体"/>
      <w:sz w:val="28"/>
      <w:szCs w:val="21"/>
    </w:rPr>
  </w:style>
  <w:style w:type="paragraph" w:styleId="11">
    <w:name w:val="List Bullet 5"/>
    <w:basedOn w:val="1"/>
    <w:qFormat/>
    <w:uiPriority w:val="0"/>
    <w:pPr>
      <w:numPr>
        <w:ilvl w:val="0"/>
        <w:numId w:val="1"/>
      </w:numPr>
    </w:pPr>
  </w:style>
  <w:style w:type="paragraph" w:styleId="12">
    <w:name w:val="Body Text Indent 2"/>
    <w:basedOn w:val="1"/>
    <w:next w:val="1"/>
    <w:qFormat/>
    <w:uiPriority w:val="0"/>
    <w:pPr>
      <w:spacing w:after="120" w:line="480" w:lineRule="auto"/>
      <w:ind w:left="420" w:leftChars="200"/>
    </w:pPr>
    <w:rPr>
      <w:szCs w:val="24"/>
    </w:rPr>
  </w:style>
  <w:style w:type="paragraph" w:styleId="13">
    <w:name w:val="footer"/>
    <w:basedOn w:val="1"/>
    <w:next w:val="14"/>
    <w:unhideWhenUsed/>
    <w:qFormat/>
    <w:uiPriority w:val="99"/>
    <w:pPr>
      <w:tabs>
        <w:tab w:val="center" w:pos="4153"/>
        <w:tab w:val="right" w:pos="8306"/>
      </w:tabs>
      <w:snapToGrid w:val="0"/>
      <w:jc w:val="left"/>
    </w:pPr>
    <w:rPr>
      <w:rFonts w:hint="eastAsia"/>
      <w:kern w:val="0"/>
      <w:sz w:val="18"/>
      <w:szCs w:val="20"/>
    </w:rPr>
  </w:style>
  <w:style w:type="paragraph" w:styleId="14">
    <w:name w:val="Normal (Web)"/>
    <w:basedOn w:val="1"/>
    <w:next w:val="15"/>
    <w:unhideWhenUsed/>
    <w:qFormat/>
    <w:uiPriority w:val="0"/>
    <w:pPr>
      <w:widowControl/>
      <w:spacing w:before="100" w:beforeAutospacing="1" w:after="100" w:afterAutospacing="1"/>
      <w:jc w:val="left"/>
    </w:pPr>
    <w:rPr>
      <w:rFonts w:hint="eastAsia" w:ascii="宋体" w:hAnsi="宋体" w:eastAsia="宋体"/>
      <w:kern w:val="0"/>
      <w:sz w:val="24"/>
      <w:szCs w:val="20"/>
    </w:rPr>
  </w:style>
  <w:style w:type="paragraph" w:customStyle="1" w:styleId="15">
    <w:name w:val="toc 84"/>
    <w:next w:val="1"/>
    <w:autoRedefine/>
    <w:unhideWhenUsed/>
    <w:qFormat/>
    <w:uiPriority w:val="99"/>
    <w:pPr>
      <w:wordWrap w:val="0"/>
      <w:ind w:left="2975"/>
      <w:jc w:val="both"/>
    </w:pPr>
    <w:rPr>
      <w:rFonts w:hint="eastAsia" w:ascii="Times New Roman" w:hAnsi="Times New Roman" w:eastAsia="Times New Roman" w:cs="Times New Roman"/>
      <w:sz w:val="21"/>
      <w:szCs w:val="22"/>
      <w:lang w:val="en-US" w:eastAsia="zh-CN" w:bidi="ar-SA"/>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rFonts w:hint="eastAsia"/>
      <w:kern w:val="0"/>
      <w:sz w:val="18"/>
      <w:szCs w:val="20"/>
    </w:rPr>
  </w:style>
  <w:style w:type="paragraph" w:styleId="17">
    <w:name w:val="List"/>
    <w:basedOn w:val="1"/>
    <w:qFormat/>
    <w:uiPriority w:val="0"/>
    <w:pPr>
      <w:ind w:left="200" w:hanging="200" w:hangingChars="200"/>
    </w:pPr>
  </w:style>
  <w:style w:type="paragraph" w:styleId="18">
    <w:name w:val="Body Text Indent 3"/>
    <w:basedOn w:val="1"/>
    <w:unhideWhenUsed/>
    <w:qFormat/>
    <w:uiPriority w:val="0"/>
    <w:pPr>
      <w:snapToGrid w:val="0"/>
      <w:spacing w:line="360" w:lineRule="auto"/>
      <w:ind w:firstLine="540"/>
    </w:pPr>
    <w:rPr>
      <w:sz w:val="25"/>
    </w:rPr>
  </w:style>
  <w:style w:type="paragraph" w:styleId="19">
    <w:name w:val="Body Text 2"/>
    <w:basedOn w:val="1"/>
    <w:unhideWhenUsed/>
    <w:qFormat/>
    <w:uiPriority w:val="0"/>
    <w:pPr>
      <w:spacing w:beforeLines="0" w:afterLines="0" w:line="500" w:lineRule="exact"/>
    </w:pPr>
    <w:rPr>
      <w:rFonts w:hint="default"/>
      <w:sz w:val="28"/>
      <w:szCs w:val="24"/>
    </w:rPr>
  </w:style>
  <w:style w:type="paragraph" w:styleId="20">
    <w:name w:val="Body Text First Indent"/>
    <w:basedOn w:val="8"/>
    <w:next w:val="1"/>
    <w:qFormat/>
    <w:uiPriority w:val="0"/>
    <w:pPr>
      <w:ind w:firstLine="420" w:firstLineChars="100"/>
    </w:p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Emphasis"/>
    <w:basedOn w:val="23"/>
    <w:qFormat/>
    <w:uiPriority w:val="0"/>
    <w:rPr>
      <w:i/>
    </w:rPr>
  </w:style>
  <w:style w:type="paragraph" w:customStyle="1" w:styleId="27">
    <w:name w:val="Default1"/>
    <w:basedOn w:val="28"/>
    <w:next w:val="1"/>
    <w:autoRedefine/>
    <w:unhideWhenUsed/>
    <w:qFormat/>
    <w:uiPriority w:val="0"/>
    <w:pPr>
      <w:autoSpaceDE w:val="0"/>
      <w:autoSpaceDN w:val="0"/>
      <w:adjustRightInd w:val="0"/>
    </w:pPr>
    <w:rPr>
      <w:rFonts w:hint="default" w:hAnsi="Times New Roman" w:cs="宋体"/>
      <w:color w:val="000000"/>
      <w:sz w:val="24"/>
      <w:szCs w:val="24"/>
    </w:rPr>
  </w:style>
  <w:style w:type="paragraph" w:customStyle="1" w:styleId="28">
    <w:name w:val="常用正文样式"/>
    <w:autoRedefine/>
    <w:unhideWhenUsed/>
    <w:qFormat/>
    <w:uiPriority w:val="0"/>
    <w:pPr>
      <w:widowControl w:val="0"/>
      <w:spacing w:beforeLines="0" w:afterLines="0" w:line="360" w:lineRule="auto"/>
      <w:ind w:firstLine="454"/>
      <w:jc w:val="both"/>
    </w:pPr>
    <w:rPr>
      <w:rFonts w:hint="eastAsia" w:ascii="宋体" w:hAnsi="新宋体" w:eastAsia="宋体" w:cs="Times New Roman"/>
      <w:kern w:val="2"/>
      <w:sz w:val="24"/>
      <w:szCs w:val="24"/>
      <w:lang w:val="en-US" w:eastAsia="zh-CN" w:bidi="ar-SA"/>
    </w:rPr>
  </w:style>
  <w:style w:type="paragraph" w:customStyle="1" w:styleId="29">
    <w:name w:val="样式5"/>
    <w:basedOn w:val="8"/>
    <w:qFormat/>
    <w:uiPriority w:val="0"/>
    <w:pPr>
      <w:spacing w:line="440" w:lineRule="exact"/>
      <w:ind w:firstLine="200"/>
    </w:pPr>
    <w:rPr>
      <w:rFonts w:ascii="Arial" w:hAnsi="Arial"/>
      <w:szCs w:val="20"/>
    </w:rPr>
  </w:style>
  <w:style w:type="paragraph" w:customStyle="1" w:styleId="30">
    <w:name w:val="【】正文"/>
    <w:basedOn w:val="31"/>
    <w:autoRedefine/>
    <w:unhideWhenUsed/>
    <w:qFormat/>
    <w:uiPriority w:val="0"/>
    <w:pPr>
      <w:spacing w:beforeLines="0" w:afterLines="0" w:line="240" w:lineRule="auto"/>
      <w:ind w:firstLine="0" w:firstLineChars="0"/>
      <w:jc w:val="left"/>
    </w:pPr>
    <w:rPr>
      <w:rFonts w:hint="eastAsia"/>
      <w:sz w:val="24"/>
      <w:szCs w:val="20"/>
      <w:lang w:val="en-US"/>
    </w:rPr>
  </w:style>
  <w:style w:type="paragraph" w:customStyle="1" w:styleId="31">
    <w:name w:val="A0正文"/>
    <w:basedOn w:val="1"/>
    <w:autoRedefine/>
    <w:unhideWhenUsed/>
    <w:qFormat/>
    <w:uiPriority w:val="0"/>
    <w:pPr>
      <w:spacing w:beforeLines="0" w:afterLines="0" w:line="560" w:lineRule="exact"/>
      <w:ind w:firstLine="200" w:firstLineChars="200"/>
    </w:pPr>
    <w:rPr>
      <w:rFonts w:hint="eastAsia" w:cs="宋体"/>
      <w:sz w:val="24"/>
      <w:szCs w:val="20"/>
      <w:lang w:val="zh-CN"/>
    </w:rPr>
  </w:style>
  <w:style w:type="paragraph" w:customStyle="1" w:styleId="32">
    <w:name w:val="A表内"/>
    <w:basedOn w:val="1"/>
    <w:autoRedefine/>
    <w:unhideWhenUsed/>
    <w:qFormat/>
    <w:uiPriority w:val="0"/>
    <w:pPr>
      <w:spacing w:beforeLines="0" w:afterLines="0" w:line="240" w:lineRule="atLeast"/>
      <w:jc w:val="center"/>
    </w:pPr>
    <w:rPr>
      <w:rFonts w:hint="eastAsia" w:cs="宋体"/>
      <w:sz w:val="21"/>
      <w:szCs w:val="20"/>
    </w:rPr>
  </w:style>
  <w:style w:type="paragraph" w:customStyle="1" w:styleId="33">
    <w:name w:val="正文1"/>
    <w:basedOn w:val="10"/>
    <w:autoRedefine/>
    <w:unhideWhenUsed/>
    <w:qFormat/>
    <w:uiPriority w:val="0"/>
    <w:pPr>
      <w:adjustRightInd w:val="0"/>
      <w:snapToGrid w:val="0"/>
      <w:spacing w:beforeLines="0" w:afterLines="0" w:line="360" w:lineRule="auto"/>
      <w:ind w:firstLine="482"/>
    </w:pPr>
    <w:rPr>
      <w:rFonts w:hint="eastAsia" w:hAnsi="宋体"/>
      <w:snapToGrid w:val="0"/>
      <w:sz w:val="21"/>
      <w:szCs w:val="24"/>
    </w:rPr>
  </w:style>
  <w:style w:type="paragraph" w:customStyle="1" w:styleId="34">
    <w:name w:val="aa正文"/>
    <w:basedOn w:val="1"/>
    <w:qFormat/>
    <w:uiPriority w:val="0"/>
    <w:pPr>
      <w:spacing w:line="360" w:lineRule="auto"/>
      <w:ind w:firstLine="200" w:firstLineChars="200"/>
    </w:pPr>
    <w:rPr>
      <w:sz w:val="24"/>
    </w:rPr>
  </w:style>
  <w:style w:type="paragraph" w:customStyle="1" w:styleId="35">
    <w:name w:val="内容11"/>
    <w:basedOn w:val="10"/>
    <w:qFormat/>
    <w:uiPriority w:val="0"/>
    <w:pPr>
      <w:spacing w:line="360" w:lineRule="auto"/>
      <w:ind w:right="-92" w:rightChars="-44" w:firstLine="415" w:firstLineChars="179"/>
    </w:pPr>
    <w:rPr>
      <w:rFonts w:hAnsi="宋体"/>
      <w:spacing w:val="-4"/>
      <w:position w:val="6"/>
      <w:sz w:val="24"/>
      <w:szCs w:val="24"/>
    </w:rPr>
  </w:style>
  <w:style w:type="paragraph" w:customStyle="1" w:styleId="36">
    <w:name w:val="常用表格样式"/>
    <w:basedOn w:val="28"/>
    <w:next w:val="28"/>
    <w:unhideWhenUsed/>
    <w:qFormat/>
    <w:uiPriority w:val="0"/>
    <w:pPr>
      <w:spacing w:beforeLines="0" w:afterLines="0" w:line="240" w:lineRule="auto"/>
      <w:ind w:firstLine="0"/>
      <w:jc w:val="center"/>
    </w:pPr>
    <w:rPr>
      <w:rFonts w:hint="eastAsia"/>
      <w:spacing w:val="2"/>
      <w:sz w:val="18"/>
      <w:szCs w:val="24"/>
    </w:rPr>
  </w:style>
  <w:style w:type="paragraph" w:customStyle="1" w:styleId="37">
    <w:name w:val="文本"/>
    <w:basedOn w:val="7"/>
    <w:next w:val="12"/>
    <w:qFormat/>
    <w:uiPriority w:val="0"/>
    <w:pPr>
      <w:widowControl/>
      <w:adjustRightInd/>
      <w:snapToGrid/>
      <w:spacing w:line="480" w:lineRule="exact"/>
      <w:ind w:firstLine="480"/>
      <w:jc w:val="left"/>
    </w:pPr>
    <w:rPr>
      <w:rFonts w:ascii="宋体" w:hAnsi="宋体" w:eastAsia="宋体" w:cs="宋体"/>
      <w:color w:val="auto"/>
      <w:kern w:val="0"/>
      <w:sz w:val="24"/>
      <w:szCs w:val="20"/>
    </w:rPr>
  </w:style>
  <w:style w:type="paragraph" w:customStyle="1" w:styleId="38">
    <w:name w:val="11111111111111111111111111"/>
    <w:basedOn w:val="1"/>
    <w:qFormat/>
    <w:uiPriority w:val="0"/>
    <w:pPr>
      <w:adjustRightInd w:val="0"/>
      <w:snapToGrid w:val="0"/>
      <w:spacing w:beforeLines="50"/>
      <w:jc w:val="center"/>
    </w:pPr>
    <w:rPr>
      <w:b/>
      <w:kern w:val="18"/>
      <w:sz w:val="24"/>
      <w:szCs w:val="20"/>
    </w:rPr>
  </w:style>
  <w:style w:type="paragraph" w:customStyle="1" w:styleId="39">
    <w:name w:val="Normal (Web)"/>
    <w:basedOn w:val="1"/>
    <w:autoRedefine/>
    <w:qFormat/>
    <w:uiPriority w:val="0"/>
    <w:pPr>
      <w:widowControl/>
      <w:spacing w:before="100" w:beforeAutospacing="1" w:after="100" w:afterAutospacing="1" w:line="480" w:lineRule="exact"/>
      <w:ind w:firstLine="200" w:firstLineChars="200"/>
      <w:jc w:val="left"/>
    </w:pPr>
    <w:rPr>
      <w:rFonts w:ascii="宋体" w:hAnsi="宋体" w:eastAsia="楷体_GB2312"/>
      <w:color w:val="000000"/>
      <w:kern w:val="0"/>
      <w:sz w:val="24"/>
      <w:szCs w:val="24"/>
    </w:rPr>
  </w:style>
  <w:style w:type="paragraph" w:customStyle="1" w:styleId="40">
    <w:name w:val="表格"/>
    <w:basedOn w:val="41"/>
    <w:next w:val="1"/>
    <w:qFormat/>
    <w:uiPriority w:val="0"/>
    <w:pPr>
      <w:adjustRightInd w:val="0"/>
      <w:snapToGrid w:val="0"/>
      <w:spacing w:beforeLines="10" w:afterLines="10" w:line="259" w:lineRule="auto"/>
      <w:jc w:val="center"/>
    </w:pPr>
    <w:rPr>
      <w:rFonts w:ascii="宋体"/>
      <w:kern w:val="0"/>
      <w:szCs w:val="20"/>
    </w:rPr>
  </w:style>
  <w:style w:type="paragraph" w:customStyle="1" w:styleId="41">
    <w:name w:val="表格内表格正文"/>
    <w:basedOn w:val="1"/>
    <w:qFormat/>
    <w:uiPriority w:val="0"/>
    <w:pPr>
      <w:spacing w:line="240" w:lineRule="auto"/>
      <w:ind w:firstLine="0"/>
      <w:jc w:val="center"/>
    </w:pPr>
    <w:rPr>
      <w:spacing w:val="0"/>
      <w:sz w:val="21"/>
      <w:szCs w:val="21"/>
    </w:rPr>
  </w:style>
  <w:style w:type="paragraph" w:customStyle="1" w:styleId="42">
    <w:name w:val="D表内1磅"/>
    <w:basedOn w:val="43"/>
    <w:qFormat/>
    <w:uiPriority w:val="0"/>
    <w:pPr>
      <w:spacing w:before="20" w:after="20"/>
    </w:pPr>
    <w:rPr>
      <w:rFonts w:ascii="Times New Roman"/>
      <w:spacing w:val="0"/>
    </w:rPr>
  </w:style>
  <w:style w:type="paragraph" w:customStyle="1" w:styleId="43">
    <w:name w:val="D表内0磅"/>
    <w:basedOn w:val="44"/>
    <w:semiHidden/>
    <w:qFormat/>
    <w:uiPriority w:val="0"/>
    <w:pPr>
      <w:jc w:val="center"/>
    </w:pPr>
    <w:rPr>
      <w:rFonts w:ascii="仿宋_GB2312"/>
      <w:spacing w:val="4"/>
      <w:szCs w:val="21"/>
    </w:rPr>
  </w:style>
  <w:style w:type="paragraph" w:customStyle="1" w:styleId="44">
    <w:name w:val="D表内"/>
    <w:basedOn w:val="45"/>
    <w:qFormat/>
    <w:uiPriority w:val="0"/>
    <w:pPr>
      <w:spacing w:line="240" w:lineRule="auto"/>
      <w:ind w:firstLine="0" w:firstLineChars="0"/>
      <w:jc w:val="center"/>
    </w:pPr>
    <w:rPr>
      <w:rFonts w:ascii="Times New Roman" w:hAnsi="Times New Roman" w:eastAsia="宋体"/>
      <w:szCs w:val="21"/>
    </w:rPr>
  </w:style>
  <w:style w:type="paragraph" w:customStyle="1" w:styleId="45">
    <w:name w:val="图表"/>
    <w:basedOn w:val="1"/>
    <w:semiHidden/>
    <w:qFormat/>
    <w:uiPriority w:val="0"/>
    <w:pPr>
      <w:spacing w:before="120" w:after="120" w:line="240" w:lineRule="auto"/>
      <w:ind w:firstLine="0" w:firstLineChars="0"/>
      <w:jc w:val="center"/>
    </w:pPr>
    <w:rPr>
      <w:kern w:val="2"/>
      <w:sz w:val="21"/>
      <w:szCs w:val="21"/>
    </w:rPr>
  </w:style>
  <w:style w:type="paragraph" w:customStyle="1" w:styleId="46">
    <w:name w:val="样式 正文 + 宋体 小四1"/>
    <w:basedOn w:val="1"/>
    <w:qFormat/>
    <w:uiPriority w:val="0"/>
    <w:pPr>
      <w:widowControl/>
      <w:spacing w:line="360" w:lineRule="auto"/>
      <w:ind w:firstLine="480" w:firstLineChars="200"/>
      <w:jc w:val="left"/>
    </w:pPr>
    <w:rPr>
      <w:rFonts w:ascii="宋体" w:hAnsi="宋体"/>
      <w:kern w:val="0"/>
      <w:sz w:val="24"/>
    </w:rPr>
  </w:style>
  <w:style w:type="paragraph" w:customStyle="1" w:styleId="47">
    <w:name w:val="ZH正文"/>
    <w:basedOn w:val="1"/>
    <w:qFormat/>
    <w:uiPriority w:val="0"/>
    <w:pPr>
      <w:spacing w:line="360" w:lineRule="auto"/>
      <w:ind w:firstLine="200" w:firstLineChars="200"/>
    </w:pPr>
    <w:rPr>
      <w:rFonts w:eastAsia="宋体"/>
      <w:sz w:val="24"/>
    </w:rPr>
  </w:style>
  <w:style w:type="paragraph" w:customStyle="1" w:styleId="48">
    <w:name w:val="正文王"/>
    <w:basedOn w:val="49"/>
    <w:semiHidden/>
    <w:qFormat/>
    <w:uiPriority w:val="0"/>
    <w:pPr>
      <w:spacing w:beforeLines="0" w:afterLines="0"/>
      <w:ind w:firstLine="720" w:firstLineChars="200"/>
      <w:outlineLvl w:val="9"/>
    </w:pPr>
    <w:rPr>
      <w:rFonts w:eastAsia="宋体"/>
      <w:b w:val="0"/>
      <w:sz w:val="24"/>
    </w:rPr>
  </w:style>
  <w:style w:type="paragraph" w:customStyle="1" w:styleId="49">
    <w:name w:val="标题三王"/>
    <w:basedOn w:val="50"/>
    <w:semiHidden/>
    <w:qFormat/>
    <w:uiPriority w:val="0"/>
    <w:pPr>
      <w:spacing w:beforeLines="50" w:afterLines="20"/>
      <w:outlineLvl w:val="2"/>
    </w:pPr>
    <w:rPr>
      <w:sz w:val="28"/>
    </w:rPr>
  </w:style>
  <w:style w:type="paragraph" w:customStyle="1" w:styleId="50">
    <w:name w:val="标题二王"/>
    <w:basedOn w:val="1"/>
    <w:semiHidden/>
    <w:qFormat/>
    <w:uiPriority w:val="0"/>
    <w:pPr>
      <w:spacing w:beforeLines="100" w:afterLines="50" w:line="360" w:lineRule="auto"/>
      <w:outlineLvl w:val="1"/>
    </w:pPr>
    <w:rPr>
      <w:rFonts w:eastAsia="黑体"/>
      <w:b/>
      <w:sz w:val="32"/>
    </w:rPr>
  </w:style>
  <w:style w:type="paragraph" w:customStyle="1" w:styleId="51">
    <w:name w:val="正文1 Char"/>
    <w:basedOn w:val="1"/>
    <w:qFormat/>
    <w:uiPriority w:val="0"/>
    <w:pPr>
      <w:tabs>
        <w:tab w:val="left" w:pos="2310"/>
      </w:tabs>
      <w:adjustRightInd w:val="0"/>
      <w:spacing w:line="360" w:lineRule="auto"/>
      <w:ind w:firstLine="480" w:firstLineChars="200"/>
      <w:textAlignment w:val="baseline"/>
    </w:pPr>
    <w:rPr>
      <w:rFonts w:ascii="宋体" w:hAnsi="宋体" w:cs="宋体"/>
      <w:sz w:val="24"/>
    </w:rPr>
  </w:style>
  <w:style w:type="paragraph" w:customStyle="1" w:styleId="52">
    <w:name w:val="表内容"/>
    <w:basedOn w:val="1"/>
    <w:qFormat/>
    <w:uiPriority w:val="0"/>
    <w:pPr>
      <w:adjustRightInd w:val="0"/>
      <w:snapToGrid w:val="0"/>
      <w:spacing w:line="320" w:lineRule="exact"/>
      <w:jc w:val="center"/>
    </w:pPr>
  </w:style>
  <w:style w:type="paragraph" w:customStyle="1" w:styleId="53">
    <w:name w:val="表中文字"/>
    <w:basedOn w:val="1"/>
    <w:qFormat/>
    <w:uiPriority w:val="0"/>
    <w:pPr>
      <w:jc w:val="center"/>
    </w:pPr>
    <w:rPr>
      <w:rFonts w:ascii="宋体"/>
      <w:spacing w:val="4"/>
      <w:w w:val="90"/>
      <w:sz w:val="24"/>
    </w:rPr>
  </w:style>
  <w:style w:type="paragraph" w:customStyle="1" w:styleId="54">
    <w:name w:val="Char Char1 Char Char Char Char Char Char Char Char Char Char Char Char Char Char Char Char Char Char 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55">
    <w:name w:val="表头"/>
    <w:basedOn w:val="8"/>
    <w:next w:val="1"/>
    <w:unhideWhenUsed/>
    <w:qFormat/>
    <w:uiPriority w:val="0"/>
    <w:pPr>
      <w:spacing w:beforeLines="50" w:afterLines="50"/>
      <w:jc w:val="center"/>
      <w:textAlignment w:val="bottom"/>
    </w:pPr>
    <w:rPr>
      <w:rFonts w:hint="eastAsia" w:ascii="宋体" w:eastAsia="宋体"/>
      <w:b/>
      <w:sz w:val="24"/>
      <w:szCs w:val="28"/>
    </w:rPr>
  </w:style>
  <w:style w:type="paragraph" w:customStyle="1" w:styleId="56">
    <w:name w:val="图表头"/>
    <w:basedOn w:val="1"/>
    <w:unhideWhenUsed/>
    <w:qFormat/>
    <w:uiPriority w:val="0"/>
    <w:pPr>
      <w:tabs>
        <w:tab w:val="left" w:pos="770"/>
      </w:tabs>
      <w:spacing w:beforeLines="50" w:afterLines="0"/>
      <w:jc w:val="center"/>
    </w:pPr>
    <w:rPr>
      <w:rFonts w:hint="default"/>
      <w:b/>
      <w:sz w:val="21"/>
      <w:szCs w:val="20"/>
    </w:rPr>
  </w:style>
  <w:style w:type="paragraph" w:customStyle="1" w:styleId="57">
    <w:name w:val="表内格式"/>
    <w:basedOn w:val="1"/>
    <w:unhideWhenUsed/>
    <w:qFormat/>
    <w:uiPriority w:val="0"/>
    <w:pPr>
      <w:spacing w:beforeLines="0" w:afterLines="0"/>
      <w:jc w:val="center"/>
    </w:pPr>
    <w:rPr>
      <w:rFonts w:hint="default"/>
      <w:sz w:val="18"/>
      <w:szCs w:val="20"/>
    </w:rPr>
  </w:style>
  <w:style w:type="paragraph" w:customStyle="1" w:styleId="58">
    <w:name w:val="表格自动编号"/>
    <w:basedOn w:val="1"/>
    <w:qFormat/>
    <w:uiPriority w:val="0"/>
    <w:pPr>
      <w:numPr>
        <w:ilvl w:val="5"/>
        <w:numId w:val="2"/>
      </w:numPr>
      <w:jc w:val="center"/>
    </w:pPr>
    <w:rPr>
      <w:rFonts w:ascii="Times New Roman" w:hAnsi="Times New Roman" w:eastAsia="宋体"/>
      <w:b/>
    </w:rPr>
  </w:style>
  <w:style w:type="paragraph" w:customStyle="1" w:styleId="59">
    <w:name w:val="Table Paragraph"/>
    <w:basedOn w:val="1"/>
    <w:qFormat/>
    <w:uiPriority w:val="1"/>
    <w:pPr>
      <w:autoSpaceDE w:val="0"/>
      <w:autoSpaceDN w:val="0"/>
      <w:adjustRightInd w:val="0"/>
      <w:jc w:val="left"/>
    </w:pPr>
    <w:rPr>
      <w:rFonts w:cs="Times New Roman"/>
    </w:rPr>
  </w:style>
  <w:style w:type="paragraph" w:customStyle="1" w:styleId="60">
    <w:name w:val="表格内正文"/>
    <w:basedOn w:val="1"/>
    <w:qFormat/>
    <w:uiPriority w:val="0"/>
    <w:pPr>
      <w:spacing w:line="360" w:lineRule="auto"/>
      <w:ind w:firstLine="493"/>
    </w:pPr>
    <w:rPr>
      <w:rFonts w:ascii="宋体" w:hAnsi="宋体"/>
      <w:spacing w:val="4"/>
      <w:kern w:val="18"/>
      <w:sz w:val="24"/>
      <w:szCs w:val="24"/>
    </w:rPr>
  </w:style>
  <w:style w:type="paragraph" w:customStyle="1" w:styleId="61">
    <w:name w:val="表第一行"/>
    <w:basedOn w:val="62"/>
    <w:qFormat/>
    <w:uiPriority w:val="0"/>
    <w:pPr>
      <w:adjustRightInd w:val="0"/>
      <w:snapToGrid w:val="0"/>
    </w:pPr>
    <w:rPr>
      <w:b/>
    </w:rPr>
  </w:style>
  <w:style w:type="paragraph" w:customStyle="1" w:styleId="62">
    <w:name w:val="少内容表中"/>
    <w:basedOn w:val="1"/>
    <w:qFormat/>
    <w:uiPriority w:val="0"/>
    <w:pPr>
      <w:spacing w:line="360" w:lineRule="exact"/>
      <w:jc w:val="center"/>
    </w:pPr>
  </w:style>
  <w:style w:type="paragraph" w:customStyle="1" w:styleId="63">
    <w:name w:val="简单回函地址"/>
    <w:basedOn w:val="1"/>
    <w:qFormat/>
    <w:uiPriority w:val="0"/>
    <w:rPr>
      <w:sz w:val="24"/>
    </w:rPr>
  </w:style>
  <w:style w:type="paragraph" w:customStyle="1" w:styleId="64">
    <w:name w:val="表头1"/>
    <w:basedOn w:val="10"/>
    <w:qFormat/>
    <w:uiPriority w:val="0"/>
    <w:pPr>
      <w:autoSpaceDE w:val="0"/>
      <w:autoSpaceDN w:val="0"/>
      <w:adjustRightInd w:val="0"/>
      <w:snapToGrid w:val="0"/>
      <w:spacing w:line="360" w:lineRule="auto"/>
      <w:ind w:firstLine="0" w:firstLineChars="0"/>
      <w:jc w:val="center"/>
    </w:pPr>
    <w:rPr>
      <w:rFonts w:ascii="Times New Roman" w:hAnsi="Times New Roman" w:eastAsia="宋体"/>
      <w:b/>
      <w:sz w:val="24"/>
    </w:rPr>
  </w:style>
  <w:style w:type="paragraph" w:customStyle="1" w:styleId="65">
    <w:name w:val="正文样式"/>
    <w:basedOn w:val="1"/>
    <w:qFormat/>
    <w:uiPriority w:val="0"/>
    <w:pPr>
      <w:adjustRightInd w:val="0"/>
      <w:spacing w:line="360" w:lineRule="auto"/>
      <w:ind w:firstLine="824" w:firstLineChars="200"/>
    </w:pPr>
    <w:rPr>
      <w:kern w:val="0"/>
      <w:sz w:val="24"/>
      <w:szCs w:val="20"/>
    </w:rPr>
  </w:style>
  <w:style w:type="paragraph" w:customStyle="1" w:styleId="66">
    <w:name w:val="德正表格"/>
    <w:basedOn w:val="1"/>
    <w:unhideWhenUsed/>
    <w:qFormat/>
    <w:uiPriority w:val="0"/>
    <w:pPr>
      <w:adjustRightInd w:val="0"/>
      <w:snapToGrid w:val="0"/>
      <w:jc w:val="center"/>
    </w:pPr>
    <w:rPr>
      <w:rFonts w:hint="eastAsia"/>
      <w:sz w:val="21"/>
      <w:szCs w:val="24"/>
    </w:rPr>
  </w:style>
  <w:style w:type="paragraph" w:customStyle="1" w:styleId="67">
    <w:name w:val="环评表格"/>
    <w:basedOn w:val="10"/>
    <w:qFormat/>
    <w:uiPriority w:val="0"/>
    <w:pPr>
      <w:spacing w:line="320" w:lineRule="exact"/>
      <w:jc w:val="center"/>
    </w:pPr>
    <w:rPr>
      <w:rFonts w:ascii="Times New Roman" w:hAnsi="Times New Roman" w:eastAsia="宋体" w:cs="Times New Roman"/>
      <w:szCs w:val="21"/>
    </w:rPr>
  </w:style>
  <w:style w:type="paragraph" w:customStyle="1" w:styleId="68">
    <w:name w:val="环评报告表新版-正文"/>
    <w:basedOn w:val="1"/>
    <w:qFormat/>
    <w:uiPriority w:val="0"/>
    <w:pPr>
      <w:autoSpaceDE w:val="0"/>
      <w:autoSpaceDN w:val="0"/>
      <w:adjustRightInd w:val="0"/>
      <w:snapToGrid w:val="0"/>
      <w:spacing w:line="360" w:lineRule="exact"/>
      <w:ind w:firstLine="200" w:firstLineChars="200"/>
    </w:pPr>
    <w:rPr>
      <w:rFonts w:cs="宋体"/>
      <w:kern w:val="0"/>
      <w:sz w:val="24"/>
      <w:szCs w:val="21"/>
    </w:rPr>
  </w:style>
  <w:style w:type="paragraph" w:customStyle="1" w:styleId="69">
    <w:name w:val="D正文"/>
    <w:basedOn w:val="70"/>
    <w:qFormat/>
    <w:uiPriority w:val="0"/>
    <w:pPr>
      <w:spacing w:line="360" w:lineRule="auto"/>
      <w:ind w:firstLine="480"/>
    </w:pPr>
    <w:rPr>
      <w:rFonts w:hAnsi="Times New Roman"/>
    </w:rPr>
  </w:style>
  <w:style w:type="paragraph" w:customStyle="1" w:styleId="70">
    <w:name w:val="正文对的"/>
    <w:basedOn w:val="10"/>
    <w:semiHidden/>
    <w:qFormat/>
    <w:uiPriority w:val="0"/>
    <w:pPr>
      <w:spacing w:line="500" w:lineRule="exact"/>
      <w:ind w:firstLine="200" w:firstLineChars="200"/>
    </w:pPr>
    <w:rPr>
      <w:rFonts w:ascii="Times New Roman" w:hAnsi="宋体"/>
      <w:sz w:val="24"/>
      <w:szCs w:val="24"/>
    </w:rPr>
  </w:style>
  <w:style w:type="paragraph" w:customStyle="1" w:styleId="71">
    <w:name w:val="D图表小四"/>
    <w:basedOn w:val="72"/>
    <w:qFormat/>
    <w:uiPriority w:val="0"/>
    <w:pPr>
      <w:keepNext/>
      <w:keepLines/>
      <w:spacing w:before="120" w:after="120" w:line="240" w:lineRule="auto"/>
      <w:ind w:firstLine="0" w:firstLineChars="0"/>
      <w:jc w:val="center"/>
    </w:pPr>
    <w:rPr>
      <w:b w:val="0"/>
      <w:kern w:val="2"/>
      <w:szCs w:val="24"/>
    </w:rPr>
  </w:style>
  <w:style w:type="paragraph" w:customStyle="1" w:styleId="72">
    <w:name w:val="D图表"/>
    <w:basedOn w:val="45"/>
    <w:semiHidden/>
    <w:qFormat/>
    <w:uiPriority w:val="0"/>
    <w:rPr>
      <w:b/>
    </w:rPr>
  </w:style>
  <w:style w:type="paragraph" w:customStyle="1" w:styleId="73">
    <w:name w:val="表格111"/>
    <w:basedOn w:val="1"/>
    <w:qFormat/>
    <w:uiPriority w:val="0"/>
    <w:pPr>
      <w:autoSpaceDE w:val="0"/>
      <w:autoSpaceDN w:val="0"/>
      <w:adjustRightInd w:val="0"/>
      <w:snapToGrid w:val="0"/>
      <w:spacing w:before="20" w:beforeLines="20" w:after="20" w:afterLines="20" w:line="240" w:lineRule="auto"/>
      <w:ind w:firstLine="0" w:firstLineChars="0"/>
      <w:jc w:val="center"/>
    </w:pPr>
    <w:rPr>
      <w:rFonts w:hint="eastAsia" w:ascii="Times New Roman" w:hAnsi="Times New Roman" w:eastAsia="宋体" w:cs="宋体"/>
      <w:kern w:val="0"/>
      <w:sz w:val="21"/>
      <w:szCs w:val="21"/>
    </w:rPr>
  </w:style>
  <w:style w:type="paragraph" w:customStyle="1" w:styleId="74">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rPr>
  </w:style>
  <w:style w:type="paragraph" w:customStyle="1" w:styleId="75">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76">
    <w:name w:val="样式 小四 行距: 1.5 倍行距"/>
    <w:basedOn w:val="1"/>
    <w:qFormat/>
    <w:uiPriority w:val="0"/>
    <w:pPr>
      <w:ind w:firstLine="480" w:firstLineChars="200"/>
    </w:pPr>
    <w:rPr>
      <w:rFonts w:hint="default" w:cs="宋体"/>
    </w:rPr>
  </w:style>
  <w:style w:type="paragraph" w:customStyle="1" w:styleId="77">
    <w:name w:val="0正文"/>
    <w:basedOn w:val="78"/>
    <w:qFormat/>
    <w:uiPriority w:val="0"/>
    <w:pPr>
      <w:ind w:firstLine="480"/>
    </w:pPr>
  </w:style>
  <w:style w:type="paragraph" w:customStyle="1" w:styleId="78">
    <w:name w:val="B正文"/>
    <w:basedOn w:val="1"/>
    <w:qFormat/>
    <w:uiPriority w:val="0"/>
    <w:pPr>
      <w:spacing w:line="360" w:lineRule="auto"/>
      <w:ind w:firstLine="200" w:firstLineChars="200"/>
    </w:pPr>
    <w:rPr>
      <w:kern w:val="0"/>
      <w:sz w:val="24"/>
    </w:rPr>
  </w:style>
  <w:style w:type="paragraph" w:customStyle="1" w:styleId="79">
    <w:name w:val="表格内容"/>
    <w:basedOn w:val="80"/>
    <w:qFormat/>
    <w:uiPriority w:val="0"/>
    <w:pPr>
      <w:spacing w:line="240" w:lineRule="auto"/>
    </w:pPr>
    <w:rPr>
      <w:b w:val="0"/>
      <w:sz w:val="21"/>
    </w:rPr>
  </w:style>
  <w:style w:type="paragraph" w:customStyle="1" w:styleId="80">
    <w:name w:val="表格标题"/>
    <w:basedOn w:val="1"/>
    <w:qFormat/>
    <w:uiPriority w:val="0"/>
    <w:pPr>
      <w:ind w:firstLine="0" w:firstLineChars="0"/>
      <w:jc w:val="center"/>
    </w:pPr>
    <w:rPr>
      <w:b/>
    </w:rPr>
  </w:style>
  <w:style w:type="paragraph" w:customStyle="1" w:styleId="81">
    <w:name w:val="表格正文"/>
    <w:basedOn w:val="7"/>
    <w:next w:val="1"/>
    <w:qFormat/>
    <w:uiPriority w:val="0"/>
    <w:pPr>
      <w:snapToGrid w:val="0"/>
      <w:spacing w:line="400" w:lineRule="exact"/>
      <w:jc w:val="center"/>
    </w:pPr>
    <w:rPr>
      <w:bCs/>
      <w:kern w:val="10"/>
      <w:szCs w:val="24"/>
    </w:rPr>
  </w:style>
  <w:style w:type="paragraph" w:customStyle="1" w:styleId="82">
    <w:name w:val="环评3级标题"/>
    <w:basedOn w:val="1"/>
    <w:qFormat/>
    <w:uiPriority w:val="0"/>
    <w:pPr>
      <w:spacing w:line="400" w:lineRule="exact"/>
      <w:outlineLvl w:val="2"/>
    </w:pPr>
    <w:rPr>
      <w:b/>
      <w:sz w:val="24"/>
    </w:rPr>
  </w:style>
  <w:style w:type="character" w:customStyle="1" w:styleId="83">
    <w:name w:val="fontstyle21"/>
    <w:qFormat/>
    <w:uiPriority w:val="0"/>
    <w:rPr>
      <w:rFonts w:hint="default" w:ascii="TimesNewRomanPSMT" w:hAnsi="TimesNewRomanPSMT"/>
      <w:color w:val="000000"/>
      <w:sz w:val="24"/>
      <w:szCs w:val="24"/>
    </w:rPr>
  </w:style>
  <w:style w:type="paragraph" w:customStyle="1" w:styleId="84">
    <w:name w:val="正文小四"/>
    <w:basedOn w:val="1"/>
    <w:qFormat/>
    <w:uiPriority w:val="0"/>
    <w:pPr>
      <w:spacing w:line="360" w:lineRule="auto"/>
      <w:ind w:firstLine="360" w:firstLineChars="150"/>
      <w:jc w:val="left"/>
    </w:pPr>
    <w:rPr>
      <w:rFonts w:eastAsia="Century Gothic"/>
      <w:sz w:val="24"/>
      <w:szCs w:val="20"/>
    </w:rPr>
  </w:style>
  <w:style w:type="paragraph" w:customStyle="1" w:styleId="85">
    <w:name w:val="正文文本5"/>
    <w:basedOn w:val="1"/>
    <w:qFormat/>
    <w:uiPriority w:val="0"/>
    <w:pPr>
      <w:shd w:val="clear" w:color="auto" w:fill="FFFFFF"/>
      <w:adjustRightInd/>
      <w:spacing w:after="960" w:line="0" w:lineRule="atLeast"/>
      <w:jc w:val="center"/>
      <w:textAlignment w:val="auto"/>
    </w:pPr>
    <w:rPr>
      <w:rFonts w:ascii="MingLiU" w:hAnsi="MingLiU" w:eastAsia="MingLiU"/>
      <w:sz w:val="19"/>
      <w:szCs w:val="19"/>
    </w:rPr>
  </w:style>
  <w:style w:type="character" w:customStyle="1" w:styleId="86">
    <w:name w:val="正文文本2"/>
    <w:qFormat/>
    <w:uiPriority w:val="0"/>
    <w:rPr>
      <w:rFonts w:ascii="MingLiU" w:hAnsi="MingLiU" w:eastAsia="MingLiU" w:cs="MingLiU"/>
      <w:color w:val="000000"/>
      <w:spacing w:val="0"/>
      <w:w w:val="100"/>
      <w:position w:val="0"/>
      <w:sz w:val="19"/>
      <w:szCs w:val="19"/>
      <w:shd w:val="clear" w:color="auto" w:fill="FFFFFF"/>
      <w:lang w:val="zh-TW"/>
    </w:rPr>
  </w:style>
  <w:style w:type="paragraph" w:customStyle="1" w:styleId="87">
    <w:name w:val="表格文字"/>
    <w:basedOn w:val="1"/>
    <w:qFormat/>
    <w:uiPriority w:val="0"/>
    <w:pPr>
      <w:adjustRightInd w:val="0"/>
      <w:snapToGrid w:val="0"/>
      <w:spacing w:beforeLines="20" w:line="240" w:lineRule="atLeast"/>
      <w:jc w:val="center"/>
      <w:textAlignment w:val="baseline"/>
    </w:pPr>
    <w:rPr>
      <w:snapToGrid w:val="0"/>
      <w:kern w:val="0"/>
      <w:szCs w:val="20"/>
    </w:rPr>
  </w:style>
  <w:style w:type="paragraph" w:customStyle="1" w:styleId="88">
    <w:name w:val="报告正文"/>
    <w:qFormat/>
    <w:uiPriority w:val="0"/>
    <w:pPr>
      <w:adjustRightInd w:val="0"/>
      <w:snapToGrid w:val="0"/>
      <w:spacing w:line="360" w:lineRule="auto"/>
      <w:ind w:firstLine="200" w:firstLineChars="200"/>
    </w:pPr>
    <w:rPr>
      <w:rFonts w:ascii="Times New Roman" w:hAnsi="Times New Roman" w:eastAsia="宋体" w:cs="Times New Roman"/>
      <w:bCs/>
      <w:kern w:val="44"/>
      <w:sz w:val="24"/>
      <w:szCs w:val="44"/>
      <w:lang w:val="en-US" w:eastAsia="zh-CN" w:bidi="ar-SA"/>
    </w:rPr>
  </w:style>
  <w:style w:type="paragraph" w:customStyle="1" w:styleId="89">
    <w:name w:val="表1表2"/>
    <w:basedOn w:val="1"/>
    <w:qFormat/>
    <w:uiPriority w:val="0"/>
    <w:pPr>
      <w:autoSpaceDE w:val="0"/>
      <w:autoSpaceDN w:val="0"/>
      <w:adjustRightInd w:val="0"/>
      <w:ind w:firstLine="0"/>
      <w:jc w:val="center"/>
      <w:textAlignment w:val="center"/>
    </w:pPr>
    <w:rPr>
      <w:rFonts w:eastAsia="仿宋体"/>
      <w:kern w:val="0"/>
      <w:sz w:val="24"/>
    </w:rPr>
  </w:style>
  <w:style w:type="paragraph" w:customStyle="1" w:styleId="90">
    <w:name w:val="00000000000000000000000"/>
    <w:basedOn w:val="1"/>
    <w:autoRedefine/>
    <w:qFormat/>
    <w:uiPriority w:val="0"/>
    <w:pPr>
      <w:spacing w:line="360" w:lineRule="auto"/>
      <w:ind w:firstLine="480" w:firstLineChars="200"/>
    </w:pPr>
    <w:rPr>
      <w:snapToGrid w:val="0"/>
      <w:sz w:val="24"/>
    </w:rPr>
  </w:style>
  <w:style w:type="paragraph" w:customStyle="1" w:styleId="91">
    <w:name w:val="【正文】"/>
    <w:basedOn w:val="1"/>
    <w:link w:val="95"/>
    <w:qFormat/>
    <w:uiPriority w:val="0"/>
    <w:pPr>
      <w:spacing w:line="460" w:lineRule="exact"/>
      <w:ind w:firstLine="200" w:firstLineChars="200"/>
    </w:pPr>
    <w:rPr>
      <w:sz w:val="24"/>
      <w:szCs w:val="20"/>
    </w:rPr>
  </w:style>
  <w:style w:type="paragraph" w:customStyle="1" w:styleId="92">
    <w:name w:val="表"/>
    <w:basedOn w:val="1"/>
    <w:unhideWhenUsed/>
    <w:qFormat/>
    <w:uiPriority w:val="0"/>
    <w:pPr>
      <w:snapToGrid w:val="0"/>
      <w:spacing w:beforeLines="0" w:afterLines="0" w:line="240" w:lineRule="exact"/>
      <w:jc w:val="center"/>
    </w:pPr>
    <w:rPr>
      <w:rFonts w:hint="eastAsia"/>
      <w:spacing w:val="2"/>
      <w:sz w:val="21"/>
      <w:szCs w:val="21"/>
    </w:rPr>
  </w:style>
  <w:style w:type="paragraph" w:customStyle="1" w:styleId="93">
    <w:name w:val="【】表头"/>
    <w:basedOn w:val="1"/>
    <w:next w:val="32"/>
    <w:autoRedefine/>
    <w:qFormat/>
    <w:uiPriority w:val="0"/>
    <w:pPr>
      <w:numPr>
        <w:ilvl w:val="5"/>
        <w:numId w:val="3"/>
      </w:numPr>
      <w:spacing w:before="50" w:beforeLines="50" w:line="240" w:lineRule="atLeast"/>
      <w:jc w:val="center"/>
      <w:outlineLvl w:val="5"/>
    </w:pPr>
    <w:rPr>
      <w:rFonts w:eastAsia="黑体" w:cs="宋体"/>
      <w:sz w:val="22"/>
      <w:szCs w:val="20"/>
    </w:rPr>
  </w:style>
  <w:style w:type="paragraph" w:customStyle="1" w:styleId="94">
    <w:name w:val="yt图标"/>
    <w:basedOn w:val="7"/>
    <w:qFormat/>
    <w:uiPriority w:val="0"/>
    <w:pPr>
      <w:jc w:val="center"/>
    </w:pPr>
    <w:rPr>
      <w:rFonts w:ascii="Times New Roman" w:hAnsi="Times New Roman"/>
      <w:b/>
      <w:szCs w:val="21"/>
    </w:rPr>
  </w:style>
  <w:style w:type="character" w:customStyle="1" w:styleId="95">
    <w:name w:val="【正文】 Char"/>
    <w:link w:val="91"/>
    <w:qFormat/>
    <w:locked/>
    <w:uiPriority w:val="0"/>
    <w:rPr>
      <w:sz w:val="24"/>
      <w:szCs w:val="20"/>
    </w:rPr>
  </w:style>
  <w:style w:type="paragraph" w:customStyle="1" w:styleId="96">
    <w:name w:val="S报告正文"/>
    <w:basedOn w:val="1"/>
    <w:qFormat/>
    <w:uiPriority w:val="0"/>
    <w:pPr>
      <w:adjustRightInd w:val="0"/>
      <w:snapToGrid w:val="0"/>
      <w:spacing w:line="480" w:lineRule="exact"/>
      <w:ind w:firstLine="510"/>
      <w:jc w:val="left"/>
    </w:pPr>
    <w:rPr>
      <w:sz w:val="24"/>
    </w:rPr>
  </w:style>
  <w:style w:type="paragraph" w:customStyle="1" w:styleId="97">
    <w:name w:val="纯文本1"/>
    <w:basedOn w:val="1"/>
    <w:qFormat/>
    <w:uiPriority w:val="0"/>
    <w:pPr>
      <w:adjustRightInd w:val="0"/>
    </w:pPr>
    <w:rPr>
      <w:rFonts w:ascii="宋体" w:hAnsi="Courier New"/>
      <w:szCs w:val="20"/>
    </w:rPr>
  </w:style>
  <w:style w:type="paragraph" w:customStyle="1" w:styleId="98">
    <w:name w:val="文本正文"/>
    <w:basedOn w:val="1"/>
    <w:qFormat/>
    <w:uiPriority w:val="0"/>
    <w:pPr>
      <w:spacing w:line="360" w:lineRule="auto"/>
      <w:ind w:firstLine="480" w:firstLineChars="200"/>
    </w:pPr>
  </w:style>
  <w:style w:type="paragraph" w:customStyle="1" w:styleId="99">
    <w:name w:val="A 正文"/>
    <w:basedOn w:val="1"/>
    <w:next w:val="1"/>
    <w:qFormat/>
    <w:uiPriority w:val="0"/>
    <w:pPr>
      <w:spacing w:line="360" w:lineRule="auto"/>
      <w:ind w:firstLine="200" w:firstLineChars="200"/>
    </w:pPr>
    <w:rPr>
      <w:rFonts w:ascii="仿宋_GB2312" w:hAnsi="宋体" w:eastAsia="仿宋_GB2312" w:cs="宋体"/>
      <w:sz w:val="24"/>
    </w:rPr>
  </w:style>
  <w:style w:type="paragraph" w:customStyle="1" w:styleId="100">
    <w:name w:val="德正正文"/>
    <w:basedOn w:val="1"/>
    <w:next w:val="1"/>
    <w:qFormat/>
    <w:uiPriority w:val="0"/>
    <w:pPr>
      <w:adjustRightInd w:val="0"/>
      <w:snapToGrid w:val="0"/>
      <w:spacing w:line="360" w:lineRule="auto"/>
      <w:ind w:firstLine="200" w:firstLineChars="200"/>
    </w:pPr>
    <w:rPr>
      <w:kern w:val="0"/>
      <w:sz w:val="24"/>
      <w:szCs w:val="20"/>
    </w:rPr>
  </w:style>
  <w:style w:type="paragraph" w:styleId="101">
    <w:name w:val="List Paragraph"/>
    <w:basedOn w:val="1"/>
    <w:unhideWhenUsed/>
    <w:qFormat/>
    <w:uiPriority w:val="34"/>
    <w:pPr>
      <w:spacing w:beforeLines="0" w:afterLines="0"/>
      <w:ind w:firstLine="420" w:firstLineChars="200"/>
    </w:pPr>
    <w:rPr>
      <w:rFonts w:hint="default"/>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4147</Words>
  <Characters>4379</Characters>
  <Lines>0</Lines>
  <Paragraphs>0</Paragraphs>
  <TotalTime>4</TotalTime>
  <ScaleCrop>false</ScaleCrop>
  <LinksUpToDate>false</LinksUpToDate>
  <CharactersWithSpaces>4505</CharactersWithSpaces>
  <Application>WPS Office_12.1.0.18898_F1E327BC-269C-435d-A152-05C5408002CA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2025-03-12T00:12:00Z</dcterms:created>
  <dc:creator>Administrator</dc:creator>
  <cp:lastModifiedBy>康建壮</cp:lastModifiedBy>
  <dcterms:modified xsi:type="dcterms:W3CDTF">2025-06-18T05:40:28Z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2052-12.1.0.18898</vt:lpwstr>
  </property>
  <property fmtid="{D5CDD505-2E9C-101B-9397-08002B2CF9AE}" pid="3" name="ICV">
    <vt:lpwstr>7A5EFE57B4224828B39A4F9B75790BD2_13</vt:lpwstr>
  </property>
</Properties>
</file>