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80"/>
        <w:jc w:val="center"/>
        <w:rPr>
          <w:rFonts w:ascii="方正小标宋简体" w:hAnsi="方正小标宋简体" w:eastAsia="方正小标宋简体" w:cs="方正小标宋简体"/>
          <w:b/>
          <w:color w:val="000000"/>
          <w:sz w:val="44"/>
          <w:szCs w:val="44"/>
        </w:rPr>
      </w:pPr>
      <w:bookmarkStart w:id="131" w:name="_GoBack"/>
      <w:bookmarkEnd w:id="131"/>
    </w:p>
    <w:p>
      <w:pPr>
        <w:pStyle w:val="15"/>
        <w:ind w:firstLine="31680"/>
        <w:rPr>
          <w:rFonts w:ascii="方正小标宋简体" w:hAnsi="方正小标宋简体" w:eastAsia="方正小标宋简体" w:cs="方正小标宋简体"/>
          <w:b/>
          <w:color w:val="000000"/>
          <w:sz w:val="44"/>
          <w:szCs w:val="44"/>
        </w:rPr>
      </w:pPr>
    </w:p>
    <w:p>
      <w:pPr>
        <w:pStyle w:val="15"/>
        <w:ind w:firstLine="31680"/>
        <w:rPr>
          <w:rFonts w:ascii="方正小标宋简体" w:hAnsi="方正小标宋简体" w:eastAsia="方正小标宋简体" w:cs="方正小标宋简体"/>
          <w:b/>
          <w:color w:val="000000"/>
          <w:sz w:val="44"/>
          <w:szCs w:val="44"/>
        </w:rPr>
      </w:pPr>
    </w:p>
    <w:p>
      <w:pPr>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永修县国民经济和社会发展</w:t>
      </w:r>
    </w:p>
    <w:p>
      <w:pPr>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第十四个五年规划和二〇三五年</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8"/>
          <w:szCs w:val="48"/>
        </w:rPr>
        <w:t>远景目标纲要</w:t>
      </w:r>
    </w:p>
    <w:p>
      <w:pPr>
        <w:ind w:firstLine="31680"/>
        <w:rPr>
          <w:rFonts w:ascii="仿宋" w:cs="仿宋"/>
          <w:sz w:val="36"/>
          <w:szCs w:val="36"/>
        </w:rPr>
      </w:pPr>
    </w:p>
    <w:p>
      <w:pPr>
        <w:pStyle w:val="15"/>
        <w:ind w:firstLine="31680"/>
      </w:pPr>
    </w:p>
    <w:p>
      <w:pPr>
        <w:pStyle w:val="14"/>
        <w:ind w:firstLine="31680"/>
        <w:jc w:val="center"/>
        <w:rPr>
          <w:rFonts w:ascii="仿宋" w:hAnsi="仿宋" w:eastAsia="仿宋" w:cs="仿宋"/>
          <w:sz w:val="36"/>
          <w:szCs w:val="36"/>
        </w:rPr>
      </w:pPr>
    </w:p>
    <w:p>
      <w:pPr>
        <w:pStyle w:val="14"/>
        <w:ind w:firstLine="31680"/>
        <w:rPr>
          <w:rFonts w:ascii="仿宋" w:hAnsi="仿宋" w:eastAsia="仿宋" w:cs="仿宋"/>
          <w:sz w:val="36"/>
          <w:szCs w:val="36"/>
        </w:rPr>
      </w:pPr>
    </w:p>
    <w:p>
      <w:pPr>
        <w:pStyle w:val="14"/>
        <w:ind w:firstLine="31680"/>
        <w:jc w:val="center"/>
        <w:rPr>
          <w:rFonts w:ascii="仿宋" w:hAnsi="仿宋" w:eastAsia="仿宋" w:cs="仿宋"/>
          <w:sz w:val="36"/>
          <w:szCs w:val="36"/>
        </w:rPr>
      </w:pPr>
    </w:p>
    <w:p>
      <w:pPr>
        <w:pStyle w:val="14"/>
        <w:ind w:firstLine="0" w:firstLineChars="0"/>
        <w:rPr>
          <w:rFonts w:ascii="仿宋" w:hAnsi="仿宋" w:eastAsia="仿宋" w:cs="仿宋"/>
          <w:sz w:val="36"/>
          <w:szCs w:val="36"/>
        </w:rPr>
      </w:pPr>
    </w:p>
    <w:p>
      <w:pPr>
        <w:ind w:firstLine="31680"/>
        <w:jc w:val="center"/>
      </w:pPr>
    </w:p>
    <w:p>
      <w:pPr>
        <w:pStyle w:val="2"/>
        <w:ind w:firstLine="31680"/>
      </w:pPr>
    </w:p>
    <w:p>
      <w:pPr>
        <w:ind w:firstLine="31680"/>
        <w:jc w:val="center"/>
      </w:pPr>
    </w:p>
    <w:p>
      <w:pPr>
        <w:ind w:firstLine="0" w:firstLineChars="0"/>
        <w:jc w:val="center"/>
        <w:rPr>
          <w:rFonts w:ascii="KaiTi_GB2312" w:eastAsia="Times New Roman" w:cs="KaiTi_GB2312"/>
          <w:bCs/>
          <w:sz w:val="36"/>
          <w:szCs w:val="36"/>
        </w:rPr>
      </w:pPr>
      <w:r>
        <w:rPr>
          <w:rFonts w:hint="eastAsia" w:ascii="KaiTi_GB2312" w:hAnsi="KaiTi_GB2312" w:cs="KaiTi_GB2312"/>
          <w:bCs/>
          <w:sz w:val="36"/>
          <w:szCs w:val="36"/>
        </w:rPr>
        <w:t>永修</w:t>
      </w:r>
      <w:r>
        <w:rPr>
          <w:rFonts w:hint="eastAsia" w:ascii="宋体" w:hAnsi="宋体" w:eastAsia="宋体" w:cs="宋体"/>
          <w:bCs/>
          <w:sz w:val="36"/>
          <w:szCs w:val="36"/>
        </w:rPr>
        <w:t>县</w:t>
      </w:r>
      <w:r>
        <w:rPr>
          <w:rFonts w:hint="eastAsia" w:ascii="KaiTi_GB2312" w:hAnsi="KaiTi_GB2312" w:cs="KaiTi_GB2312"/>
          <w:bCs/>
          <w:sz w:val="36"/>
          <w:szCs w:val="36"/>
        </w:rPr>
        <w:t>人民政府</w:t>
      </w:r>
    </w:p>
    <w:p>
      <w:pPr>
        <w:ind w:firstLine="0" w:firstLineChars="0"/>
        <w:jc w:val="center"/>
        <w:rPr>
          <w:rFonts w:ascii="KaiTi_GB2312" w:eastAsia="Times New Roman" w:cs="KaiTi_GB2312"/>
          <w:bCs/>
          <w:sz w:val="36"/>
          <w:szCs w:val="36"/>
        </w:rPr>
      </w:pPr>
      <w:r>
        <w:rPr>
          <w:rFonts w:hint="eastAsia" w:ascii="KaiTi_GB2312" w:hAnsi="KaiTi_GB2312" w:cs="KaiTi_GB2312"/>
          <w:bCs/>
          <w:sz w:val="36"/>
          <w:szCs w:val="36"/>
        </w:rPr>
        <w:t>二〇二一年一月</w:t>
      </w:r>
    </w:p>
    <w:p>
      <w:pPr>
        <w:pStyle w:val="2"/>
        <w:ind w:firstLine="31680"/>
        <w:rPr>
          <w:rFonts w:ascii="KaiTi_GB2312" w:eastAsia="Times New Roman" w:cs="KaiTi_GB2312"/>
          <w:bCs/>
          <w:sz w:val="36"/>
          <w:szCs w:val="36"/>
        </w:rPr>
      </w:pPr>
    </w:p>
    <w:p>
      <w:pPr>
        <w:spacing w:line="560" w:lineRule="exact"/>
        <w:ind w:firstLine="31680"/>
        <w:jc w:val="center"/>
        <w:rPr>
          <w:rFonts w:ascii="黑体" w:hAnsi="黑体" w:eastAsia="黑体" w:cs="黑体"/>
          <w:b/>
          <w:bCs/>
          <w:sz w:val="36"/>
          <w:szCs w:val="36"/>
        </w:rPr>
      </w:pPr>
      <w:r>
        <w:rPr>
          <w:rFonts w:hint="eastAsia" w:ascii="黑体" w:hAnsi="黑体" w:eastAsia="黑体" w:cs="黑体"/>
          <w:b/>
          <w:bCs/>
          <w:sz w:val="36"/>
          <w:szCs w:val="36"/>
        </w:rPr>
        <w:t>说</w:t>
      </w:r>
      <w:r>
        <w:rPr>
          <w:rFonts w:ascii="黑体" w:hAnsi="黑体" w:eastAsia="黑体" w:cs="黑体"/>
          <w:b/>
          <w:bCs/>
          <w:sz w:val="36"/>
          <w:szCs w:val="36"/>
        </w:rPr>
        <w:t xml:space="preserve">   </w:t>
      </w:r>
      <w:r>
        <w:rPr>
          <w:rFonts w:hint="eastAsia" w:ascii="黑体" w:hAnsi="黑体" w:eastAsia="黑体" w:cs="黑体"/>
          <w:b/>
          <w:bCs/>
          <w:sz w:val="36"/>
          <w:szCs w:val="36"/>
        </w:rPr>
        <w:t>明</w:t>
      </w:r>
    </w:p>
    <w:p>
      <w:pPr>
        <w:widowControl/>
        <w:snapToGrid w:val="0"/>
        <w:ind w:firstLine="31680"/>
        <w:jc w:val="center"/>
        <w:rPr>
          <w:rFonts w:ascii="仿宋_GB2312" w:cs="宋体"/>
          <w:kern w:val="0"/>
          <w:szCs w:val="32"/>
        </w:rPr>
      </w:pPr>
    </w:p>
    <w:p>
      <w:pPr>
        <w:ind w:firstLine="31680"/>
        <w:rPr>
          <w:rFonts w:ascii="仿宋_GB2312" w:hAnsi="仿宋_GB2312" w:eastAsia="仿宋_GB2312" w:cs="仿宋_GB2312"/>
          <w:szCs w:val="32"/>
        </w:rPr>
      </w:pPr>
      <w:bookmarkStart w:id="0" w:name="_Toc277057856"/>
      <w:r>
        <w:rPr>
          <w:rFonts w:ascii="仿宋_GB2312" w:hAnsi="仿宋_GB2312" w:eastAsia="仿宋_GB2312" w:cs="仿宋_GB2312"/>
          <w:szCs w:val="32"/>
        </w:rPr>
        <w:t>1.</w:t>
      </w:r>
      <w:r>
        <w:rPr>
          <w:rFonts w:hint="eastAsia" w:ascii="仿宋_GB2312" w:hAnsi="仿宋_GB2312" w:eastAsia="仿宋_GB2312" w:cs="仿宋_GB2312"/>
          <w:szCs w:val="32"/>
        </w:rPr>
        <w:t>本《草案》有关统计数据均来自永修县统计年鉴</w:t>
      </w:r>
      <w:bookmarkEnd w:id="0"/>
      <w:bookmarkStart w:id="1" w:name="_Toc277057857"/>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本《草案》提出的发展目标，是以永修县统计局历年统计数</w:t>
      </w:r>
      <w:bookmarkEnd w:id="1"/>
      <w:bookmarkStart w:id="2" w:name="_Toc277057858"/>
      <w:r>
        <w:rPr>
          <w:rFonts w:hint="eastAsia" w:ascii="仿宋_GB2312" w:hAnsi="仿宋_GB2312" w:eastAsia="仿宋_GB2312" w:cs="仿宋_GB2312"/>
          <w:szCs w:val="32"/>
        </w:rPr>
        <w:t>据为基数，进行综合测算得出的。需要说明的是，绝大部分指标以</w:t>
      </w:r>
      <w:r>
        <w:rPr>
          <w:rFonts w:ascii="仿宋_GB2312" w:hAnsi="仿宋_GB2312" w:eastAsia="仿宋_GB2312" w:cs="仿宋_GB2312"/>
          <w:szCs w:val="32"/>
        </w:rPr>
        <w:t>2020</w:t>
      </w:r>
      <w:r>
        <w:rPr>
          <w:rFonts w:hint="eastAsia" w:ascii="仿宋_GB2312" w:hAnsi="仿宋_GB2312" w:eastAsia="仿宋_GB2312" w:cs="仿宋_GB2312"/>
          <w:szCs w:val="32"/>
        </w:rPr>
        <w:t>年统计数为基数</w:t>
      </w:r>
      <w:bookmarkEnd w:id="2"/>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bookmarkStart w:id="3" w:name="_Toc277057859"/>
      <w:r>
        <w:rPr>
          <w:rFonts w:ascii="仿宋_GB2312" w:hAnsi="仿宋_GB2312" w:eastAsia="仿宋_GB2312" w:cs="仿宋_GB2312"/>
          <w:szCs w:val="32"/>
        </w:rPr>
        <w:t>3.</w:t>
      </w:r>
      <w:r>
        <w:rPr>
          <w:rFonts w:hint="eastAsia" w:ascii="仿宋_GB2312" w:hAnsi="仿宋_GB2312" w:eastAsia="仿宋_GB2312" w:cs="仿宋_GB2312"/>
          <w:szCs w:val="32"/>
        </w:rPr>
        <w:t>本《草案》提出的主要发展任务建议，是在实地调研、科学分析各部门历年统计资料基础上提出的；</w:t>
      </w:r>
      <w:bookmarkEnd w:id="3"/>
      <w:bookmarkStart w:id="4" w:name="_Toc277057860"/>
    </w:p>
    <w:p>
      <w:pPr>
        <w:ind w:firstLine="31680"/>
        <w:rPr>
          <w:rFonts w:ascii="仿宋_GB2312" w:hAnsi="仿宋_GB2312" w:eastAsia="仿宋_GB2312" w:cs="仿宋_GB2312"/>
          <w:szCs w:val="32"/>
        </w:rPr>
      </w:pPr>
      <w:r>
        <w:rPr>
          <w:rFonts w:ascii="仿宋_GB2312" w:hAnsi="仿宋_GB2312" w:eastAsia="仿宋_GB2312" w:cs="仿宋_GB2312"/>
          <w:szCs w:val="32"/>
        </w:rPr>
        <w:t>4.</w:t>
      </w:r>
      <w:r>
        <w:rPr>
          <w:rFonts w:hint="eastAsia" w:ascii="仿宋_GB2312" w:hAnsi="仿宋_GB2312" w:eastAsia="仿宋_GB2312" w:cs="仿宋_GB2312"/>
          <w:szCs w:val="32"/>
        </w:rPr>
        <w:t>随着永修县</w:t>
      </w:r>
      <w:r>
        <w:rPr>
          <w:rFonts w:ascii="仿宋_GB2312" w:hAnsi="仿宋_GB2312" w:eastAsia="仿宋_GB2312" w:cs="仿宋_GB2312"/>
          <w:szCs w:val="32"/>
        </w:rPr>
        <w:t>2020</w:t>
      </w:r>
      <w:r>
        <w:rPr>
          <w:rFonts w:hint="eastAsia" w:ascii="仿宋_GB2312" w:hAnsi="仿宋_GB2312" w:eastAsia="仿宋_GB2312" w:cs="仿宋_GB2312"/>
          <w:szCs w:val="32"/>
        </w:rPr>
        <w:t>年统计数据的正式公布，并结合永修县</w:t>
      </w:r>
      <w:r>
        <w:rPr>
          <w:rFonts w:ascii="仿宋_GB2312" w:hAnsi="仿宋_GB2312" w:eastAsia="仿宋_GB2312" w:cs="仿宋_GB2312"/>
          <w:szCs w:val="32"/>
        </w:rPr>
        <w:t>2021</w:t>
      </w:r>
      <w:r>
        <w:rPr>
          <w:rFonts w:hint="eastAsia" w:ascii="仿宋_GB2312" w:hAnsi="仿宋_GB2312" w:eastAsia="仿宋_GB2312" w:cs="仿宋_GB2312"/>
          <w:szCs w:val="32"/>
        </w:rPr>
        <w:t>年的经济走势，《永修县国民经济和社会发展第十四个五年规划和二〇三五年远景目标纲要（草案）》定稿中的主要指标会略有调整；</w:t>
      </w:r>
    </w:p>
    <w:p>
      <w:pPr>
        <w:ind w:firstLine="31680"/>
        <w:rPr>
          <w:rFonts w:ascii="仿宋_GB2312" w:hAnsi="仿宋_GB2312" w:eastAsia="仿宋_GB2312" w:cs="仿宋_GB2312"/>
          <w:szCs w:val="32"/>
        </w:rPr>
      </w:pPr>
      <w:r>
        <w:rPr>
          <w:rFonts w:ascii="仿宋_GB2312" w:hAnsi="仿宋_GB2312" w:eastAsia="仿宋_GB2312" w:cs="仿宋_GB2312"/>
          <w:szCs w:val="32"/>
        </w:rPr>
        <w:t>5.</w:t>
      </w:r>
      <w:r>
        <w:rPr>
          <w:rFonts w:hint="eastAsia" w:ascii="仿宋_GB2312" w:hAnsi="仿宋_GB2312" w:eastAsia="仿宋_GB2312" w:cs="仿宋_GB2312"/>
          <w:szCs w:val="32"/>
        </w:rPr>
        <w:t>由于数据、资料有限，加之时间仓促，本《草案》难免存在个别数据、资料失实现象，恳请批评指正。</w:t>
      </w:r>
      <w:bookmarkEnd w:id="4"/>
    </w:p>
    <w:p>
      <w:pPr>
        <w:ind w:firstLine="31680"/>
      </w:pPr>
    </w:p>
    <w:p>
      <w:pPr>
        <w:ind w:firstLine="31680"/>
      </w:pPr>
    </w:p>
    <w:p>
      <w:pPr>
        <w:ind w:firstLine="31680"/>
        <w:rPr>
          <w:rFonts w:ascii="黑体" w:hAnsi="黑体" w:eastAsia="黑体" w:cs="黑体"/>
          <w:b/>
          <w:bCs/>
        </w:rPr>
      </w:pPr>
      <w:r>
        <w:rPr>
          <w:rFonts w:ascii="黑体" w:hAnsi="黑体" w:eastAsia="黑体" w:cs="黑体"/>
          <w:b/>
          <w:bCs/>
        </w:rPr>
        <w:br w:type="page"/>
      </w:r>
    </w:p>
    <w:p>
      <w:pPr>
        <w:spacing w:line="560" w:lineRule="exact"/>
        <w:ind w:firstLine="31680"/>
        <w:jc w:val="center"/>
        <w:rPr>
          <w:rFonts w:ascii="黑体" w:hAnsi="黑体" w:eastAsia="黑体" w:cs="黑体"/>
          <w:b/>
          <w:bCs/>
          <w:sz w:val="36"/>
          <w:szCs w:val="36"/>
        </w:rPr>
      </w:pPr>
      <w:r>
        <w:rPr>
          <w:rFonts w:hint="eastAsia" w:ascii="黑体" w:hAnsi="黑体" w:eastAsia="黑体" w:cs="黑体"/>
          <w:b/>
          <w:bCs/>
          <w:sz w:val="36"/>
          <w:szCs w:val="36"/>
        </w:rPr>
        <w:t>目</w:t>
      </w:r>
      <w:r>
        <w:rPr>
          <w:rFonts w:ascii="黑体" w:hAnsi="黑体" w:eastAsia="黑体" w:cs="黑体"/>
          <w:b/>
          <w:bCs/>
          <w:sz w:val="36"/>
          <w:szCs w:val="36"/>
        </w:rPr>
        <w:t xml:space="preserve"> </w:t>
      </w:r>
      <w:r>
        <w:rPr>
          <w:rFonts w:hint="eastAsia" w:ascii="黑体" w:hAnsi="黑体" w:eastAsia="黑体" w:cs="黑体"/>
          <w:b/>
          <w:bCs/>
          <w:sz w:val="36"/>
          <w:szCs w:val="36"/>
        </w:rPr>
        <w:t>录</w:t>
      </w:r>
    </w:p>
    <w:p>
      <w:pPr>
        <w:pStyle w:val="15"/>
        <w:ind w:firstLine="31680"/>
      </w:pPr>
    </w:p>
    <w:p>
      <w:pPr>
        <w:pStyle w:val="10"/>
        <w:tabs>
          <w:tab w:val="right" w:leader="dot" w:pos="8306"/>
        </w:tabs>
      </w:pP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TOC \o "1-3" \h \u </w:instrText>
      </w:r>
      <w:r>
        <w:rPr>
          <w:rFonts w:ascii="仿宋_GB2312" w:hAnsi="仿宋_GB2312" w:eastAsia="仿宋_GB2312" w:cs="仿宋_GB2312"/>
          <w:sz w:val="32"/>
          <w:szCs w:val="32"/>
        </w:rPr>
        <w:fldChar w:fldCharType="separate"/>
      </w:r>
      <w:r>
        <w:fldChar w:fldCharType="begin"/>
      </w:r>
      <w:r>
        <w:instrText xml:space="preserve"> HYPERLINK \l "_Toc1107" </w:instrText>
      </w:r>
      <w:r>
        <w:fldChar w:fldCharType="separate"/>
      </w:r>
      <w:r>
        <w:rPr>
          <w:rFonts w:hint="eastAsia"/>
        </w:rPr>
        <w:t>第一章</w:t>
      </w:r>
      <w:r>
        <w:t xml:space="preserve"> </w:t>
      </w:r>
      <w:r>
        <w:rPr>
          <w:rFonts w:hint="eastAsia"/>
        </w:rPr>
        <w:t>开启全面建设社会主义现代化永修新征程</w:t>
      </w:r>
      <w:r>
        <w:tab/>
      </w:r>
      <w:r>
        <w:fldChar w:fldCharType="end"/>
      </w:r>
    </w:p>
    <w:p>
      <w:pPr>
        <w:pStyle w:val="11"/>
        <w:tabs>
          <w:tab w:val="right" w:leader="dot" w:pos="8306"/>
        </w:tabs>
        <w:ind w:left="31680"/>
      </w:pPr>
      <w:r>
        <w:fldChar w:fldCharType="begin"/>
      </w:r>
      <w:r>
        <w:instrText xml:space="preserve"> HYPERLINK \l "_Toc15874" </w:instrText>
      </w:r>
      <w:r>
        <w:fldChar w:fldCharType="separate"/>
      </w:r>
      <w:r>
        <w:rPr>
          <w:rFonts w:hint="eastAsia"/>
        </w:rPr>
        <w:t>第一节</w:t>
      </w:r>
      <w:r>
        <w:t xml:space="preserve"> </w:t>
      </w:r>
      <w:r>
        <w:rPr>
          <w:rFonts w:hint="eastAsia"/>
        </w:rPr>
        <w:t>发展基础</w:t>
      </w:r>
      <w:r>
        <w:tab/>
      </w:r>
      <w:r>
        <w:fldChar w:fldCharType="end"/>
      </w:r>
    </w:p>
    <w:p>
      <w:pPr>
        <w:pStyle w:val="11"/>
        <w:tabs>
          <w:tab w:val="right" w:leader="dot" w:pos="8306"/>
        </w:tabs>
        <w:ind w:left="31680"/>
      </w:pPr>
      <w:r>
        <w:fldChar w:fldCharType="begin"/>
      </w:r>
      <w:r>
        <w:instrText xml:space="preserve"> HYPERLINK \l "_Toc10879" </w:instrText>
      </w:r>
      <w:r>
        <w:fldChar w:fldCharType="separate"/>
      </w:r>
      <w:r>
        <w:rPr>
          <w:rFonts w:hint="eastAsia"/>
        </w:rPr>
        <w:t>第二节</w:t>
      </w:r>
      <w:r>
        <w:t xml:space="preserve"> </w:t>
      </w:r>
      <w:r>
        <w:rPr>
          <w:rFonts w:hint="eastAsia"/>
        </w:rPr>
        <w:t>发展环境</w:t>
      </w:r>
      <w:r>
        <w:tab/>
      </w:r>
      <w:r>
        <w:fldChar w:fldCharType="end"/>
      </w:r>
    </w:p>
    <w:p>
      <w:pPr>
        <w:pStyle w:val="11"/>
        <w:tabs>
          <w:tab w:val="right" w:leader="dot" w:pos="8306"/>
        </w:tabs>
        <w:ind w:left="31680"/>
      </w:pPr>
      <w:r>
        <w:fldChar w:fldCharType="begin"/>
      </w:r>
      <w:r>
        <w:instrText xml:space="preserve"> HYPERLINK \l "_Toc10459" </w:instrText>
      </w:r>
      <w:r>
        <w:fldChar w:fldCharType="separate"/>
      </w:r>
      <w:r>
        <w:rPr>
          <w:rFonts w:hint="eastAsia"/>
        </w:rPr>
        <w:t>第三节</w:t>
      </w:r>
      <w:r>
        <w:t xml:space="preserve"> </w:t>
      </w:r>
      <w:r>
        <w:rPr>
          <w:rFonts w:hint="eastAsia"/>
        </w:rPr>
        <w:t>总体要求</w:t>
      </w:r>
      <w:r>
        <w:tab/>
      </w:r>
      <w:r>
        <w:fldChar w:fldCharType="end"/>
      </w:r>
    </w:p>
    <w:p>
      <w:pPr>
        <w:pStyle w:val="11"/>
        <w:tabs>
          <w:tab w:val="right" w:leader="dot" w:pos="8306"/>
        </w:tabs>
        <w:ind w:left="31680"/>
      </w:pPr>
      <w:r>
        <w:fldChar w:fldCharType="begin"/>
      </w:r>
      <w:r>
        <w:instrText xml:space="preserve"> HYPERLINK \l "_Toc28923" </w:instrText>
      </w:r>
      <w:r>
        <w:fldChar w:fldCharType="separate"/>
      </w:r>
      <w:r>
        <w:rPr>
          <w:rFonts w:hint="eastAsia"/>
        </w:rPr>
        <w:t>第四节</w:t>
      </w:r>
      <w:r>
        <w:t xml:space="preserve"> </w:t>
      </w:r>
      <w:r>
        <w:rPr>
          <w:rFonts w:hint="eastAsia"/>
        </w:rPr>
        <w:t>发展目标</w:t>
      </w:r>
      <w:r>
        <w:tab/>
      </w:r>
      <w:r>
        <w:fldChar w:fldCharType="end"/>
      </w:r>
    </w:p>
    <w:p>
      <w:pPr>
        <w:pStyle w:val="10"/>
        <w:tabs>
          <w:tab w:val="right" w:leader="dot" w:pos="8306"/>
        </w:tabs>
      </w:pPr>
      <w:r>
        <w:fldChar w:fldCharType="begin"/>
      </w:r>
      <w:r>
        <w:instrText xml:space="preserve"> HYPERLINK \l "_Toc25329" </w:instrText>
      </w:r>
      <w:r>
        <w:fldChar w:fldCharType="separate"/>
      </w:r>
      <w:r>
        <w:rPr>
          <w:rFonts w:hint="eastAsia"/>
        </w:rPr>
        <w:t>第二章</w:t>
      </w:r>
      <w:r>
        <w:t xml:space="preserve"> </w:t>
      </w:r>
      <w:r>
        <w:rPr>
          <w:rFonts w:hint="eastAsia"/>
        </w:rPr>
        <w:t>深入实施创新驱动战略，培育高质量发展新动能</w:t>
      </w:r>
      <w:r>
        <w:tab/>
      </w:r>
      <w:r>
        <w:fldChar w:fldCharType="end"/>
      </w:r>
    </w:p>
    <w:p>
      <w:pPr>
        <w:pStyle w:val="11"/>
        <w:tabs>
          <w:tab w:val="right" w:leader="dot" w:pos="8306"/>
        </w:tabs>
        <w:ind w:left="31680"/>
      </w:pPr>
      <w:r>
        <w:fldChar w:fldCharType="begin"/>
      </w:r>
      <w:r>
        <w:instrText xml:space="preserve"> HYPERLINK \l "_Toc12868" </w:instrText>
      </w:r>
      <w:r>
        <w:fldChar w:fldCharType="separate"/>
      </w:r>
      <w:r>
        <w:rPr>
          <w:rFonts w:hint="eastAsia"/>
        </w:rPr>
        <w:t>第一节</w:t>
      </w:r>
      <w:r>
        <w:t xml:space="preserve"> </w:t>
      </w:r>
      <w:r>
        <w:rPr>
          <w:rFonts w:hint="eastAsia"/>
        </w:rPr>
        <w:t>引进和培育高素质人才</w:t>
      </w:r>
      <w:r>
        <w:tab/>
      </w:r>
      <w:r>
        <w:fldChar w:fldCharType="end"/>
      </w:r>
    </w:p>
    <w:p>
      <w:pPr>
        <w:pStyle w:val="11"/>
        <w:tabs>
          <w:tab w:val="right" w:leader="dot" w:pos="8306"/>
        </w:tabs>
        <w:ind w:left="31680"/>
      </w:pPr>
      <w:r>
        <w:fldChar w:fldCharType="begin"/>
      </w:r>
      <w:r>
        <w:instrText xml:space="preserve"> HYPERLINK \l "_Toc2072" </w:instrText>
      </w:r>
      <w:r>
        <w:fldChar w:fldCharType="separate"/>
      </w:r>
      <w:r>
        <w:rPr>
          <w:rFonts w:hint="eastAsia"/>
        </w:rPr>
        <w:t>第二节</w:t>
      </w:r>
      <w:r>
        <w:t xml:space="preserve"> </w:t>
      </w:r>
      <w:r>
        <w:rPr>
          <w:rFonts w:hint="eastAsia"/>
        </w:rPr>
        <w:t>加强自主创新能力建设</w:t>
      </w:r>
      <w:r>
        <w:tab/>
      </w:r>
      <w:r>
        <w:fldChar w:fldCharType="end"/>
      </w:r>
    </w:p>
    <w:p>
      <w:pPr>
        <w:pStyle w:val="11"/>
        <w:tabs>
          <w:tab w:val="right" w:leader="dot" w:pos="8306"/>
        </w:tabs>
        <w:ind w:left="31680"/>
      </w:pPr>
      <w:r>
        <w:fldChar w:fldCharType="begin"/>
      </w:r>
      <w:r>
        <w:instrText xml:space="preserve"> HYPERLINK \l "_Toc24804" </w:instrText>
      </w:r>
      <w:r>
        <w:fldChar w:fldCharType="separate"/>
      </w:r>
      <w:r>
        <w:rPr>
          <w:rFonts w:hint="eastAsia"/>
        </w:rPr>
        <w:t>第三节</w:t>
      </w:r>
      <w:r>
        <w:t xml:space="preserve"> </w:t>
      </w:r>
      <w:r>
        <w:rPr>
          <w:rFonts w:hint="eastAsia"/>
        </w:rPr>
        <w:t>加快搭建科技创新平台</w:t>
      </w:r>
      <w:r>
        <w:tab/>
      </w:r>
      <w:r>
        <w:fldChar w:fldCharType="end"/>
      </w:r>
    </w:p>
    <w:p>
      <w:pPr>
        <w:pStyle w:val="11"/>
        <w:tabs>
          <w:tab w:val="right" w:leader="dot" w:pos="8306"/>
        </w:tabs>
        <w:ind w:left="31680"/>
      </w:pPr>
      <w:r>
        <w:fldChar w:fldCharType="begin"/>
      </w:r>
      <w:r>
        <w:instrText xml:space="preserve"> HYPERLINK \l "_Toc5786" </w:instrText>
      </w:r>
      <w:r>
        <w:fldChar w:fldCharType="separate"/>
      </w:r>
      <w:r>
        <w:rPr>
          <w:rFonts w:hint="eastAsia"/>
        </w:rPr>
        <w:t>第四节</w:t>
      </w:r>
      <w:r>
        <w:t xml:space="preserve"> </w:t>
      </w:r>
      <w:r>
        <w:rPr>
          <w:rFonts w:hint="eastAsia"/>
        </w:rPr>
        <w:t>营造良好创新生态环境</w:t>
      </w:r>
      <w:r>
        <w:tab/>
      </w:r>
      <w:r>
        <w:fldChar w:fldCharType="end"/>
      </w:r>
    </w:p>
    <w:p>
      <w:pPr>
        <w:pStyle w:val="10"/>
        <w:tabs>
          <w:tab w:val="right" w:leader="dot" w:pos="8306"/>
        </w:tabs>
      </w:pPr>
      <w:r>
        <w:fldChar w:fldCharType="begin"/>
      </w:r>
      <w:r>
        <w:instrText xml:space="preserve"> HYPERLINK \l "_Toc2135" </w:instrText>
      </w:r>
      <w:r>
        <w:fldChar w:fldCharType="separate"/>
      </w:r>
      <w:r>
        <w:rPr>
          <w:rFonts w:hint="eastAsia"/>
        </w:rPr>
        <w:t>第三章</w:t>
      </w:r>
      <w:r>
        <w:t xml:space="preserve"> </w:t>
      </w:r>
      <w:r>
        <w:rPr>
          <w:rFonts w:hint="eastAsia"/>
        </w:rPr>
        <w:t>构建现代化产业体系，推动县域经济再上新台阶</w:t>
      </w:r>
      <w:r>
        <w:tab/>
      </w:r>
      <w:r>
        <w:fldChar w:fldCharType="end"/>
      </w:r>
    </w:p>
    <w:p>
      <w:pPr>
        <w:pStyle w:val="11"/>
        <w:tabs>
          <w:tab w:val="right" w:leader="dot" w:pos="8306"/>
        </w:tabs>
        <w:ind w:left="31680"/>
      </w:pPr>
      <w:r>
        <w:fldChar w:fldCharType="begin"/>
      </w:r>
      <w:r>
        <w:instrText xml:space="preserve"> HYPERLINK \l "_Toc16628" </w:instrText>
      </w:r>
      <w:r>
        <w:fldChar w:fldCharType="separate"/>
      </w:r>
      <w:r>
        <w:rPr>
          <w:rFonts w:hint="eastAsia"/>
        </w:rPr>
        <w:t>第一节</w:t>
      </w:r>
      <w:r>
        <w:t xml:space="preserve"> </w:t>
      </w:r>
      <w:r>
        <w:rPr>
          <w:rFonts w:hint="eastAsia"/>
        </w:rPr>
        <w:t>塑造永修制造新优势</w:t>
      </w:r>
      <w:r>
        <w:tab/>
      </w:r>
      <w:r>
        <w:fldChar w:fldCharType="end"/>
      </w:r>
    </w:p>
    <w:p>
      <w:pPr>
        <w:pStyle w:val="11"/>
        <w:tabs>
          <w:tab w:val="right" w:leader="dot" w:pos="8306"/>
        </w:tabs>
        <w:ind w:left="31680"/>
      </w:pPr>
      <w:r>
        <w:fldChar w:fldCharType="begin"/>
      </w:r>
      <w:r>
        <w:instrText xml:space="preserve"> HYPERLINK \l "_Toc23122" </w:instrText>
      </w:r>
      <w:r>
        <w:fldChar w:fldCharType="separate"/>
      </w:r>
      <w:r>
        <w:rPr>
          <w:rFonts w:hint="eastAsia"/>
        </w:rPr>
        <w:t>第二节</w:t>
      </w:r>
      <w:r>
        <w:t xml:space="preserve"> </w:t>
      </w:r>
      <w:r>
        <w:rPr>
          <w:rFonts w:hint="eastAsia"/>
        </w:rPr>
        <w:t>全面实施数字经济“一号工程”</w:t>
      </w:r>
      <w:r>
        <w:tab/>
      </w:r>
      <w:r>
        <w:fldChar w:fldCharType="end"/>
      </w:r>
    </w:p>
    <w:p>
      <w:pPr>
        <w:pStyle w:val="11"/>
        <w:tabs>
          <w:tab w:val="right" w:leader="dot" w:pos="8306"/>
        </w:tabs>
        <w:ind w:left="31680"/>
      </w:pPr>
      <w:r>
        <w:fldChar w:fldCharType="begin"/>
      </w:r>
      <w:r>
        <w:instrText xml:space="preserve"> HYPERLINK \l "_Toc16008" </w:instrText>
      </w:r>
      <w:r>
        <w:fldChar w:fldCharType="separate"/>
      </w:r>
      <w:r>
        <w:rPr>
          <w:rFonts w:hint="eastAsia"/>
        </w:rPr>
        <w:t>第三节</w:t>
      </w:r>
      <w:r>
        <w:t xml:space="preserve"> </w:t>
      </w:r>
      <w:r>
        <w:rPr>
          <w:rFonts w:hint="eastAsia"/>
        </w:rPr>
        <w:t>擦亮永修全域旅游新名片</w:t>
      </w:r>
      <w:r>
        <w:tab/>
      </w:r>
      <w:r>
        <w:fldChar w:fldCharType="end"/>
      </w:r>
    </w:p>
    <w:p>
      <w:pPr>
        <w:pStyle w:val="11"/>
        <w:tabs>
          <w:tab w:val="right" w:leader="dot" w:pos="8306"/>
        </w:tabs>
        <w:ind w:left="31680"/>
      </w:pPr>
      <w:r>
        <w:fldChar w:fldCharType="begin"/>
      </w:r>
      <w:r>
        <w:instrText xml:space="preserve"> HYPERLINK \l "_Toc21287" </w:instrText>
      </w:r>
      <w:r>
        <w:fldChar w:fldCharType="separate"/>
      </w:r>
      <w:r>
        <w:rPr>
          <w:rFonts w:hint="eastAsia"/>
        </w:rPr>
        <w:t>第四节</w:t>
      </w:r>
      <w:r>
        <w:t xml:space="preserve"> </w:t>
      </w:r>
      <w:r>
        <w:rPr>
          <w:rFonts w:hint="eastAsia"/>
        </w:rPr>
        <w:t>做大做优现代服务业</w:t>
      </w:r>
      <w:r>
        <w:tab/>
      </w:r>
      <w:r>
        <w:fldChar w:fldCharType="end"/>
      </w:r>
    </w:p>
    <w:p>
      <w:pPr>
        <w:pStyle w:val="11"/>
        <w:tabs>
          <w:tab w:val="right" w:leader="dot" w:pos="8306"/>
        </w:tabs>
        <w:ind w:left="31680"/>
      </w:pPr>
      <w:r>
        <w:fldChar w:fldCharType="begin"/>
      </w:r>
      <w:r>
        <w:instrText xml:space="preserve"> HYPERLINK \l "_Toc6896" </w:instrText>
      </w:r>
      <w:r>
        <w:fldChar w:fldCharType="separate"/>
      </w:r>
      <w:r>
        <w:rPr>
          <w:rFonts w:hint="eastAsia"/>
        </w:rPr>
        <w:t>第五节</w:t>
      </w:r>
      <w:r>
        <w:t xml:space="preserve"> </w:t>
      </w:r>
      <w:r>
        <w:rPr>
          <w:rFonts w:hint="eastAsia"/>
        </w:rPr>
        <w:t>打造高水平现代化产业发展平台</w:t>
      </w:r>
      <w:r>
        <w:tab/>
      </w:r>
      <w:r>
        <w:fldChar w:fldCharType="end"/>
      </w:r>
    </w:p>
    <w:p>
      <w:pPr>
        <w:pStyle w:val="10"/>
        <w:tabs>
          <w:tab w:val="right" w:leader="dot" w:pos="8306"/>
        </w:tabs>
      </w:pPr>
      <w:r>
        <w:fldChar w:fldCharType="begin"/>
      </w:r>
      <w:r>
        <w:instrText xml:space="preserve"> HYPERLINK \l "_Toc5719" </w:instrText>
      </w:r>
      <w:r>
        <w:fldChar w:fldCharType="separate"/>
      </w:r>
      <w:r>
        <w:rPr>
          <w:rFonts w:hint="eastAsia"/>
          <w:szCs w:val="36"/>
        </w:rPr>
        <w:t>第四章</w:t>
      </w:r>
      <w:r>
        <w:rPr>
          <w:szCs w:val="36"/>
        </w:rPr>
        <w:t xml:space="preserve"> </w:t>
      </w:r>
      <w:r>
        <w:rPr>
          <w:rFonts w:hint="eastAsia"/>
          <w:szCs w:val="36"/>
        </w:rPr>
        <w:t>坚定实施扩大内需战略，主动融入发展新格局</w:t>
      </w:r>
      <w:r>
        <w:tab/>
      </w:r>
      <w:r>
        <w:fldChar w:fldCharType="end"/>
      </w:r>
    </w:p>
    <w:p>
      <w:pPr>
        <w:pStyle w:val="11"/>
        <w:tabs>
          <w:tab w:val="right" w:leader="dot" w:pos="8306"/>
        </w:tabs>
        <w:ind w:left="31680"/>
      </w:pPr>
      <w:r>
        <w:fldChar w:fldCharType="begin"/>
      </w:r>
      <w:r>
        <w:instrText xml:space="preserve"> HYPERLINK \l "_Toc16591" </w:instrText>
      </w:r>
      <w:r>
        <w:fldChar w:fldCharType="separate"/>
      </w:r>
      <w:r>
        <w:rPr>
          <w:rFonts w:hint="eastAsia" w:ascii="楷体" w:hAnsi="楷体" w:cs="楷体"/>
          <w:szCs w:val="32"/>
        </w:rPr>
        <w:t>第一节</w:t>
      </w:r>
      <w:r>
        <w:rPr>
          <w:rFonts w:ascii="楷体" w:hAnsi="楷体" w:cs="楷体"/>
          <w:szCs w:val="32"/>
        </w:rPr>
        <w:t xml:space="preserve"> </w:t>
      </w:r>
      <w:r>
        <w:rPr>
          <w:rFonts w:hint="eastAsia" w:ascii="楷体" w:hAnsi="楷体" w:cs="楷体"/>
          <w:szCs w:val="32"/>
        </w:rPr>
        <w:t>积极对接融入国家战略</w:t>
      </w:r>
      <w:r>
        <w:tab/>
      </w:r>
      <w:r>
        <w:fldChar w:fldCharType="end"/>
      </w:r>
    </w:p>
    <w:p>
      <w:pPr>
        <w:pStyle w:val="11"/>
        <w:tabs>
          <w:tab w:val="right" w:leader="dot" w:pos="8306"/>
        </w:tabs>
        <w:ind w:left="31680"/>
      </w:pPr>
      <w:r>
        <w:fldChar w:fldCharType="begin"/>
      </w:r>
      <w:r>
        <w:instrText xml:space="preserve"> HYPERLINK \l "_Toc27787"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全力拓展有效投资空间</w:t>
      </w:r>
      <w:r>
        <w:tab/>
      </w:r>
      <w:r>
        <w:fldChar w:fldCharType="end"/>
      </w:r>
    </w:p>
    <w:p>
      <w:pPr>
        <w:pStyle w:val="11"/>
        <w:tabs>
          <w:tab w:val="right" w:leader="dot" w:pos="8306"/>
        </w:tabs>
        <w:ind w:left="31680"/>
      </w:pPr>
      <w:r>
        <w:fldChar w:fldCharType="begin"/>
      </w:r>
      <w:r>
        <w:instrText xml:space="preserve"> HYPERLINK \l "_Toc9308" </w:instrText>
      </w:r>
      <w:r>
        <w:fldChar w:fldCharType="separate"/>
      </w:r>
      <w:r>
        <w:rPr>
          <w:rFonts w:hint="eastAsia" w:ascii="楷体" w:hAnsi="楷体" w:cs="楷体"/>
        </w:rPr>
        <w:t>第三节</w:t>
      </w:r>
      <w:r>
        <w:rPr>
          <w:rFonts w:ascii="楷体" w:hAnsi="楷体" w:cs="楷体"/>
        </w:rPr>
        <w:t xml:space="preserve"> </w:t>
      </w:r>
      <w:r>
        <w:rPr>
          <w:rFonts w:hint="eastAsia" w:ascii="楷体" w:hAnsi="楷体" w:cs="楷体"/>
        </w:rPr>
        <w:t>持续释放消费潜力</w:t>
      </w:r>
      <w:r>
        <w:tab/>
      </w:r>
      <w:r>
        <w:fldChar w:fldCharType="end"/>
      </w:r>
    </w:p>
    <w:p>
      <w:pPr>
        <w:pStyle w:val="11"/>
        <w:tabs>
          <w:tab w:val="right" w:leader="dot" w:pos="8306"/>
        </w:tabs>
        <w:ind w:left="31680"/>
      </w:pPr>
      <w:r>
        <w:fldChar w:fldCharType="begin"/>
      </w:r>
      <w:r>
        <w:instrText xml:space="preserve"> HYPERLINK \l "_Toc22159" </w:instrText>
      </w:r>
      <w:r>
        <w:fldChar w:fldCharType="separate"/>
      </w:r>
      <w:r>
        <w:rPr>
          <w:rFonts w:hint="eastAsia"/>
        </w:rPr>
        <w:t>第四节</w:t>
      </w:r>
      <w:r>
        <w:t xml:space="preserve"> </w:t>
      </w:r>
      <w:r>
        <w:rPr>
          <w:rFonts w:hint="eastAsia"/>
        </w:rPr>
        <w:t>全面融入国内国际双循环体系</w:t>
      </w:r>
      <w:r>
        <w:tab/>
      </w:r>
      <w:r>
        <w:fldChar w:fldCharType="end"/>
      </w:r>
    </w:p>
    <w:p>
      <w:pPr>
        <w:pStyle w:val="10"/>
        <w:tabs>
          <w:tab w:val="right" w:leader="dot" w:pos="8306"/>
        </w:tabs>
      </w:pPr>
      <w:r>
        <w:fldChar w:fldCharType="begin"/>
      </w:r>
      <w:r>
        <w:instrText xml:space="preserve"> HYPERLINK \l "_Toc21232" </w:instrText>
      </w:r>
      <w:r>
        <w:fldChar w:fldCharType="separate"/>
      </w:r>
      <w:r>
        <w:rPr>
          <w:rFonts w:hint="eastAsia"/>
          <w:szCs w:val="36"/>
        </w:rPr>
        <w:t>第五章</w:t>
      </w:r>
      <w:r>
        <w:rPr>
          <w:szCs w:val="36"/>
        </w:rPr>
        <w:t xml:space="preserve"> </w:t>
      </w:r>
      <w:r>
        <w:rPr>
          <w:rFonts w:hint="eastAsia"/>
          <w:szCs w:val="36"/>
        </w:rPr>
        <w:t>推进改革开放走深走实，全力打造营商环境新高地</w:t>
      </w:r>
      <w:r>
        <w:tab/>
      </w:r>
      <w:r>
        <w:fldChar w:fldCharType="end"/>
      </w:r>
    </w:p>
    <w:p>
      <w:pPr>
        <w:pStyle w:val="11"/>
        <w:tabs>
          <w:tab w:val="right" w:leader="dot" w:pos="8306"/>
        </w:tabs>
        <w:ind w:left="31680"/>
      </w:pPr>
      <w:r>
        <w:fldChar w:fldCharType="begin"/>
      </w:r>
      <w:r>
        <w:instrText xml:space="preserve"> HYPERLINK \l "_Toc1294" </w:instrText>
      </w:r>
      <w:r>
        <w:fldChar w:fldCharType="separate"/>
      </w:r>
      <w:r>
        <w:rPr>
          <w:rFonts w:hint="eastAsia" w:ascii="楷体" w:hAnsi="楷体" w:cs="楷体"/>
        </w:rPr>
        <w:t>第一节</w:t>
      </w:r>
      <w:r>
        <w:rPr>
          <w:rFonts w:ascii="楷体" w:hAnsi="楷体" w:cs="楷体"/>
        </w:rPr>
        <w:t xml:space="preserve"> </w:t>
      </w:r>
      <w:r>
        <w:rPr>
          <w:rFonts w:hint="eastAsia" w:ascii="楷体" w:hAnsi="楷体" w:cs="楷体"/>
        </w:rPr>
        <w:t>激发各类市场主体活力</w:t>
      </w:r>
      <w:r>
        <w:tab/>
      </w:r>
      <w:r>
        <w:fldChar w:fldCharType="end"/>
      </w:r>
    </w:p>
    <w:p>
      <w:pPr>
        <w:pStyle w:val="11"/>
        <w:tabs>
          <w:tab w:val="right" w:leader="dot" w:pos="8306"/>
        </w:tabs>
        <w:ind w:left="31680"/>
      </w:pPr>
      <w:r>
        <w:fldChar w:fldCharType="begin"/>
      </w:r>
      <w:r>
        <w:instrText xml:space="preserve"> HYPERLINK \l "_Toc6242"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推动要素市场化改革</w:t>
      </w:r>
      <w:r>
        <w:tab/>
      </w:r>
      <w:r>
        <w:fldChar w:fldCharType="end"/>
      </w:r>
    </w:p>
    <w:p>
      <w:pPr>
        <w:pStyle w:val="11"/>
        <w:tabs>
          <w:tab w:val="right" w:leader="dot" w:pos="8306"/>
        </w:tabs>
        <w:ind w:left="31680"/>
      </w:pPr>
      <w:r>
        <w:fldChar w:fldCharType="begin"/>
      </w:r>
      <w:r>
        <w:instrText xml:space="preserve"> HYPERLINK \l "_Toc17166" </w:instrText>
      </w:r>
      <w:r>
        <w:fldChar w:fldCharType="separate"/>
      </w:r>
      <w:r>
        <w:rPr>
          <w:rFonts w:hint="eastAsia" w:ascii="楷体" w:hAnsi="楷体" w:cs="楷体"/>
        </w:rPr>
        <w:t>第三节</w:t>
      </w:r>
      <w:r>
        <w:rPr>
          <w:rFonts w:ascii="楷体" w:hAnsi="楷体" w:cs="楷体"/>
        </w:rPr>
        <w:t xml:space="preserve"> </w:t>
      </w:r>
      <w:r>
        <w:rPr>
          <w:rFonts w:hint="eastAsia" w:ascii="楷体" w:hAnsi="楷体" w:cs="楷体"/>
        </w:rPr>
        <w:t>进一步优化营商环境</w:t>
      </w:r>
      <w:r>
        <w:tab/>
      </w:r>
      <w:r>
        <w:fldChar w:fldCharType="end"/>
      </w:r>
    </w:p>
    <w:p>
      <w:pPr>
        <w:pStyle w:val="11"/>
        <w:tabs>
          <w:tab w:val="right" w:leader="dot" w:pos="8306"/>
        </w:tabs>
        <w:ind w:left="31680"/>
      </w:pPr>
      <w:r>
        <w:fldChar w:fldCharType="begin"/>
      </w:r>
      <w:r>
        <w:instrText xml:space="preserve"> HYPERLINK \l "_Toc12285" </w:instrText>
      </w:r>
      <w:r>
        <w:fldChar w:fldCharType="separate"/>
      </w:r>
      <w:r>
        <w:rPr>
          <w:rFonts w:hint="eastAsia" w:ascii="楷体" w:hAnsi="楷体" w:cs="楷体"/>
        </w:rPr>
        <w:t>第四节</w:t>
      </w:r>
      <w:r>
        <w:rPr>
          <w:rFonts w:ascii="楷体" w:hAnsi="楷体" w:cs="楷体"/>
        </w:rPr>
        <w:t xml:space="preserve"> </w:t>
      </w:r>
      <w:r>
        <w:rPr>
          <w:rFonts w:hint="eastAsia" w:ascii="楷体" w:hAnsi="楷体" w:cs="楷体"/>
        </w:rPr>
        <w:t>坚持“引进来”和“走出去”</w:t>
      </w:r>
      <w:r>
        <w:tab/>
      </w:r>
      <w:r>
        <w:fldChar w:fldCharType="end"/>
      </w:r>
    </w:p>
    <w:p>
      <w:pPr>
        <w:pStyle w:val="10"/>
        <w:tabs>
          <w:tab w:val="right" w:leader="dot" w:pos="8306"/>
        </w:tabs>
      </w:pPr>
      <w:r>
        <w:fldChar w:fldCharType="begin"/>
      </w:r>
      <w:r>
        <w:instrText xml:space="preserve"> HYPERLINK \l "_Toc4489" </w:instrText>
      </w:r>
      <w:r>
        <w:fldChar w:fldCharType="separate"/>
      </w:r>
      <w:r>
        <w:rPr>
          <w:rFonts w:hint="eastAsia"/>
          <w:szCs w:val="36"/>
        </w:rPr>
        <w:t>第六章</w:t>
      </w:r>
      <w:r>
        <w:rPr>
          <w:szCs w:val="36"/>
        </w:rPr>
        <w:t xml:space="preserve"> </w:t>
      </w:r>
      <w:r>
        <w:rPr>
          <w:rFonts w:hint="eastAsia"/>
          <w:szCs w:val="36"/>
        </w:rPr>
        <w:t>深入实施城乡一体化，探索城乡融合发展新路径</w:t>
      </w:r>
      <w:r>
        <w:tab/>
      </w:r>
      <w:r>
        <w:fldChar w:fldCharType="end"/>
      </w:r>
    </w:p>
    <w:p>
      <w:pPr>
        <w:pStyle w:val="11"/>
        <w:tabs>
          <w:tab w:val="right" w:leader="dot" w:pos="8306"/>
        </w:tabs>
        <w:ind w:left="31680"/>
      </w:pPr>
      <w:r>
        <w:fldChar w:fldCharType="begin"/>
      </w:r>
      <w:r>
        <w:instrText xml:space="preserve"> HYPERLINK \l "_Toc26183" </w:instrText>
      </w:r>
      <w:r>
        <w:fldChar w:fldCharType="separate"/>
      </w:r>
      <w:r>
        <w:rPr>
          <w:rFonts w:hint="eastAsia" w:ascii="楷体" w:hAnsi="楷体" w:cs="楷体"/>
        </w:rPr>
        <w:t>第一节</w:t>
      </w:r>
      <w:r>
        <w:rPr>
          <w:rFonts w:ascii="楷体" w:hAnsi="楷体" w:cs="楷体"/>
        </w:rPr>
        <w:t xml:space="preserve"> </w:t>
      </w:r>
      <w:r>
        <w:rPr>
          <w:rFonts w:hint="eastAsia" w:ascii="楷体" w:hAnsi="楷体" w:cs="楷体"/>
        </w:rPr>
        <w:t>推进新型城镇化建设</w:t>
      </w:r>
      <w:r>
        <w:tab/>
      </w:r>
      <w:r>
        <w:fldChar w:fldCharType="end"/>
      </w:r>
    </w:p>
    <w:p>
      <w:pPr>
        <w:pStyle w:val="11"/>
        <w:tabs>
          <w:tab w:val="right" w:leader="dot" w:pos="8306"/>
        </w:tabs>
        <w:ind w:left="31680"/>
      </w:pPr>
      <w:r>
        <w:fldChar w:fldCharType="begin"/>
      </w:r>
      <w:r>
        <w:instrText xml:space="preserve"> HYPERLINK \l "_Toc25751"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促进城乡基础设施一体化</w:t>
      </w:r>
      <w:r>
        <w:tab/>
      </w:r>
      <w:r>
        <w:fldChar w:fldCharType="end"/>
      </w:r>
    </w:p>
    <w:p>
      <w:pPr>
        <w:pStyle w:val="11"/>
        <w:tabs>
          <w:tab w:val="right" w:leader="dot" w:pos="8306"/>
        </w:tabs>
        <w:ind w:left="31680"/>
      </w:pPr>
      <w:r>
        <w:fldChar w:fldCharType="begin"/>
      </w:r>
      <w:r>
        <w:instrText xml:space="preserve"> HYPERLINK \l "_Toc31230" </w:instrText>
      </w:r>
      <w:r>
        <w:fldChar w:fldCharType="separate"/>
      </w:r>
      <w:r>
        <w:rPr>
          <w:rFonts w:hint="eastAsia"/>
        </w:rPr>
        <w:t>第三节</w:t>
      </w:r>
      <w:r>
        <w:t xml:space="preserve"> </w:t>
      </w:r>
      <w:r>
        <w:rPr>
          <w:rFonts w:hint="eastAsia"/>
        </w:rPr>
        <w:t>畅通城乡双向融合发展</w:t>
      </w:r>
      <w:r>
        <w:tab/>
      </w:r>
      <w:r>
        <w:fldChar w:fldCharType="end"/>
      </w:r>
    </w:p>
    <w:p>
      <w:pPr>
        <w:pStyle w:val="11"/>
        <w:tabs>
          <w:tab w:val="right" w:leader="dot" w:pos="8306"/>
        </w:tabs>
        <w:ind w:left="31680"/>
      </w:pPr>
      <w:r>
        <w:fldChar w:fldCharType="begin"/>
      </w:r>
      <w:r>
        <w:instrText xml:space="preserve"> HYPERLINK \l "_Toc14072" </w:instrText>
      </w:r>
      <w:r>
        <w:fldChar w:fldCharType="separate"/>
      </w:r>
      <w:r>
        <w:rPr>
          <w:rFonts w:hint="eastAsia" w:ascii="楷体" w:hAnsi="楷体" w:cs="楷体"/>
        </w:rPr>
        <w:t>第四节</w:t>
      </w:r>
      <w:r>
        <w:rPr>
          <w:rFonts w:ascii="楷体" w:hAnsi="楷体" w:cs="楷体"/>
        </w:rPr>
        <w:t xml:space="preserve"> </w:t>
      </w:r>
      <w:r>
        <w:rPr>
          <w:rFonts w:hint="eastAsia" w:ascii="楷体" w:hAnsi="楷体" w:cs="楷体"/>
        </w:rPr>
        <w:t>健全城乡融合发展体制机制</w:t>
      </w:r>
      <w:r>
        <w:tab/>
      </w:r>
      <w:r>
        <w:fldChar w:fldCharType="end"/>
      </w:r>
    </w:p>
    <w:p>
      <w:pPr>
        <w:pStyle w:val="10"/>
        <w:tabs>
          <w:tab w:val="right" w:leader="dot" w:pos="8306"/>
        </w:tabs>
      </w:pPr>
      <w:r>
        <w:fldChar w:fldCharType="begin"/>
      </w:r>
      <w:r>
        <w:instrText xml:space="preserve"> HYPERLINK \l "_Toc15854" </w:instrText>
      </w:r>
      <w:r>
        <w:fldChar w:fldCharType="separate"/>
      </w:r>
      <w:r>
        <w:rPr>
          <w:rFonts w:hint="eastAsia"/>
        </w:rPr>
        <w:t>第七章</w:t>
      </w:r>
      <w:r>
        <w:t xml:space="preserve"> </w:t>
      </w:r>
      <w:r>
        <w:rPr>
          <w:rFonts w:hint="eastAsia"/>
        </w:rPr>
        <w:t>全面实施乡村振兴战略，奋力描绘“五美”乡村新图景</w:t>
      </w:r>
      <w:r>
        <w:tab/>
      </w:r>
      <w:r>
        <w:fldChar w:fldCharType="end"/>
      </w:r>
    </w:p>
    <w:p>
      <w:pPr>
        <w:pStyle w:val="11"/>
        <w:tabs>
          <w:tab w:val="right" w:leader="dot" w:pos="8306"/>
        </w:tabs>
        <w:ind w:left="31680"/>
      </w:pPr>
      <w:r>
        <w:fldChar w:fldCharType="begin"/>
      </w:r>
      <w:r>
        <w:instrText xml:space="preserve"> HYPERLINK \l "_Toc3854" </w:instrText>
      </w:r>
      <w:r>
        <w:fldChar w:fldCharType="separate"/>
      </w:r>
      <w:r>
        <w:rPr>
          <w:rFonts w:hint="eastAsia"/>
        </w:rPr>
        <w:t>第一节</w:t>
      </w:r>
      <w:r>
        <w:t xml:space="preserve"> </w:t>
      </w:r>
      <w:r>
        <w:rPr>
          <w:rFonts w:hint="eastAsia"/>
        </w:rPr>
        <w:t>大力发展现代农业</w:t>
      </w:r>
      <w:r>
        <w:tab/>
      </w:r>
      <w:r>
        <w:fldChar w:fldCharType="end"/>
      </w:r>
    </w:p>
    <w:p>
      <w:pPr>
        <w:pStyle w:val="11"/>
        <w:tabs>
          <w:tab w:val="right" w:leader="dot" w:pos="8306"/>
        </w:tabs>
        <w:ind w:left="31680"/>
      </w:pPr>
      <w:r>
        <w:fldChar w:fldCharType="begin"/>
      </w:r>
      <w:r>
        <w:instrText xml:space="preserve"> HYPERLINK \l "_Toc19090" </w:instrText>
      </w:r>
      <w:r>
        <w:fldChar w:fldCharType="separate"/>
      </w:r>
      <w:r>
        <w:rPr>
          <w:rFonts w:hint="eastAsia"/>
        </w:rPr>
        <w:t>第二节</w:t>
      </w:r>
      <w:r>
        <w:t xml:space="preserve"> </w:t>
      </w:r>
      <w:r>
        <w:rPr>
          <w:rFonts w:hint="eastAsia"/>
        </w:rPr>
        <w:t>积极改善农村人居环境</w:t>
      </w:r>
      <w:r>
        <w:tab/>
      </w:r>
      <w:r>
        <w:fldChar w:fldCharType="end"/>
      </w:r>
    </w:p>
    <w:p>
      <w:pPr>
        <w:pStyle w:val="11"/>
        <w:tabs>
          <w:tab w:val="right" w:leader="dot" w:pos="8306"/>
        </w:tabs>
        <w:ind w:left="31680"/>
      </w:pPr>
      <w:r>
        <w:fldChar w:fldCharType="begin"/>
      </w:r>
      <w:r>
        <w:instrText xml:space="preserve"> HYPERLINK \l "_Toc10374" </w:instrText>
      </w:r>
      <w:r>
        <w:fldChar w:fldCharType="separate"/>
      </w:r>
      <w:r>
        <w:rPr>
          <w:rFonts w:hint="eastAsia"/>
        </w:rPr>
        <w:t>第三节</w:t>
      </w:r>
      <w:r>
        <w:t xml:space="preserve"> </w:t>
      </w:r>
      <w:r>
        <w:rPr>
          <w:rFonts w:hint="eastAsia"/>
        </w:rPr>
        <w:t>着力培育时代新风</w:t>
      </w:r>
      <w:r>
        <w:tab/>
      </w:r>
      <w:r>
        <w:fldChar w:fldCharType="end"/>
      </w:r>
    </w:p>
    <w:p>
      <w:pPr>
        <w:pStyle w:val="11"/>
        <w:tabs>
          <w:tab w:val="right" w:leader="dot" w:pos="8306"/>
        </w:tabs>
        <w:ind w:left="31680"/>
      </w:pPr>
      <w:r>
        <w:fldChar w:fldCharType="begin"/>
      </w:r>
      <w:r>
        <w:instrText xml:space="preserve"> HYPERLINK \l "_Toc17822" </w:instrText>
      </w:r>
      <w:r>
        <w:fldChar w:fldCharType="separate"/>
      </w:r>
      <w:r>
        <w:rPr>
          <w:rFonts w:hint="eastAsia"/>
        </w:rPr>
        <w:t>第四节</w:t>
      </w:r>
      <w:r>
        <w:t xml:space="preserve"> </w:t>
      </w:r>
      <w:r>
        <w:rPr>
          <w:rFonts w:hint="eastAsia"/>
        </w:rPr>
        <w:t>深化农业农村改革</w:t>
      </w:r>
      <w:r>
        <w:tab/>
      </w:r>
      <w:r>
        <w:fldChar w:fldCharType="end"/>
      </w:r>
    </w:p>
    <w:p>
      <w:pPr>
        <w:pStyle w:val="11"/>
        <w:tabs>
          <w:tab w:val="right" w:leader="dot" w:pos="8306"/>
        </w:tabs>
        <w:ind w:left="31680"/>
      </w:pPr>
      <w:r>
        <w:fldChar w:fldCharType="begin"/>
      </w:r>
      <w:r>
        <w:instrText xml:space="preserve"> HYPERLINK \l "_Toc20528" </w:instrText>
      </w:r>
      <w:r>
        <w:fldChar w:fldCharType="separate"/>
      </w:r>
      <w:r>
        <w:rPr>
          <w:rFonts w:hint="eastAsia"/>
        </w:rPr>
        <w:t>第五节</w:t>
      </w:r>
      <w:r>
        <w:t xml:space="preserve"> </w:t>
      </w:r>
      <w:r>
        <w:rPr>
          <w:rFonts w:hint="eastAsia"/>
        </w:rPr>
        <w:t>扎实推进共同富裕</w:t>
      </w:r>
      <w:r>
        <w:tab/>
      </w:r>
      <w:r>
        <w:fldChar w:fldCharType="end"/>
      </w:r>
    </w:p>
    <w:p>
      <w:pPr>
        <w:pStyle w:val="10"/>
        <w:tabs>
          <w:tab w:val="right" w:leader="dot" w:pos="8306"/>
        </w:tabs>
      </w:pPr>
      <w:r>
        <w:fldChar w:fldCharType="begin"/>
      </w:r>
      <w:r>
        <w:instrText xml:space="preserve"> HYPERLINK \l "_Toc14042" </w:instrText>
      </w:r>
      <w:r>
        <w:fldChar w:fldCharType="separate"/>
      </w:r>
      <w:r>
        <w:rPr>
          <w:rFonts w:hint="eastAsia"/>
        </w:rPr>
        <w:t>第八章</w:t>
      </w:r>
      <w:r>
        <w:t xml:space="preserve"> </w:t>
      </w:r>
      <w:r>
        <w:rPr>
          <w:rFonts w:hint="eastAsia"/>
        </w:rPr>
        <w:t>加快推进基础设施建设，全力塑造县域发展新优势</w:t>
      </w:r>
      <w:r>
        <w:tab/>
      </w:r>
      <w:r>
        <w:fldChar w:fldCharType="end"/>
      </w:r>
    </w:p>
    <w:p>
      <w:pPr>
        <w:pStyle w:val="11"/>
        <w:tabs>
          <w:tab w:val="right" w:leader="dot" w:pos="8306"/>
        </w:tabs>
        <w:ind w:left="31680"/>
      </w:pPr>
      <w:r>
        <w:fldChar w:fldCharType="begin"/>
      </w:r>
      <w:r>
        <w:instrText xml:space="preserve"> HYPERLINK \l "_Toc11242" </w:instrText>
      </w:r>
      <w:r>
        <w:fldChar w:fldCharType="separate"/>
      </w:r>
      <w:r>
        <w:rPr>
          <w:rFonts w:hint="eastAsia"/>
        </w:rPr>
        <w:t>第一节</w:t>
      </w:r>
      <w:r>
        <w:t xml:space="preserve"> </w:t>
      </w:r>
      <w:r>
        <w:rPr>
          <w:rFonts w:hint="eastAsia"/>
        </w:rPr>
        <w:t>不断完善现代交通网络</w:t>
      </w:r>
      <w:r>
        <w:tab/>
      </w:r>
      <w:r>
        <w:fldChar w:fldCharType="end"/>
      </w:r>
    </w:p>
    <w:p>
      <w:pPr>
        <w:pStyle w:val="11"/>
        <w:tabs>
          <w:tab w:val="right" w:leader="dot" w:pos="8306"/>
        </w:tabs>
        <w:ind w:left="31680"/>
      </w:pPr>
      <w:r>
        <w:fldChar w:fldCharType="begin"/>
      </w:r>
      <w:r>
        <w:instrText xml:space="preserve"> HYPERLINK \l "_Toc23812" </w:instrText>
      </w:r>
      <w:r>
        <w:fldChar w:fldCharType="separate"/>
      </w:r>
      <w:r>
        <w:rPr>
          <w:rFonts w:hint="eastAsia"/>
        </w:rPr>
        <w:t>第二节</w:t>
      </w:r>
      <w:r>
        <w:t xml:space="preserve"> </w:t>
      </w:r>
      <w:r>
        <w:rPr>
          <w:rFonts w:hint="eastAsia"/>
        </w:rPr>
        <w:t>加快构建现代能源体系</w:t>
      </w:r>
      <w:r>
        <w:tab/>
      </w:r>
      <w:r>
        <w:fldChar w:fldCharType="end"/>
      </w:r>
    </w:p>
    <w:p>
      <w:pPr>
        <w:pStyle w:val="11"/>
        <w:tabs>
          <w:tab w:val="right" w:leader="dot" w:pos="8306"/>
        </w:tabs>
        <w:ind w:left="31680"/>
      </w:pPr>
      <w:r>
        <w:fldChar w:fldCharType="begin"/>
      </w:r>
      <w:r>
        <w:instrText xml:space="preserve"> HYPERLINK \l "_Toc13954" </w:instrText>
      </w:r>
      <w:r>
        <w:fldChar w:fldCharType="separate"/>
      </w:r>
      <w:r>
        <w:rPr>
          <w:rFonts w:hint="eastAsia"/>
        </w:rPr>
        <w:t>第三节</w:t>
      </w:r>
      <w:r>
        <w:t xml:space="preserve"> </w:t>
      </w:r>
      <w:r>
        <w:rPr>
          <w:rFonts w:hint="eastAsia"/>
        </w:rPr>
        <w:t>完善民生水利安全与保障体系</w:t>
      </w:r>
      <w:r>
        <w:tab/>
      </w:r>
      <w:r>
        <w:fldChar w:fldCharType="end"/>
      </w:r>
    </w:p>
    <w:p>
      <w:pPr>
        <w:pStyle w:val="11"/>
        <w:tabs>
          <w:tab w:val="right" w:leader="dot" w:pos="8306"/>
        </w:tabs>
        <w:ind w:left="31680"/>
      </w:pPr>
      <w:r>
        <w:fldChar w:fldCharType="begin"/>
      </w:r>
      <w:r>
        <w:instrText xml:space="preserve"> HYPERLINK \l "_Toc14326" </w:instrText>
      </w:r>
      <w:r>
        <w:fldChar w:fldCharType="separate"/>
      </w:r>
      <w:r>
        <w:rPr>
          <w:rFonts w:hint="eastAsia"/>
        </w:rPr>
        <w:t>第四节</w:t>
      </w:r>
      <w:r>
        <w:t xml:space="preserve"> </w:t>
      </w:r>
      <w:r>
        <w:rPr>
          <w:rFonts w:hint="eastAsia"/>
        </w:rPr>
        <w:t>加强新型基础设施建设</w:t>
      </w:r>
      <w:r>
        <w:tab/>
      </w:r>
      <w:r>
        <w:fldChar w:fldCharType="end"/>
      </w:r>
    </w:p>
    <w:p>
      <w:pPr>
        <w:pStyle w:val="10"/>
        <w:tabs>
          <w:tab w:val="right" w:leader="dot" w:pos="8306"/>
        </w:tabs>
      </w:pPr>
      <w:r>
        <w:fldChar w:fldCharType="begin"/>
      </w:r>
      <w:r>
        <w:instrText xml:space="preserve"> HYPERLINK \l "_Toc4476" </w:instrText>
      </w:r>
      <w:r>
        <w:fldChar w:fldCharType="separate"/>
      </w:r>
      <w:r>
        <w:rPr>
          <w:rFonts w:hint="eastAsia"/>
        </w:rPr>
        <w:t>第九章</w:t>
      </w:r>
      <w:r>
        <w:t xml:space="preserve"> </w:t>
      </w:r>
      <w:r>
        <w:rPr>
          <w:rFonts w:hint="eastAsia"/>
        </w:rPr>
        <w:t>坚持绿色低碳发展，谱写生态文明发展新篇章</w:t>
      </w:r>
      <w:r>
        <w:tab/>
      </w:r>
      <w:r>
        <w:fldChar w:fldCharType="end"/>
      </w:r>
    </w:p>
    <w:p>
      <w:pPr>
        <w:pStyle w:val="11"/>
        <w:tabs>
          <w:tab w:val="right" w:leader="dot" w:pos="8306"/>
        </w:tabs>
        <w:ind w:left="31680"/>
      </w:pPr>
      <w:r>
        <w:fldChar w:fldCharType="begin"/>
      </w:r>
      <w:r>
        <w:instrText xml:space="preserve"> HYPERLINK \l "_Toc1159" </w:instrText>
      </w:r>
      <w:r>
        <w:fldChar w:fldCharType="separate"/>
      </w:r>
      <w:r>
        <w:rPr>
          <w:rFonts w:hint="eastAsia"/>
        </w:rPr>
        <w:t>第一节</w:t>
      </w:r>
      <w:r>
        <w:t xml:space="preserve"> </w:t>
      </w:r>
      <w:r>
        <w:rPr>
          <w:rFonts w:hint="eastAsia"/>
        </w:rPr>
        <w:t>改善生态环境质量</w:t>
      </w:r>
      <w:r>
        <w:tab/>
      </w:r>
      <w:r>
        <w:fldChar w:fldCharType="end"/>
      </w:r>
    </w:p>
    <w:p>
      <w:pPr>
        <w:pStyle w:val="11"/>
        <w:tabs>
          <w:tab w:val="right" w:leader="dot" w:pos="8306"/>
        </w:tabs>
        <w:ind w:left="31680"/>
      </w:pPr>
      <w:r>
        <w:fldChar w:fldCharType="begin"/>
      </w:r>
      <w:r>
        <w:instrText xml:space="preserve"> HYPERLINK \l "_Toc16001" </w:instrText>
      </w:r>
      <w:r>
        <w:fldChar w:fldCharType="separate"/>
      </w:r>
      <w:r>
        <w:rPr>
          <w:rFonts w:hint="eastAsia"/>
        </w:rPr>
        <w:t>第二节</w:t>
      </w:r>
      <w:r>
        <w:t xml:space="preserve"> </w:t>
      </w:r>
      <w:r>
        <w:rPr>
          <w:rFonts w:hint="eastAsia"/>
        </w:rPr>
        <w:t>深入推进环境整治</w:t>
      </w:r>
      <w:r>
        <w:tab/>
      </w:r>
      <w:r>
        <w:fldChar w:fldCharType="end"/>
      </w:r>
    </w:p>
    <w:p>
      <w:pPr>
        <w:pStyle w:val="11"/>
        <w:tabs>
          <w:tab w:val="right" w:leader="dot" w:pos="8306"/>
        </w:tabs>
        <w:ind w:left="31680"/>
      </w:pPr>
      <w:r>
        <w:fldChar w:fldCharType="begin"/>
      </w:r>
      <w:r>
        <w:instrText xml:space="preserve"> HYPERLINK \l "_Toc24941" </w:instrText>
      </w:r>
      <w:r>
        <w:fldChar w:fldCharType="separate"/>
      </w:r>
      <w:r>
        <w:rPr>
          <w:rFonts w:hint="eastAsia"/>
        </w:rPr>
        <w:t>第三节</w:t>
      </w:r>
      <w:r>
        <w:t xml:space="preserve"> </w:t>
      </w:r>
      <w:r>
        <w:rPr>
          <w:rFonts w:hint="eastAsia"/>
        </w:rPr>
        <w:t>加快推动绿色低碳发展</w:t>
      </w:r>
      <w:r>
        <w:tab/>
      </w:r>
      <w:r>
        <w:fldChar w:fldCharType="end"/>
      </w:r>
    </w:p>
    <w:p>
      <w:pPr>
        <w:pStyle w:val="11"/>
        <w:tabs>
          <w:tab w:val="right" w:leader="dot" w:pos="8306"/>
        </w:tabs>
        <w:ind w:left="31680"/>
      </w:pPr>
      <w:r>
        <w:fldChar w:fldCharType="begin"/>
      </w:r>
      <w:r>
        <w:instrText xml:space="preserve"> HYPERLINK \l "_Toc10124" </w:instrText>
      </w:r>
      <w:r>
        <w:fldChar w:fldCharType="separate"/>
      </w:r>
      <w:r>
        <w:rPr>
          <w:rFonts w:hint="eastAsia"/>
        </w:rPr>
        <w:t>第四节</w:t>
      </w:r>
      <w:r>
        <w:t xml:space="preserve"> </w:t>
      </w:r>
      <w:r>
        <w:rPr>
          <w:rFonts w:hint="eastAsia"/>
        </w:rPr>
        <w:t>完善生态文明制度</w:t>
      </w:r>
      <w:r>
        <w:tab/>
      </w:r>
      <w:r>
        <w:fldChar w:fldCharType="end"/>
      </w:r>
    </w:p>
    <w:p>
      <w:pPr>
        <w:pStyle w:val="10"/>
        <w:tabs>
          <w:tab w:val="right" w:leader="dot" w:pos="8306"/>
        </w:tabs>
      </w:pPr>
      <w:r>
        <w:fldChar w:fldCharType="begin"/>
      </w:r>
      <w:r>
        <w:instrText xml:space="preserve"> HYPERLINK \l "_Toc28180" </w:instrText>
      </w:r>
      <w:r>
        <w:fldChar w:fldCharType="separate"/>
      </w:r>
      <w:r>
        <w:rPr>
          <w:rFonts w:hint="eastAsia"/>
        </w:rPr>
        <w:t>第十章</w:t>
      </w:r>
      <w:r>
        <w:t xml:space="preserve"> </w:t>
      </w:r>
      <w:r>
        <w:rPr>
          <w:rFonts w:hint="eastAsia"/>
        </w:rPr>
        <w:t>厚植县域文化内涵，着力打造以文兴城新样板</w:t>
      </w:r>
      <w:r>
        <w:tab/>
      </w:r>
      <w:r>
        <w:fldChar w:fldCharType="end"/>
      </w:r>
    </w:p>
    <w:p>
      <w:pPr>
        <w:pStyle w:val="11"/>
        <w:tabs>
          <w:tab w:val="right" w:leader="dot" w:pos="8306"/>
        </w:tabs>
        <w:ind w:left="31680"/>
      </w:pPr>
      <w:r>
        <w:fldChar w:fldCharType="begin"/>
      </w:r>
      <w:r>
        <w:instrText xml:space="preserve"> HYPERLINK \l "_Toc2582" </w:instrText>
      </w:r>
      <w:r>
        <w:fldChar w:fldCharType="separate"/>
      </w:r>
      <w:r>
        <w:rPr>
          <w:rFonts w:hint="eastAsia"/>
        </w:rPr>
        <w:t>第一节</w:t>
      </w:r>
      <w:r>
        <w:t xml:space="preserve"> </w:t>
      </w:r>
      <w:r>
        <w:rPr>
          <w:rFonts w:hint="eastAsia"/>
        </w:rPr>
        <w:t>全面提高社会文明程度</w:t>
      </w:r>
      <w:r>
        <w:tab/>
      </w:r>
      <w:r>
        <w:fldChar w:fldCharType="end"/>
      </w:r>
    </w:p>
    <w:p>
      <w:pPr>
        <w:pStyle w:val="11"/>
        <w:tabs>
          <w:tab w:val="right" w:leader="dot" w:pos="8306"/>
        </w:tabs>
        <w:ind w:left="31680"/>
      </w:pPr>
      <w:r>
        <w:fldChar w:fldCharType="begin"/>
      </w:r>
      <w:r>
        <w:instrText xml:space="preserve"> HYPERLINK \l "_Toc23985" </w:instrText>
      </w:r>
      <w:r>
        <w:fldChar w:fldCharType="separate"/>
      </w:r>
      <w:r>
        <w:rPr>
          <w:rFonts w:hint="eastAsia"/>
        </w:rPr>
        <w:t>第二节</w:t>
      </w:r>
      <w:r>
        <w:t xml:space="preserve"> </w:t>
      </w:r>
      <w:r>
        <w:rPr>
          <w:rFonts w:hint="eastAsia"/>
        </w:rPr>
        <w:t>推进优秀传统文化传承</w:t>
      </w:r>
      <w:r>
        <w:tab/>
      </w:r>
      <w:r>
        <w:fldChar w:fldCharType="end"/>
      </w:r>
    </w:p>
    <w:p>
      <w:pPr>
        <w:pStyle w:val="11"/>
        <w:tabs>
          <w:tab w:val="right" w:leader="dot" w:pos="8306"/>
        </w:tabs>
        <w:ind w:left="31680"/>
      </w:pPr>
      <w:r>
        <w:fldChar w:fldCharType="begin"/>
      </w:r>
      <w:r>
        <w:instrText xml:space="preserve"> HYPERLINK \l "_Toc28331" </w:instrText>
      </w:r>
      <w:r>
        <w:fldChar w:fldCharType="separate"/>
      </w:r>
      <w:r>
        <w:rPr>
          <w:rFonts w:hint="eastAsia"/>
        </w:rPr>
        <w:t>第三节</w:t>
      </w:r>
      <w:r>
        <w:t xml:space="preserve"> </w:t>
      </w:r>
      <w:r>
        <w:rPr>
          <w:rFonts w:hint="eastAsia"/>
        </w:rPr>
        <w:t>促进文化事业繁荣发展</w:t>
      </w:r>
      <w:r>
        <w:tab/>
      </w:r>
      <w:r>
        <w:fldChar w:fldCharType="end"/>
      </w:r>
    </w:p>
    <w:p>
      <w:pPr>
        <w:pStyle w:val="11"/>
        <w:tabs>
          <w:tab w:val="right" w:leader="dot" w:pos="8306"/>
        </w:tabs>
        <w:ind w:left="31680"/>
      </w:pPr>
      <w:r>
        <w:fldChar w:fldCharType="begin"/>
      </w:r>
      <w:r>
        <w:instrText xml:space="preserve"> HYPERLINK \l "_Toc20550" </w:instrText>
      </w:r>
      <w:r>
        <w:fldChar w:fldCharType="separate"/>
      </w:r>
      <w:r>
        <w:rPr>
          <w:rFonts w:hint="eastAsia"/>
        </w:rPr>
        <w:t>第四节</w:t>
      </w:r>
      <w:r>
        <w:t xml:space="preserve"> </w:t>
      </w:r>
      <w:r>
        <w:rPr>
          <w:rFonts w:hint="eastAsia"/>
        </w:rPr>
        <w:t>加强</w:t>
      </w:r>
      <w:r>
        <w:rPr>
          <w:rFonts w:hint="eastAsia" w:ascii="微软雅黑" w:hAnsi="微软雅黑" w:cs="微软雅黑"/>
        </w:rPr>
        <w:t>现代化文化产业体系建设</w:t>
      </w:r>
      <w:r>
        <w:tab/>
      </w:r>
      <w:r>
        <w:fldChar w:fldCharType="end"/>
      </w:r>
    </w:p>
    <w:p>
      <w:pPr>
        <w:pStyle w:val="10"/>
        <w:tabs>
          <w:tab w:val="right" w:leader="dot" w:pos="8306"/>
        </w:tabs>
      </w:pPr>
      <w:r>
        <w:fldChar w:fldCharType="begin"/>
      </w:r>
      <w:r>
        <w:instrText xml:space="preserve"> HYPERLINK \l "_Toc1550" </w:instrText>
      </w:r>
      <w:r>
        <w:fldChar w:fldCharType="separate"/>
      </w:r>
      <w:r>
        <w:rPr>
          <w:rFonts w:hint="eastAsia"/>
        </w:rPr>
        <w:t>第十一章</w:t>
      </w:r>
      <w:r>
        <w:t xml:space="preserve"> </w:t>
      </w:r>
      <w:r>
        <w:rPr>
          <w:rFonts w:hint="eastAsia"/>
        </w:rPr>
        <w:t>促稳提质民生保障，倾力开创幸福永修新境界</w:t>
      </w:r>
      <w:r>
        <w:tab/>
      </w:r>
      <w:r>
        <w:fldChar w:fldCharType="end"/>
      </w:r>
    </w:p>
    <w:p>
      <w:pPr>
        <w:pStyle w:val="11"/>
        <w:tabs>
          <w:tab w:val="right" w:leader="dot" w:pos="8306"/>
        </w:tabs>
        <w:ind w:left="31680"/>
      </w:pPr>
      <w:r>
        <w:fldChar w:fldCharType="begin"/>
      </w:r>
      <w:r>
        <w:instrText xml:space="preserve"> HYPERLINK \l "_Toc19551" </w:instrText>
      </w:r>
      <w:r>
        <w:fldChar w:fldCharType="separate"/>
      </w:r>
      <w:r>
        <w:rPr>
          <w:rFonts w:hint="eastAsia"/>
        </w:rPr>
        <w:t>第一节</w:t>
      </w:r>
      <w:r>
        <w:t xml:space="preserve"> </w:t>
      </w:r>
      <w:r>
        <w:rPr>
          <w:rFonts w:hint="eastAsia"/>
        </w:rPr>
        <w:t>完善公共服务体系</w:t>
      </w:r>
      <w:r>
        <w:tab/>
      </w:r>
      <w:r>
        <w:fldChar w:fldCharType="end"/>
      </w:r>
    </w:p>
    <w:p>
      <w:pPr>
        <w:pStyle w:val="11"/>
        <w:tabs>
          <w:tab w:val="right" w:leader="dot" w:pos="8306"/>
        </w:tabs>
        <w:ind w:left="31680"/>
      </w:pPr>
      <w:r>
        <w:fldChar w:fldCharType="begin"/>
      </w:r>
      <w:r>
        <w:instrText xml:space="preserve"> HYPERLINK \l "_Toc7197" </w:instrText>
      </w:r>
      <w:r>
        <w:fldChar w:fldCharType="separate"/>
      </w:r>
      <w:r>
        <w:rPr>
          <w:rFonts w:hint="eastAsia"/>
        </w:rPr>
        <w:t>第二节</w:t>
      </w:r>
      <w:r>
        <w:t xml:space="preserve"> </w:t>
      </w:r>
      <w:r>
        <w:rPr>
          <w:rFonts w:hint="eastAsia"/>
        </w:rPr>
        <w:t>推进优质均衡教育</w:t>
      </w:r>
      <w:r>
        <w:tab/>
      </w:r>
      <w:r>
        <w:fldChar w:fldCharType="end"/>
      </w:r>
    </w:p>
    <w:p>
      <w:pPr>
        <w:pStyle w:val="11"/>
        <w:tabs>
          <w:tab w:val="right" w:leader="dot" w:pos="8306"/>
        </w:tabs>
        <w:ind w:left="31680"/>
      </w:pPr>
      <w:r>
        <w:fldChar w:fldCharType="begin"/>
      </w:r>
      <w:r>
        <w:instrText xml:space="preserve"> HYPERLINK \l "_Toc30658" </w:instrText>
      </w:r>
      <w:r>
        <w:fldChar w:fldCharType="separate"/>
      </w:r>
      <w:r>
        <w:rPr>
          <w:rFonts w:hint="eastAsia"/>
        </w:rPr>
        <w:t>第三节</w:t>
      </w:r>
      <w:r>
        <w:t xml:space="preserve"> </w:t>
      </w:r>
      <w:r>
        <w:rPr>
          <w:rFonts w:hint="eastAsia"/>
        </w:rPr>
        <w:t>加快健康永修建设</w:t>
      </w:r>
      <w:r>
        <w:tab/>
      </w:r>
      <w:r>
        <w:fldChar w:fldCharType="end"/>
      </w:r>
    </w:p>
    <w:p>
      <w:pPr>
        <w:pStyle w:val="11"/>
        <w:tabs>
          <w:tab w:val="right" w:leader="dot" w:pos="8306"/>
        </w:tabs>
        <w:ind w:left="31680"/>
      </w:pPr>
      <w:r>
        <w:fldChar w:fldCharType="begin"/>
      </w:r>
      <w:r>
        <w:instrText xml:space="preserve"> HYPERLINK \l "_Toc11106" </w:instrText>
      </w:r>
      <w:r>
        <w:fldChar w:fldCharType="separate"/>
      </w:r>
      <w:r>
        <w:rPr>
          <w:rFonts w:hint="eastAsia"/>
        </w:rPr>
        <w:t>第四节</w:t>
      </w:r>
      <w:r>
        <w:t xml:space="preserve"> </w:t>
      </w:r>
      <w:r>
        <w:rPr>
          <w:rFonts w:hint="eastAsia"/>
        </w:rPr>
        <w:t>完善社会保障体系</w:t>
      </w:r>
      <w:r>
        <w:tab/>
      </w:r>
      <w:r>
        <w:fldChar w:fldCharType="end"/>
      </w:r>
    </w:p>
    <w:p>
      <w:pPr>
        <w:pStyle w:val="11"/>
        <w:tabs>
          <w:tab w:val="right" w:leader="dot" w:pos="8306"/>
        </w:tabs>
        <w:ind w:left="31680"/>
      </w:pPr>
      <w:r>
        <w:fldChar w:fldCharType="begin"/>
      </w:r>
      <w:r>
        <w:instrText xml:space="preserve"> HYPERLINK \l "_Toc1859" </w:instrText>
      </w:r>
      <w:r>
        <w:fldChar w:fldCharType="separate"/>
      </w:r>
      <w:r>
        <w:rPr>
          <w:rFonts w:hint="eastAsia"/>
        </w:rPr>
        <w:t>第五节</w:t>
      </w:r>
      <w:r>
        <w:t xml:space="preserve"> </w:t>
      </w:r>
      <w:r>
        <w:rPr>
          <w:rFonts w:hint="eastAsia"/>
        </w:rPr>
        <w:t>积极应对人口老龄化</w:t>
      </w:r>
      <w:r>
        <w:tab/>
      </w:r>
      <w:r>
        <w:fldChar w:fldCharType="end"/>
      </w:r>
    </w:p>
    <w:p>
      <w:pPr>
        <w:pStyle w:val="10"/>
        <w:tabs>
          <w:tab w:val="right" w:leader="dot" w:pos="8306"/>
        </w:tabs>
      </w:pPr>
      <w:r>
        <w:fldChar w:fldCharType="begin"/>
      </w:r>
      <w:r>
        <w:instrText xml:space="preserve"> HYPERLINK \l "_Toc28688" </w:instrText>
      </w:r>
      <w:r>
        <w:fldChar w:fldCharType="separate"/>
      </w:r>
      <w:r>
        <w:rPr>
          <w:rFonts w:hint="eastAsia"/>
        </w:rPr>
        <w:t>第十二章</w:t>
      </w:r>
      <w:r>
        <w:t xml:space="preserve"> </w:t>
      </w:r>
      <w:r>
        <w:rPr>
          <w:rFonts w:hint="eastAsia"/>
        </w:rPr>
        <w:t>提升社会治理能力，开启平安永修建设新征程</w:t>
      </w:r>
      <w:r>
        <w:tab/>
      </w:r>
      <w:r>
        <w:fldChar w:fldCharType="end"/>
      </w:r>
    </w:p>
    <w:p>
      <w:pPr>
        <w:pStyle w:val="11"/>
        <w:tabs>
          <w:tab w:val="right" w:leader="dot" w:pos="8306"/>
        </w:tabs>
        <w:ind w:left="31680"/>
      </w:pPr>
      <w:r>
        <w:fldChar w:fldCharType="begin"/>
      </w:r>
      <w:r>
        <w:instrText xml:space="preserve"> HYPERLINK \l "_Toc24140" </w:instrText>
      </w:r>
      <w:r>
        <w:fldChar w:fldCharType="separate"/>
      </w:r>
      <w:r>
        <w:rPr>
          <w:rFonts w:hint="eastAsia"/>
        </w:rPr>
        <w:t>第一节</w:t>
      </w:r>
      <w:r>
        <w:t xml:space="preserve"> </w:t>
      </w:r>
      <w:r>
        <w:rPr>
          <w:rFonts w:hint="eastAsia"/>
        </w:rPr>
        <w:t>聚焦聚力建设平安永修</w:t>
      </w:r>
      <w:r>
        <w:tab/>
      </w:r>
      <w:r>
        <w:fldChar w:fldCharType="end"/>
      </w:r>
    </w:p>
    <w:p>
      <w:pPr>
        <w:pStyle w:val="11"/>
        <w:tabs>
          <w:tab w:val="right" w:leader="dot" w:pos="8306"/>
        </w:tabs>
        <w:ind w:left="31680"/>
      </w:pPr>
      <w:r>
        <w:fldChar w:fldCharType="begin"/>
      </w:r>
      <w:r>
        <w:instrText xml:space="preserve"> HYPERLINK \l "_Toc32733" </w:instrText>
      </w:r>
      <w:r>
        <w:fldChar w:fldCharType="separate"/>
      </w:r>
      <w:r>
        <w:rPr>
          <w:rFonts w:hint="eastAsia"/>
        </w:rPr>
        <w:t>第二节</w:t>
      </w:r>
      <w:r>
        <w:t xml:space="preserve"> </w:t>
      </w:r>
      <w:r>
        <w:rPr>
          <w:rFonts w:hint="eastAsia"/>
        </w:rPr>
        <w:t>全面加强法治信用建设</w:t>
      </w:r>
      <w:r>
        <w:tab/>
      </w:r>
      <w:r>
        <w:fldChar w:fldCharType="end"/>
      </w:r>
    </w:p>
    <w:p>
      <w:pPr>
        <w:pStyle w:val="11"/>
        <w:tabs>
          <w:tab w:val="right" w:leader="dot" w:pos="8306"/>
        </w:tabs>
        <w:ind w:left="31680"/>
      </w:pPr>
      <w:r>
        <w:fldChar w:fldCharType="begin"/>
      </w:r>
      <w:r>
        <w:instrText xml:space="preserve"> HYPERLINK \l "_Toc25547" </w:instrText>
      </w:r>
      <w:r>
        <w:fldChar w:fldCharType="separate"/>
      </w:r>
      <w:r>
        <w:rPr>
          <w:rFonts w:hint="eastAsia"/>
        </w:rPr>
        <w:t>第三节</w:t>
      </w:r>
      <w:r>
        <w:t xml:space="preserve"> </w:t>
      </w:r>
      <w:r>
        <w:rPr>
          <w:rFonts w:hint="eastAsia"/>
        </w:rPr>
        <w:t>提升社会治理现代化</w:t>
      </w:r>
      <w:r>
        <w:tab/>
      </w:r>
      <w:r>
        <w:fldChar w:fldCharType="end"/>
      </w:r>
    </w:p>
    <w:p>
      <w:pPr>
        <w:pStyle w:val="11"/>
        <w:tabs>
          <w:tab w:val="right" w:leader="dot" w:pos="8306"/>
        </w:tabs>
        <w:ind w:left="31680"/>
      </w:pPr>
      <w:r>
        <w:fldChar w:fldCharType="begin"/>
      </w:r>
      <w:r>
        <w:instrText xml:space="preserve"> HYPERLINK \l "_Toc30156" </w:instrText>
      </w:r>
      <w:r>
        <w:fldChar w:fldCharType="separate"/>
      </w:r>
      <w:r>
        <w:rPr>
          <w:rFonts w:hint="eastAsia"/>
        </w:rPr>
        <w:t>第四节</w:t>
      </w:r>
      <w:r>
        <w:t xml:space="preserve"> </w:t>
      </w:r>
      <w:r>
        <w:rPr>
          <w:rFonts w:hint="eastAsia"/>
        </w:rPr>
        <w:t>推进社会主义民主政治永修实践</w:t>
      </w:r>
      <w:r>
        <w:tab/>
      </w:r>
      <w:r>
        <w:fldChar w:fldCharType="end"/>
      </w:r>
    </w:p>
    <w:p>
      <w:pPr>
        <w:pStyle w:val="10"/>
        <w:tabs>
          <w:tab w:val="right" w:leader="dot" w:pos="8306"/>
        </w:tabs>
      </w:pPr>
      <w:r>
        <w:fldChar w:fldCharType="begin"/>
      </w:r>
      <w:r>
        <w:instrText xml:space="preserve"> HYPERLINK \l "_Toc32605" </w:instrText>
      </w:r>
      <w:r>
        <w:fldChar w:fldCharType="separate"/>
      </w:r>
      <w:r>
        <w:rPr>
          <w:rFonts w:hint="eastAsia"/>
        </w:rPr>
        <w:t>第十三章</w:t>
      </w:r>
      <w:r>
        <w:t xml:space="preserve"> </w:t>
      </w:r>
      <w:r>
        <w:rPr>
          <w:rFonts w:hint="eastAsia"/>
        </w:rPr>
        <w:t>坚持党的全面领导，实现永修规划新蓝图</w:t>
      </w:r>
      <w:r>
        <w:tab/>
      </w:r>
      <w:r>
        <w:fldChar w:fldCharType="end"/>
      </w:r>
    </w:p>
    <w:p>
      <w:pPr>
        <w:pStyle w:val="11"/>
        <w:tabs>
          <w:tab w:val="right" w:leader="dot" w:pos="8306"/>
        </w:tabs>
        <w:ind w:left="31680"/>
      </w:pPr>
      <w:r>
        <w:fldChar w:fldCharType="begin"/>
      </w:r>
      <w:r>
        <w:instrText xml:space="preserve"> HYPERLINK \l "_Toc31007" </w:instrText>
      </w:r>
      <w:r>
        <w:fldChar w:fldCharType="separate"/>
      </w:r>
      <w:r>
        <w:rPr>
          <w:rFonts w:hint="eastAsia"/>
        </w:rPr>
        <w:t>第一节</w:t>
      </w:r>
      <w:r>
        <w:t xml:space="preserve"> </w:t>
      </w:r>
      <w:r>
        <w:rPr>
          <w:rFonts w:hint="eastAsia"/>
        </w:rPr>
        <w:t>全面加强党的领导</w:t>
      </w:r>
      <w:r>
        <w:tab/>
      </w:r>
      <w:r>
        <w:fldChar w:fldCharType="end"/>
      </w:r>
    </w:p>
    <w:p>
      <w:pPr>
        <w:pStyle w:val="11"/>
        <w:tabs>
          <w:tab w:val="right" w:leader="dot" w:pos="8306"/>
        </w:tabs>
        <w:ind w:left="31680"/>
      </w:pPr>
      <w:r>
        <w:fldChar w:fldCharType="begin"/>
      </w:r>
      <w:r>
        <w:instrText xml:space="preserve"> HYPERLINK \l "_Toc2280" </w:instrText>
      </w:r>
      <w:r>
        <w:fldChar w:fldCharType="separate"/>
      </w:r>
      <w:r>
        <w:rPr>
          <w:rFonts w:hint="eastAsia"/>
        </w:rPr>
        <w:t>第二节</w:t>
      </w:r>
      <w:r>
        <w:t xml:space="preserve"> </w:t>
      </w:r>
      <w:r>
        <w:rPr>
          <w:rFonts w:hint="eastAsia"/>
        </w:rPr>
        <w:t>积极争取政策支持</w:t>
      </w:r>
      <w:r>
        <w:tab/>
      </w:r>
      <w:r>
        <w:fldChar w:fldCharType="end"/>
      </w:r>
    </w:p>
    <w:p>
      <w:pPr>
        <w:pStyle w:val="11"/>
        <w:tabs>
          <w:tab w:val="right" w:leader="dot" w:pos="8306"/>
        </w:tabs>
        <w:ind w:left="31680"/>
      </w:pPr>
      <w:r>
        <w:fldChar w:fldCharType="begin"/>
      </w:r>
      <w:r>
        <w:instrText xml:space="preserve"> HYPERLINK \l "_Toc24845" </w:instrText>
      </w:r>
      <w:r>
        <w:fldChar w:fldCharType="separate"/>
      </w:r>
      <w:r>
        <w:rPr>
          <w:rFonts w:hint="eastAsia"/>
        </w:rPr>
        <w:t>第三节</w:t>
      </w:r>
      <w:r>
        <w:t xml:space="preserve"> </w:t>
      </w:r>
      <w:r>
        <w:rPr>
          <w:rFonts w:hint="eastAsia"/>
        </w:rPr>
        <w:t>健全规划联动机制</w:t>
      </w:r>
      <w:r>
        <w:tab/>
      </w:r>
      <w:r>
        <w:fldChar w:fldCharType="end"/>
      </w:r>
    </w:p>
    <w:p>
      <w:pPr>
        <w:pStyle w:val="11"/>
        <w:tabs>
          <w:tab w:val="right" w:leader="dot" w:pos="8306"/>
        </w:tabs>
        <w:ind w:left="31680"/>
      </w:pPr>
      <w:r>
        <w:fldChar w:fldCharType="begin"/>
      </w:r>
      <w:r>
        <w:instrText xml:space="preserve"> HYPERLINK \l "_Toc1549" </w:instrText>
      </w:r>
      <w:r>
        <w:fldChar w:fldCharType="separate"/>
      </w:r>
      <w:r>
        <w:rPr>
          <w:rFonts w:hint="eastAsia"/>
        </w:rPr>
        <w:t>第四节</w:t>
      </w:r>
      <w:r>
        <w:t xml:space="preserve"> </w:t>
      </w:r>
      <w:r>
        <w:rPr>
          <w:rFonts w:hint="eastAsia"/>
        </w:rPr>
        <w:t>加强规划监管评估</w:t>
      </w:r>
      <w:r>
        <w:tab/>
      </w:r>
      <w:r>
        <w:fldChar w:fldCharType="end"/>
      </w:r>
    </w:p>
    <w:p>
      <w:pPr>
        <w:spacing w:line="560" w:lineRule="exact"/>
        <w:ind w:firstLine="0" w:firstLineChars="0"/>
        <w:rPr>
          <w:rFonts w:ascii="仿宋_GB2312" w:hAnsi="仿宋_GB2312" w:eastAsia="仿宋_GB2312" w:cs="仿宋_GB2312"/>
          <w:szCs w:val="32"/>
        </w:rPr>
      </w:pPr>
      <w:r>
        <w:rPr>
          <w:rFonts w:ascii="仿宋_GB2312" w:hAnsi="仿宋_GB2312" w:eastAsia="仿宋_GB2312" w:cs="仿宋_GB2312"/>
          <w:szCs w:val="32"/>
        </w:rPr>
        <w:fldChar w:fldCharType="end"/>
      </w:r>
    </w:p>
    <w:p>
      <w:pPr>
        <w:ind w:firstLine="31680"/>
        <w:rPr>
          <w:rFonts w:ascii="仿宋_GB2312" w:hAnsi="仿宋_GB2312" w:eastAsia="仿宋_GB2312" w:cs="仿宋_GB2312"/>
          <w:szCs w:val="32"/>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永修县国民经济和社会发展第十四个五年规划和二〇三五年远景目标纲要》，根据《中共永修县委关于制定全县国民经济和社会发展第十四个五年规划和二〇三五年远景目标的建议》编制，明确了未来五年发展的主要目标、重点任务和重大举措，同时提出了二〇三五年国民经济和社会发展远景目标。作为开启全面建设社会主义现代化新征程的第一个中长期规划，本规划是政府履责的重要依据，是经济社会运行的方向指引，</w:t>
      </w:r>
      <w:r>
        <w:rPr>
          <w:rFonts w:hint="eastAsia" w:ascii="仿宋_GB2312" w:hAnsi="仿宋_GB2312" w:eastAsia="仿宋_GB2312" w:cs="仿宋_GB2312"/>
          <w:color w:val="000000"/>
          <w:szCs w:val="32"/>
        </w:rPr>
        <w:t>是市场主体的行为导向，</w:t>
      </w:r>
      <w:r>
        <w:rPr>
          <w:rFonts w:hint="eastAsia" w:ascii="仿宋_GB2312" w:hAnsi="仿宋_GB2312" w:eastAsia="仿宋_GB2312" w:cs="仿宋_GB2312"/>
          <w:szCs w:val="32"/>
        </w:rPr>
        <w:t>是全县上下为实现与全国全省全市同步开启社会主义现代化新征程的共同愿景。</w:t>
      </w:r>
    </w:p>
    <w:p>
      <w:pPr>
        <w:pStyle w:val="3"/>
        <w:spacing w:before="156" w:after="156"/>
      </w:pPr>
      <w:bookmarkStart w:id="5" w:name="_Toc31354"/>
      <w:bookmarkStart w:id="6" w:name="_Toc1107"/>
      <w:r>
        <w:rPr>
          <w:rFonts w:hint="eastAsia"/>
        </w:rPr>
        <w:t>第一章</w:t>
      </w:r>
      <w:r>
        <w:t xml:space="preserve"> </w:t>
      </w:r>
      <w:r>
        <w:rPr>
          <w:rFonts w:hint="eastAsia"/>
        </w:rPr>
        <w:t>开启全面建设社会主义现代化永修新征程</w:t>
      </w:r>
      <w:bookmarkEnd w:id="5"/>
      <w:bookmarkEnd w:id="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十四五”时期，是我国全面建成小康社会、实现第一个百年奋斗目标之后，乘势而上开启全面建设社会主义现代化国家新征程、向第二个百年奋斗目标进军的第一个五年，是永修县在全面建成小康社会基础上，继往开来开启社会主义现代建设新征程的起步期。</w:t>
      </w: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全面总结“十三五”发展成就和经验，客观研判发展形势，是永修面对中华民族伟大复兴战略全局和世界百年未有之大变局，准确识变、科学应变、主动求变的客观需要，有利于永修在“十四五”时期抓住发展机遇，在危机中育先机、于变局中开新局，推动全县高质量跨越式发展。</w:t>
      </w:r>
    </w:p>
    <w:p>
      <w:pPr>
        <w:pStyle w:val="4"/>
        <w:spacing w:before="156" w:after="156"/>
      </w:pPr>
      <w:bookmarkStart w:id="7" w:name="_Toc20888"/>
      <w:bookmarkStart w:id="8" w:name="_Toc15874"/>
      <w:r>
        <w:rPr>
          <w:rFonts w:hint="eastAsia"/>
        </w:rPr>
        <w:t>第一节</w:t>
      </w:r>
      <w:r>
        <w:t xml:space="preserve"> </w:t>
      </w:r>
      <w:r>
        <w:rPr>
          <w:rFonts w:hint="eastAsia"/>
        </w:rPr>
        <w:t>发展基础</w:t>
      </w:r>
      <w:bookmarkEnd w:id="7"/>
      <w:bookmarkEnd w:id="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十三五”时期，在县委、县政府的正确领导下，在县人大和县政协的监督支持下，永修坚定不移贯彻中央、省委、市委各项决策部署，全面贯彻落实习近平新时代中国特色社会主义思想和习近平总书记视察江西重要讲话精神，紧紧围绕“五大定位、八大工程”，坚持发展现代化、产业集聚化、建设景区化、服务信息化，解放思想、开拓创新、拼搏实干、负重奋进，统筹推进经济建设、政治建设、文化建设、社会建设、生态文明建设，积极引领经济发展新常态，经济社会发展取得新成就，“十三五”规划确定的主要目标任务顺利完成，实现与全国、全省、全市同步全面建成小康社会，为开启全面建设社会主义现代化永修奠定坚实基础。</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经济实力稳步提升。</w:t>
      </w:r>
      <w:r>
        <w:rPr>
          <w:rFonts w:hint="eastAsia" w:ascii="仿宋_GB2312" w:hAnsi="仿宋_GB2312" w:eastAsia="仿宋_GB2312" w:cs="仿宋_GB2312"/>
          <w:szCs w:val="32"/>
        </w:rPr>
        <w:t>“十三五”期间，全县认真贯彻新发展理念，经济呈现“总体平稳、稳中有进、进中趋优”的良好态势，地区生产总值由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121.25</w:t>
      </w:r>
      <w:r>
        <w:rPr>
          <w:rFonts w:hint="eastAsia" w:ascii="仿宋_GB2312" w:hAnsi="仿宋_GB2312" w:eastAsia="仿宋_GB2312" w:cs="仿宋_GB2312"/>
          <w:szCs w:val="32"/>
        </w:rPr>
        <w:t>亿元提高到</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250.62</w:t>
      </w:r>
      <w:r>
        <w:rPr>
          <w:rFonts w:hint="eastAsia" w:ascii="仿宋_GB2312" w:hAnsi="仿宋_GB2312" w:eastAsia="仿宋_GB2312" w:cs="仿宋_GB2312"/>
          <w:szCs w:val="32"/>
        </w:rPr>
        <w:t>亿元，年均增长</w:t>
      </w:r>
      <w:r>
        <w:rPr>
          <w:rFonts w:ascii="仿宋_GB2312" w:hAnsi="仿宋_GB2312" w:eastAsia="仿宋_GB2312" w:cs="仿宋_GB2312"/>
          <w:szCs w:val="32"/>
        </w:rPr>
        <w:t>15.6%</w:t>
      </w:r>
      <w:r>
        <w:rPr>
          <w:rFonts w:hint="eastAsia" w:ascii="仿宋_GB2312" w:hAnsi="仿宋_GB2312" w:eastAsia="仿宋_GB2312" w:cs="仿宋_GB2312"/>
          <w:szCs w:val="32"/>
        </w:rPr>
        <w:t>；财政总收入由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21.52</w:t>
      </w:r>
      <w:r>
        <w:rPr>
          <w:rFonts w:hint="eastAsia" w:ascii="仿宋_GB2312" w:hAnsi="仿宋_GB2312" w:eastAsia="仿宋_GB2312" w:cs="仿宋_GB2312"/>
          <w:szCs w:val="32"/>
        </w:rPr>
        <w:t>亿元增加到</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30.76</w:t>
      </w:r>
      <w:r>
        <w:rPr>
          <w:rFonts w:hint="eastAsia" w:ascii="仿宋_GB2312" w:hAnsi="仿宋_GB2312" w:eastAsia="仿宋_GB2312" w:cs="仿宋_GB2312"/>
          <w:szCs w:val="32"/>
        </w:rPr>
        <w:t>亿元，年均增长</w:t>
      </w:r>
      <w:r>
        <w:rPr>
          <w:rFonts w:ascii="仿宋_GB2312" w:hAnsi="仿宋_GB2312" w:eastAsia="仿宋_GB2312" w:cs="仿宋_GB2312"/>
          <w:szCs w:val="32"/>
        </w:rPr>
        <w:t>7.41%</w:t>
      </w:r>
      <w:r>
        <w:rPr>
          <w:rFonts w:hint="eastAsia" w:ascii="仿宋_GB2312" w:hAnsi="仿宋_GB2312" w:eastAsia="仿宋_GB2312" w:cs="仿宋_GB2312"/>
          <w:szCs w:val="32"/>
        </w:rPr>
        <w:t>；社会消费品零售总额由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32.87</w:t>
      </w:r>
      <w:r>
        <w:rPr>
          <w:rFonts w:hint="eastAsia" w:ascii="仿宋_GB2312" w:hAnsi="仿宋_GB2312" w:eastAsia="仿宋_GB2312" w:cs="仿宋_GB2312"/>
          <w:szCs w:val="32"/>
        </w:rPr>
        <w:t>亿元增长为预计</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78.02</w:t>
      </w:r>
      <w:r>
        <w:rPr>
          <w:rFonts w:hint="eastAsia" w:ascii="仿宋_GB2312" w:hAnsi="仿宋_GB2312" w:eastAsia="仿宋_GB2312" w:cs="仿宋_GB2312"/>
          <w:szCs w:val="32"/>
        </w:rPr>
        <w:t>亿元，年均增长</w:t>
      </w:r>
      <w:r>
        <w:rPr>
          <w:rFonts w:ascii="仿宋_GB2312" w:hAnsi="仿宋_GB2312" w:eastAsia="仿宋_GB2312" w:cs="仿宋_GB2312"/>
          <w:szCs w:val="32"/>
        </w:rPr>
        <w:t>18.9%</w:t>
      </w:r>
      <w:r>
        <w:rPr>
          <w:rFonts w:hint="eastAsia" w:ascii="仿宋_GB2312" w:hAnsi="仿宋_GB2312" w:eastAsia="仿宋_GB2312" w:cs="仿宋_GB2312"/>
          <w:szCs w:val="32"/>
        </w:rPr>
        <w:t>；外贸出口总额由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28374</w:t>
      </w:r>
      <w:r>
        <w:rPr>
          <w:rFonts w:hint="eastAsia" w:ascii="仿宋_GB2312" w:hAnsi="仿宋_GB2312" w:eastAsia="仿宋_GB2312" w:cs="仿宋_GB2312"/>
          <w:szCs w:val="32"/>
        </w:rPr>
        <w:t>万美元预计提高到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41000</w:t>
      </w:r>
      <w:r>
        <w:rPr>
          <w:rFonts w:hint="eastAsia" w:ascii="仿宋_GB2312" w:hAnsi="仿宋_GB2312" w:eastAsia="仿宋_GB2312" w:cs="仿宋_GB2312"/>
          <w:szCs w:val="32"/>
        </w:rPr>
        <w:t>万美元，年均预计增长</w:t>
      </w:r>
      <w:r>
        <w:rPr>
          <w:rFonts w:ascii="仿宋_GB2312" w:hAnsi="仿宋_GB2312" w:eastAsia="仿宋_GB2312" w:cs="仿宋_GB2312"/>
          <w:szCs w:val="32"/>
        </w:rPr>
        <w:t>8.9%</w:t>
      </w:r>
      <w:r>
        <w:rPr>
          <w:rFonts w:hint="eastAsia" w:ascii="仿宋_GB2312" w:hAnsi="仿宋_GB2312" w:eastAsia="仿宋_GB2312" w:cs="仿宋_GB2312"/>
          <w:szCs w:val="32"/>
        </w:rPr>
        <w:t>；实际利用外资由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11589</w:t>
      </w:r>
      <w:r>
        <w:rPr>
          <w:rFonts w:hint="eastAsia" w:ascii="仿宋_GB2312" w:hAnsi="仿宋_GB2312" w:eastAsia="仿宋_GB2312" w:cs="仿宋_GB2312"/>
          <w:szCs w:val="32"/>
        </w:rPr>
        <w:t>万美元，预计提高到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18140</w:t>
      </w:r>
      <w:r>
        <w:rPr>
          <w:rFonts w:hint="eastAsia" w:ascii="仿宋_GB2312" w:hAnsi="仿宋_GB2312" w:eastAsia="仿宋_GB2312" w:cs="仿宋_GB2312"/>
          <w:szCs w:val="32"/>
        </w:rPr>
        <w:t>万美元，年均增长</w:t>
      </w:r>
      <w:r>
        <w:rPr>
          <w:rFonts w:ascii="仿宋_GB2312" w:hAnsi="仿宋_GB2312" w:eastAsia="仿宋_GB2312" w:cs="仿宋_GB2312"/>
          <w:szCs w:val="32"/>
        </w:rPr>
        <w:t>11.3%</w:t>
      </w:r>
      <w:r>
        <w:rPr>
          <w:rFonts w:hint="eastAsia" w:ascii="仿宋_GB2312" w:hAnsi="仿宋_GB2312" w:eastAsia="仿宋_GB2312" w:cs="仿宋_GB2312"/>
          <w:szCs w:val="32"/>
        </w:rPr>
        <w:t>；实际利用内资由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85</w:t>
      </w:r>
      <w:r>
        <w:rPr>
          <w:rFonts w:hint="eastAsia" w:ascii="仿宋_GB2312" w:hAnsi="仿宋_GB2312" w:eastAsia="仿宋_GB2312" w:cs="仿宋_GB2312"/>
          <w:szCs w:val="32"/>
        </w:rPr>
        <w:t>亿元，预计提高到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168.12</w:t>
      </w:r>
      <w:r>
        <w:rPr>
          <w:rFonts w:hint="eastAsia" w:ascii="仿宋_GB2312" w:hAnsi="仿宋_GB2312" w:eastAsia="仿宋_GB2312" w:cs="仿宋_GB2312"/>
          <w:szCs w:val="32"/>
        </w:rPr>
        <w:t>亿元，年均增长</w:t>
      </w:r>
      <w:r>
        <w:rPr>
          <w:rFonts w:ascii="仿宋_GB2312" w:hAnsi="仿宋_GB2312" w:eastAsia="仿宋_GB2312" w:cs="仿宋_GB2312"/>
          <w:szCs w:val="32"/>
        </w:rPr>
        <w:t>14.6%</w:t>
      </w:r>
      <w:r>
        <w:rPr>
          <w:rFonts w:hint="eastAsia" w:ascii="仿宋_GB2312" w:hAnsi="仿宋_GB2312" w:eastAsia="仿宋_GB2312" w:cs="仿宋_GB2312"/>
          <w:szCs w:val="32"/>
        </w:rPr>
        <w:t>。</w:t>
      </w:r>
    </w:p>
    <w:p>
      <w:pPr>
        <w:pStyle w:val="14"/>
        <w:ind w:firstLine="0" w:firstLineChars="0"/>
        <w:jc w:val="center"/>
      </w:pPr>
      <w:r>
        <w:pict>
          <v:shape id="_x0000_i1025" o:spt="75" type="#_x0000_t75" style="height:222pt;width:417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">
            <v:path/>
            <v:fill on="f" focussize="0,0"/>
            <v:stroke on="f" joinstyle="miter"/>
            <v:imagedata r:id="rId9" cropbottom="-15f" o:title=""/>
            <o:lock v:ext="edit" aspectratio="f"/>
            <w10:wrap type="none"/>
            <w10:anchorlock/>
          </v:shape>
        </w:pict>
      </w:r>
    </w:p>
    <w:p>
      <w:pPr>
        <w:ind w:firstLine="31680"/>
        <w:jc w:val="center"/>
        <w:rPr>
          <w:b/>
          <w:bCs/>
          <w:sz w:val="24"/>
        </w:rPr>
      </w:pPr>
      <w:r>
        <w:rPr>
          <w:rFonts w:hint="eastAsia"/>
          <w:b/>
          <w:bCs/>
          <w:sz w:val="24"/>
        </w:rPr>
        <w:t>图</w:t>
      </w:r>
      <w:r>
        <w:rPr>
          <w:b/>
          <w:bCs/>
          <w:sz w:val="24"/>
        </w:rPr>
        <w:t>1  2015-2020</w:t>
      </w:r>
      <w:r>
        <w:rPr>
          <w:rFonts w:hint="eastAsia"/>
          <w:b/>
          <w:bCs/>
          <w:sz w:val="24"/>
        </w:rPr>
        <w:t>年永修县地区生产总值及其增长率</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产业结构持续优化。</w:t>
      </w:r>
      <w:r>
        <w:rPr>
          <w:rFonts w:hint="eastAsia" w:ascii="仿宋_GB2312" w:hAnsi="仿宋_GB2312" w:eastAsia="仿宋_GB2312" w:cs="仿宋_GB2312"/>
          <w:szCs w:val="32"/>
        </w:rPr>
        <w:t>“十三五”期间，全县坚持在提质量中调结构，产业结构不断优化。预计由“十二五”期末的</w:t>
      </w:r>
      <w:r>
        <w:rPr>
          <w:rFonts w:ascii="仿宋_GB2312" w:hAnsi="仿宋_GB2312" w:eastAsia="仿宋_GB2312" w:cs="仿宋_GB2312"/>
          <w:szCs w:val="32"/>
        </w:rPr>
        <w:t>11.8</w:t>
      </w:r>
      <w:r>
        <w:rPr>
          <w:rFonts w:hint="eastAsia" w:ascii="仿宋_GB2312" w:hAnsi="仿宋_GB2312" w:eastAsia="仿宋_GB2312" w:cs="仿宋_GB2312"/>
          <w:szCs w:val="32"/>
        </w:rPr>
        <w:t>：</w:t>
      </w:r>
      <w:r>
        <w:rPr>
          <w:rFonts w:ascii="仿宋_GB2312" w:hAnsi="仿宋_GB2312" w:eastAsia="仿宋_GB2312" w:cs="仿宋_GB2312"/>
          <w:szCs w:val="32"/>
        </w:rPr>
        <w:t>64.4</w:t>
      </w:r>
      <w:r>
        <w:rPr>
          <w:rFonts w:hint="eastAsia" w:ascii="仿宋_GB2312" w:hAnsi="仿宋_GB2312" w:eastAsia="仿宋_GB2312" w:cs="仿宋_GB2312"/>
          <w:szCs w:val="32"/>
        </w:rPr>
        <w:t>：</w:t>
      </w:r>
      <w:r>
        <w:rPr>
          <w:rFonts w:ascii="仿宋_GB2312" w:hAnsi="仿宋_GB2312" w:eastAsia="仿宋_GB2312" w:cs="仿宋_GB2312"/>
          <w:szCs w:val="32"/>
        </w:rPr>
        <w:t>23.8</w:t>
      </w:r>
      <w:r>
        <w:rPr>
          <w:rFonts w:hint="eastAsia" w:ascii="仿宋_GB2312" w:hAnsi="仿宋_GB2312" w:eastAsia="仿宋_GB2312" w:cs="仿宋_GB2312"/>
          <w:szCs w:val="32"/>
        </w:rPr>
        <w:t>调整为</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10</w:t>
      </w:r>
      <w:r>
        <w:rPr>
          <w:rFonts w:hint="eastAsia" w:ascii="仿宋_GB2312" w:hAnsi="仿宋_GB2312" w:eastAsia="仿宋_GB2312" w:cs="仿宋_GB2312"/>
          <w:szCs w:val="32"/>
        </w:rPr>
        <w:t>：</w:t>
      </w:r>
      <w:r>
        <w:rPr>
          <w:rFonts w:ascii="仿宋_GB2312" w:hAnsi="仿宋_GB2312" w:eastAsia="仿宋_GB2312" w:cs="仿宋_GB2312"/>
          <w:szCs w:val="32"/>
        </w:rPr>
        <w:t>54</w:t>
      </w:r>
      <w:r>
        <w:rPr>
          <w:rFonts w:hint="eastAsia" w:ascii="仿宋_GB2312" w:hAnsi="仿宋_GB2312" w:eastAsia="仿宋_GB2312" w:cs="仿宋_GB2312"/>
          <w:szCs w:val="32"/>
        </w:rPr>
        <w:t>：</w:t>
      </w:r>
      <w:r>
        <w:rPr>
          <w:rFonts w:ascii="仿宋_GB2312" w:hAnsi="仿宋_GB2312" w:eastAsia="仿宋_GB2312" w:cs="仿宋_GB2312"/>
          <w:szCs w:val="32"/>
        </w:rPr>
        <w:t>36</w:t>
      </w:r>
      <w:r>
        <w:rPr>
          <w:rFonts w:hint="eastAsia" w:ascii="仿宋_GB2312" w:hAnsi="仿宋_GB2312" w:eastAsia="仿宋_GB2312" w:cs="仿宋_GB2312"/>
          <w:szCs w:val="32"/>
        </w:rPr>
        <w:t>。新型工业更具实力，高新技术产业、新兴产业发展步伐加快，赣江新区高新技术示范园正式挂牌，全县科技创新综合指数稳居全市前列</w:t>
      </w:r>
      <w:r>
        <w:rPr>
          <w:rFonts w:ascii="仿宋_GB2312" w:hAnsi="仿宋_GB2312" w:eastAsia="仿宋_GB2312" w:cs="仿宋_GB2312"/>
          <w:szCs w:val="32"/>
        </w:rPr>
        <w:t>,</w:t>
      </w:r>
      <w:r>
        <w:rPr>
          <w:rFonts w:hint="eastAsia" w:ascii="仿宋_GB2312" w:hAnsi="仿宋_GB2312" w:eastAsia="仿宋_GB2312" w:cs="仿宋_GB2312"/>
          <w:szCs w:val="32"/>
        </w:rPr>
        <w:t>建成省级制造业创新中心</w:t>
      </w:r>
      <w:r>
        <w:rPr>
          <w:rFonts w:ascii="仿宋_GB2312" w:hAnsi="仿宋_GB2312" w:eastAsia="仿宋_GB2312" w:cs="仿宋_GB2312"/>
          <w:szCs w:val="32"/>
        </w:rPr>
        <w:t>——</w:t>
      </w:r>
      <w:r>
        <w:rPr>
          <w:rFonts w:hint="eastAsia" w:ascii="仿宋_GB2312" w:hAnsi="仿宋_GB2312" w:eastAsia="仿宋_GB2312" w:cs="仿宋_GB2312"/>
          <w:szCs w:val="32"/>
        </w:rPr>
        <w:t>江西赣江新区有机硅创新研究院，率先运营国内首家有机硅产业孵化基地。现代农业更具竞争力，成功入选“全国农村一二三产业融合发展先导区”，“永修香米”被列为全省七个重点扶持稻米区域公用品牌之一，成功创建“永修蜜桔”中国地理标志证明商标和“修滋味”农产品区域公共品牌，县雁鸭类水禽养殖技术荣获全省科学技术进步二等奖。现代服务业更具活力，成功创建江西旅游强县，顺利承办</w:t>
      </w:r>
      <w:r>
        <w:rPr>
          <w:rFonts w:ascii="仿宋_GB2312" w:hAnsi="仿宋_GB2312" w:eastAsia="仿宋_GB2312" w:cs="仿宋_GB2312"/>
          <w:szCs w:val="32"/>
        </w:rPr>
        <w:t>2019</w:t>
      </w:r>
      <w:r>
        <w:rPr>
          <w:rFonts w:hint="eastAsia" w:ascii="仿宋_GB2312" w:hAnsi="仿宋_GB2312" w:eastAsia="仿宋_GB2312" w:cs="仿宋_GB2312"/>
          <w:szCs w:val="32"/>
        </w:rPr>
        <w:t>年首届鄱阳湖“国际观鸟周”，吴城镇获批全国首家“中国候鸟小镇”、国家</w:t>
      </w:r>
      <w:r>
        <w:rPr>
          <w:rFonts w:ascii="仿宋_GB2312" w:hAnsi="仿宋_GB2312" w:eastAsia="仿宋_GB2312" w:cs="仿宋_GB2312"/>
          <w:szCs w:val="32"/>
        </w:rPr>
        <w:t>4A</w:t>
      </w:r>
      <w:r>
        <w:rPr>
          <w:rFonts w:hint="eastAsia" w:ascii="仿宋_GB2312" w:hAnsi="仿宋_GB2312" w:eastAsia="仿宋_GB2312" w:cs="仿宋_GB2312"/>
          <w:szCs w:val="32"/>
        </w:rPr>
        <w:t>级景区、江西旅游风情小镇，云山集团被评为全省第二批“商旅文融合发展示范区”、</w:t>
      </w:r>
      <w:r>
        <w:rPr>
          <w:rFonts w:ascii="仿宋_GB2312" w:hAnsi="仿宋_GB2312" w:eastAsia="仿宋_GB2312" w:cs="仿宋_GB2312"/>
          <w:szCs w:val="32"/>
        </w:rPr>
        <w:t>2020</w:t>
      </w:r>
      <w:r>
        <w:rPr>
          <w:rFonts w:hint="eastAsia" w:ascii="仿宋_GB2312" w:hAnsi="仿宋_GB2312" w:eastAsia="仿宋_GB2312" w:cs="仿宋_GB2312"/>
          <w:szCs w:val="32"/>
        </w:rPr>
        <w:t>年江西避暑旅游目的地。新增规模以上服务业企业总量全市第一，实现规模以上服务业营业收入增幅位列全市第一，商贸等传统服务业产业升级改造，金融、物流、房地产等现代服务业围绕“互联网</w:t>
      </w:r>
      <w:r>
        <w:rPr>
          <w:rFonts w:ascii="仿宋_GB2312" w:hAnsi="仿宋_GB2312" w:eastAsia="仿宋_GB2312" w:cs="仿宋_GB2312"/>
          <w:szCs w:val="32"/>
        </w:rPr>
        <w:t>+</w:t>
      </w:r>
      <w:r>
        <w:rPr>
          <w:rFonts w:hint="eastAsia" w:ascii="仿宋_GB2312" w:hAnsi="仿宋_GB2312" w:eastAsia="仿宋_GB2312" w:cs="仿宋_GB2312"/>
          <w:szCs w:val="32"/>
        </w:rPr>
        <w:t>”进行技术改造，得到了快速发展。</w:t>
      </w:r>
    </w:p>
    <w:p>
      <w:pPr>
        <w:pStyle w:val="14"/>
        <w:ind w:firstLine="0" w:firstLineChars="0"/>
        <w:jc w:val="center"/>
      </w:pPr>
      <w:r>
        <w:pict>
          <v:shape id="_x0000_i1026" o:spt="75" type="#_x0000_t75" style="height:238.5pt;width:396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">
            <v:path/>
            <v:fill on="f" focussize="0,0"/>
            <v:stroke on="f" joinstyle="miter"/>
            <v:imagedata r:id="rId10" o:title=""/>
            <o:lock v:ext="edit" aspectratio="f"/>
            <w10:wrap type="none"/>
            <w10:anchorlock/>
          </v:shape>
        </w:pict>
      </w:r>
    </w:p>
    <w:p>
      <w:pPr>
        <w:ind w:firstLine="31680"/>
        <w:jc w:val="center"/>
        <w:rPr>
          <w:b/>
          <w:bCs/>
          <w:sz w:val="24"/>
        </w:rPr>
      </w:pPr>
      <w:r>
        <w:rPr>
          <w:rFonts w:hint="eastAsia"/>
          <w:b/>
          <w:bCs/>
          <w:sz w:val="24"/>
        </w:rPr>
        <w:t>图</w:t>
      </w:r>
      <w:r>
        <w:rPr>
          <w:b/>
          <w:bCs/>
          <w:sz w:val="24"/>
        </w:rPr>
        <w:t>2  2015-2020</w:t>
      </w:r>
      <w:r>
        <w:rPr>
          <w:rFonts w:hint="eastAsia"/>
          <w:b/>
          <w:bCs/>
          <w:sz w:val="24"/>
        </w:rPr>
        <w:t>年永修县三次产业结构的调整优化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改革成效显著增强。</w:t>
      </w:r>
      <w:r>
        <w:rPr>
          <w:rFonts w:hint="eastAsia" w:ascii="仿宋_GB2312" w:hAnsi="仿宋_GB2312" w:eastAsia="仿宋_GB2312" w:cs="仿宋_GB2312"/>
          <w:szCs w:val="32"/>
        </w:rPr>
        <w:t>全县完成农村土地承包经营权确权登记工作，扎实推进农村集体产权制度改革试点，全面启动农垦国有土地确权发证工作，完成不动产登记中心建设。坚定不移扶持实体，全面落实减税降费政策，营商环境不断优化，深化“放管服”改革，成功搭建审管平台，加快推进“一网通办”，建成公共材料库和电子证照库，在全省县（区）中第一个实现办事材料“一次提交、永久复用”。税务征管体制改革顺利完成。在全市率先成立工业投资公司，加强与社会资本合作，稳步探索</w:t>
      </w:r>
      <w:r>
        <w:rPr>
          <w:rFonts w:ascii="仿宋_GB2312" w:hAnsi="仿宋_GB2312" w:eastAsia="仿宋_GB2312" w:cs="仿宋_GB2312"/>
          <w:szCs w:val="32"/>
        </w:rPr>
        <w:t>PPP</w:t>
      </w:r>
      <w:r>
        <w:rPr>
          <w:rFonts w:hint="eastAsia" w:ascii="仿宋_GB2312" w:hAnsi="仿宋_GB2312" w:eastAsia="仿宋_GB2312" w:cs="仿宋_GB2312"/>
          <w:szCs w:val="32"/>
        </w:rPr>
        <w:t>项目建设模式。教育、卫生、供销等其他各项改革深入推进，全县首家院士工作站和研究生工作站正式成立，江西银河表计公司被评为第一批江西省科技型中小微企业。</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城乡生活品质持续提升。</w:t>
      </w:r>
      <w:r>
        <w:rPr>
          <w:rFonts w:hint="eastAsia" w:ascii="仿宋_GB2312" w:hAnsi="仿宋_GB2312" w:eastAsia="仿宋_GB2312" w:cs="仿宋_GB2312"/>
          <w:szCs w:val="32"/>
        </w:rPr>
        <w:t>“十三五”时期，完成蓝天大道、白莲路、新华路、兴隆街等道路“白改黑”及人行道改造，完成银盘路、关公巷、棉麻宿舍等背街小巷、开放式小区路灯“暗改亮”工程，建成一批“五小工程”，新增停车位近千个；大力整治城市占道经营、乱停乱放、乱贴乱挂等不文明现象，有效维护了城市秩序，塑造了“路畅、街美、园净、灯亮”的城市新形象。启动“智慧永修”建设，提升城市管理服务水平。全面完成村村通硬化路和符合条件的建制村通镇村公交，提升农村低碳绿色出行。大力实施集镇提升改造工程，打造了江上南山组、白槎坂上组等</w:t>
      </w:r>
      <w:r>
        <w:rPr>
          <w:rFonts w:ascii="仿宋_GB2312" w:hAnsi="仿宋_GB2312" w:eastAsia="仿宋_GB2312" w:cs="仿宋_GB2312"/>
          <w:szCs w:val="32"/>
        </w:rPr>
        <w:t>10</w:t>
      </w:r>
      <w:r>
        <w:rPr>
          <w:rFonts w:hint="eastAsia" w:ascii="仿宋_GB2312" w:hAnsi="仿宋_GB2312" w:eastAsia="仿宋_GB2312" w:cs="仿宋_GB2312"/>
          <w:szCs w:val="32"/>
        </w:rPr>
        <w:t>个乡村振兴示范村庄，云山东庄农场获选为“第二届中国美丽乡村百佳范例”。深入推进农村生活垃圾综合治理，白槎作为全省唯一整建制乡镇代表江西接受农村生活垃圾治理国检，永修县新型城镇化荣获全省综合评价第二名。</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生态环境质量逐步提高。</w:t>
      </w:r>
      <w:r>
        <w:rPr>
          <w:rFonts w:hint="eastAsia" w:ascii="仿宋_GB2312" w:hAnsi="仿宋_GB2312" w:eastAsia="仿宋_GB2312" w:cs="仿宋_GB2312"/>
          <w:szCs w:val="32"/>
        </w:rPr>
        <w:t>积极打造鄱阳湖最美岸线，杨柳津河劣Ⅴ类水整治以优异成绩顺利通过省级验收，恒丰污水处理厂建成运行，</w:t>
      </w:r>
      <w:r>
        <w:rPr>
          <w:rFonts w:hint="eastAsia" w:eastAsia="仿宋_GB2312" w:cs="仿宋_GB2312"/>
          <w:color w:val="000000"/>
          <w:spacing w:val="2"/>
          <w:szCs w:val="32"/>
        </w:rPr>
        <w:t>山水库饮用水水源地、供水公司取水口（潦河）饮用水水源地水质达标率</w:t>
      </w:r>
      <w:r>
        <w:rPr>
          <w:rFonts w:eastAsia="仿宋_GB2312" w:cs="仿宋_GB2312"/>
          <w:color w:val="000000"/>
          <w:spacing w:val="2"/>
          <w:szCs w:val="32"/>
        </w:rPr>
        <w:t>100%</w:t>
      </w:r>
      <w:r>
        <w:rPr>
          <w:rFonts w:hint="eastAsia" w:ascii="仿宋_GB2312" w:hAnsi="仿宋_GB2312" w:eastAsia="仿宋_GB2312" w:cs="仿宋_GB2312"/>
          <w:szCs w:val="32"/>
        </w:rPr>
        <w:t>；扬尘污染、秸秆燃烧得到有效管控，餐饮油烟治理走在全市前列，全县所有粘土砖瓦窑厂全部拆除。大力推进绿色生态创建，实施昌九高速、昌九大道、城际铁路沿线绿化提升。河长制、林长制全面落实，生态环境持续改善。</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社会事业全面发展。</w:t>
      </w:r>
      <w:r>
        <w:rPr>
          <w:rFonts w:hint="eastAsia" w:ascii="仿宋_GB2312" w:hAnsi="仿宋_GB2312" w:eastAsia="仿宋_GB2312" w:cs="仿宋_GB2312"/>
          <w:szCs w:val="32"/>
        </w:rPr>
        <w:t>民生工程加快推进，社会事业全面发展，人民生活更加富足，城乡居民人均可支配收入与经济增长保持基本同步，分别达到</w:t>
      </w:r>
      <w:r>
        <w:rPr>
          <w:rFonts w:ascii="仿宋_GB2312" w:hAnsi="仿宋_GB2312" w:eastAsia="仿宋_GB2312" w:cs="仿宋_GB2312"/>
          <w:szCs w:val="32"/>
        </w:rPr>
        <w:t>38470</w:t>
      </w:r>
      <w:r>
        <w:rPr>
          <w:rFonts w:hint="eastAsia" w:ascii="仿宋_GB2312" w:hAnsi="仿宋_GB2312" w:eastAsia="仿宋_GB2312" w:cs="仿宋_GB2312"/>
          <w:szCs w:val="32"/>
        </w:rPr>
        <w:t>元和</w:t>
      </w:r>
      <w:r>
        <w:rPr>
          <w:rFonts w:ascii="仿宋_GB2312" w:hAnsi="仿宋_GB2312" w:eastAsia="仿宋_GB2312" w:cs="仿宋_GB2312"/>
          <w:szCs w:val="32"/>
        </w:rPr>
        <w:t>19297</w:t>
      </w:r>
      <w:r>
        <w:rPr>
          <w:rFonts w:hint="eastAsia" w:ascii="仿宋_GB2312" w:hAnsi="仿宋_GB2312" w:eastAsia="仿宋_GB2312" w:cs="仿宋_GB2312"/>
          <w:szCs w:val="32"/>
        </w:rPr>
        <w:t>元，年均增长</w:t>
      </w:r>
      <w:r>
        <w:rPr>
          <w:rFonts w:ascii="仿宋_GB2312" w:hAnsi="仿宋_GB2312" w:eastAsia="仿宋_GB2312" w:cs="仿宋_GB2312"/>
          <w:szCs w:val="32"/>
        </w:rPr>
        <w:t>7.9%</w:t>
      </w:r>
      <w:r>
        <w:rPr>
          <w:rFonts w:hint="eastAsia" w:ascii="仿宋_GB2312" w:hAnsi="仿宋_GB2312" w:eastAsia="仿宋_GB2312" w:cs="仿宋_GB2312"/>
          <w:szCs w:val="32"/>
        </w:rPr>
        <w:t>和</w:t>
      </w:r>
      <w:r>
        <w:rPr>
          <w:rFonts w:ascii="仿宋_GB2312" w:hAnsi="仿宋_GB2312" w:eastAsia="仿宋_GB2312" w:cs="仿宋_GB2312"/>
          <w:szCs w:val="32"/>
        </w:rPr>
        <w:t>8.8%</w:t>
      </w:r>
      <w:r>
        <w:rPr>
          <w:rFonts w:hint="eastAsia" w:ascii="仿宋_GB2312" w:hAnsi="仿宋_GB2312" w:eastAsia="仿宋_GB2312" w:cs="仿宋_GB2312"/>
          <w:szCs w:val="32"/>
        </w:rPr>
        <w:t>。高质量打赢脱贫攻坚战，现行标准下农村贫困人口全面脱贫，城镇脱贫群众有效解困。公办和普惠性幼儿园占比分别达</w:t>
      </w:r>
      <w:r>
        <w:rPr>
          <w:rFonts w:ascii="仿宋_GB2312" w:hAnsi="仿宋_GB2312" w:eastAsia="仿宋_GB2312" w:cs="仿宋_GB2312"/>
          <w:szCs w:val="32"/>
        </w:rPr>
        <w:t>54.78%</w:t>
      </w:r>
      <w:r>
        <w:rPr>
          <w:rFonts w:hint="eastAsia" w:ascii="仿宋_GB2312" w:hAnsi="仿宋_GB2312" w:eastAsia="仿宋_GB2312" w:cs="仿宋_GB2312"/>
          <w:szCs w:val="32"/>
        </w:rPr>
        <w:t>和</w:t>
      </w:r>
      <w:r>
        <w:rPr>
          <w:rFonts w:ascii="仿宋_GB2312" w:hAnsi="仿宋_GB2312" w:eastAsia="仿宋_GB2312" w:cs="仿宋_GB2312"/>
          <w:szCs w:val="32"/>
        </w:rPr>
        <w:t>80%</w:t>
      </w:r>
      <w:r>
        <w:rPr>
          <w:rFonts w:hint="eastAsia" w:ascii="仿宋_GB2312" w:hAnsi="仿宋_GB2312" w:eastAsia="仿宋_GB2312" w:cs="仿宋_GB2312"/>
          <w:szCs w:val="32"/>
        </w:rPr>
        <w:t>，义务教育巩固率达</w:t>
      </w:r>
      <w:r>
        <w:rPr>
          <w:rFonts w:ascii="仿宋_GB2312" w:hAnsi="仿宋_GB2312" w:eastAsia="仿宋_GB2312" w:cs="仿宋_GB2312"/>
          <w:szCs w:val="32"/>
        </w:rPr>
        <w:t>100%</w:t>
      </w:r>
      <w:r>
        <w:rPr>
          <w:rFonts w:hint="eastAsia" w:ascii="仿宋_GB2312" w:hAnsi="仿宋_GB2312" w:eastAsia="仿宋_GB2312" w:cs="仿宋_GB2312"/>
          <w:szCs w:val="32"/>
        </w:rPr>
        <w:t>，高中阶段教育普及率达</w:t>
      </w:r>
      <w:r>
        <w:rPr>
          <w:rFonts w:ascii="仿宋_GB2312" w:hAnsi="仿宋_GB2312" w:eastAsia="仿宋_GB2312" w:cs="仿宋_GB2312"/>
          <w:szCs w:val="32"/>
        </w:rPr>
        <w:t>94%</w:t>
      </w:r>
      <w:r>
        <w:rPr>
          <w:rFonts w:hint="eastAsia" w:ascii="仿宋_GB2312" w:hAnsi="仿宋_GB2312" w:eastAsia="仿宋_GB2312" w:cs="仿宋_GB2312"/>
          <w:szCs w:val="32"/>
        </w:rPr>
        <w:t>。医疗卫生服务水平全面提升，全县城乡居民电子健康档案建档率为</w:t>
      </w:r>
      <w:r>
        <w:rPr>
          <w:rFonts w:ascii="仿宋_GB2312" w:hAnsi="仿宋_GB2312" w:eastAsia="仿宋_GB2312" w:cs="仿宋_GB2312"/>
          <w:szCs w:val="32"/>
        </w:rPr>
        <w:t>90%</w:t>
      </w:r>
      <w:r>
        <w:rPr>
          <w:rFonts w:hint="eastAsia" w:ascii="仿宋_GB2312" w:hAnsi="仿宋_GB2312" w:eastAsia="仿宋_GB2312" w:cs="仿宋_GB2312"/>
          <w:szCs w:val="32"/>
        </w:rPr>
        <w:t>，</w:t>
      </w:r>
      <w:r>
        <w:rPr>
          <w:rFonts w:ascii="仿宋_GB2312" w:hAnsi="仿宋_GB2312" w:eastAsia="仿宋_GB2312" w:cs="仿宋_GB2312"/>
          <w:szCs w:val="32"/>
        </w:rPr>
        <w:t>150</w:t>
      </w:r>
      <w:r>
        <w:rPr>
          <w:rFonts w:hint="eastAsia" w:ascii="仿宋_GB2312" w:hAnsi="仿宋_GB2312" w:eastAsia="仿宋_GB2312" w:cs="仿宋_GB2312"/>
          <w:szCs w:val="32"/>
        </w:rPr>
        <w:t>所村级卫生计生服务室完成公有化改造。社会救助保障标准进一步提高，两孩政策得到落实，人口计划和目标任务全面完成。文化事业加快发展，顺利通过国家公共文化服务体系示范区创建工作。社会保障提质利民，累计城镇新增就业</w:t>
      </w:r>
      <w:r>
        <w:rPr>
          <w:rFonts w:ascii="仿宋_GB2312" w:hAnsi="仿宋_GB2312" w:eastAsia="仿宋_GB2312" w:cs="仿宋_GB2312"/>
          <w:szCs w:val="32"/>
        </w:rPr>
        <w:t>1.9</w:t>
      </w:r>
      <w:r>
        <w:rPr>
          <w:rFonts w:hint="eastAsia" w:ascii="仿宋_GB2312" w:hAnsi="仿宋_GB2312" w:eastAsia="仿宋_GB2312" w:cs="仿宋_GB2312"/>
          <w:szCs w:val="32"/>
        </w:rPr>
        <w:t>万人，转移农村劳动力</w:t>
      </w:r>
      <w:r>
        <w:rPr>
          <w:rFonts w:ascii="仿宋_GB2312" w:hAnsi="仿宋_GB2312" w:eastAsia="仿宋_GB2312" w:cs="仿宋_GB2312"/>
          <w:szCs w:val="32"/>
        </w:rPr>
        <w:t>2</w:t>
      </w:r>
      <w:r>
        <w:rPr>
          <w:rFonts w:hint="eastAsia" w:ascii="仿宋_GB2312" w:hAnsi="仿宋_GB2312" w:eastAsia="仿宋_GB2312" w:cs="仿宋_GB2312"/>
          <w:szCs w:val="32"/>
        </w:rPr>
        <w:t>万余人，发放创业贷款</w:t>
      </w:r>
      <w:r>
        <w:rPr>
          <w:rFonts w:ascii="仿宋_GB2312" w:hAnsi="仿宋_GB2312" w:eastAsia="仿宋_GB2312" w:cs="仿宋_GB2312"/>
          <w:szCs w:val="32"/>
        </w:rPr>
        <w:t>18.1</w:t>
      </w:r>
      <w:r>
        <w:rPr>
          <w:rFonts w:hint="eastAsia" w:ascii="仿宋_GB2312" w:hAnsi="仿宋_GB2312" w:eastAsia="仿宋_GB2312" w:cs="仿宋_GB2312"/>
          <w:szCs w:val="32"/>
        </w:rPr>
        <w:t>亿元，城乡居民医疗保障参保率达到</w:t>
      </w:r>
      <w:r>
        <w:rPr>
          <w:rFonts w:ascii="仿宋_GB2312" w:hAnsi="仿宋_GB2312" w:eastAsia="仿宋_GB2312" w:cs="仿宋_GB2312"/>
          <w:szCs w:val="32"/>
        </w:rPr>
        <w:t>93.19%</w:t>
      </w:r>
      <w:r>
        <w:rPr>
          <w:rFonts w:hint="eastAsia" w:ascii="仿宋_GB2312" w:hAnsi="仿宋_GB2312" w:eastAsia="仿宋_GB2312" w:cs="仿宋_GB2312"/>
          <w:szCs w:val="32"/>
        </w:rPr>
        <w:t>。</w:t>
      </w:r>
    </w:p>
    <w:p>
      <w:pPr>
        <w:pStyle w:val="14"/>
        <w:ind w:firstLine="0" w:firstLineChars="0"/>
        <w:jc w:val="center"/>
      </w:pPr>
      <w:r>
        <w:pict>
          <v:shape id="_x0000_i1027" o:spt="75" type="#_x0000_t75" style="height:213pt;width:417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">
            <v:path/>
            <v:fill on="f" focussize="0,0"/>
            <v:stroke on="f" joinstyle="miter"/>
            <v:imagedata r:id="rId11" o:title=""/>
            <o:lock v:ext="edit" aspectratio="f"/>
            <w10:wrap type="none"/>
            <w10:anchorlock/>
          </v:shape>
        </w:pict>
      </w:r>
    </w:p>
    <w:p>
      <w:pPr>
        <w:ind w:firstLine="31680"/>
        <w:jc w:val="center"/>
        <w:rPr>
          <w:b/>
          <w:bCs/>
          <w:sz w:val="24"/>
        </w:rPr>
      </w:pPr>
      <w:r>
        <w:rPr>
          <w:rFonts w:hint="eastAsia"/>
          <w:b/>
          <w:bCs/>
          <w:sz w:val="24"/>
        </w:rPr>
        <w:t>图</w:t>
      </w:r>
      <w:r>
        <w:rPr>
          <w:b/>
          <w:bCs/>
          <w:sz w:val="24"/>
        </w:rPr>
        <w:t>3  2015-2020</w:t>
      </w:r>
      <w:r>
        <w:rPr>
          <w:rFonts w:hint="eastAsia"/>
          <w:b/>
          <w:bCs/>
          <w:sz w:val="24"/>
        </w:rPr>
        <w:t>年永修县城乡可支配收入及增速</w:t>
      </w:r>
    </w:p>
    <w:p>
      <w:pPr>
        <w:ind w:firstLine="31680"/>
      </w:pPr>
      <w:r>
        <w:rPr>
          <w:rFonts w:hint="eastAsia" w:ascii="仿宋_GB2312" w:hAnsi="仿宋_GB2312" w:eastAsia="仿宋_GB2312" w:cs="仿宋_GB2312"/>
          <w:b/>
          <w:bCs/>
          <w:szCs w:val="32"/>
        </w:rPr>
        <w:t>社会治理不断创新。</w:t>
      </w:r>
      <w:r>
        <w:rPr>
          <w:rFonts w:hint="eastAsia" w:ascii="仿宋_GB2312" w:hAnsi="仿宋_GB2312" w:eastAsia="仿宋_GB2312" w:cs="仿宋_GB2312"/>
          <w:szCs w:val="32"/>
        </w:rPr>
        <w:t>开展防范重大风险集中攻坚，安全生产总体平稳，做到了较大以上安全事故“零发生”。严格食品药品监管，群众饮食用药安全得到保障。及时回应百姓民生问题，依法解决群众信访合理诉求，</w:t>
      </w:r>
      <w:r>
        <w:rPr>
          <w:rFonts w:ascii="仿宋_GB2312" w:hAnsi="仿宋_GB2312" w:eastAsia="仿宋_GB2312" w:cs="仿宋_GB2312"/>
          <w:szCs w:val="32"/>
        </w:rPr>
        <w:t>2015</w:t>
      </w:r>
      <w:r>
        <w:rPr>
          <w:rFonts w:hint="eastAsia" w:ascii="仿宋_GB2312" w:hAnsi="仿宋_GB2312" w:eastAsia="仿宋_GB2312" w:cs="仿宋_GB2312"/>
          <w:szCs w:val="32"/>
        </w:rPr>
        <w:t>年开始连续</w:t>
      </w:r>
      <w:r>
        <w:rPr>
          <w:rFonts w:ascii="仿宋_GB2312" w:hAnsi="仿宋_GB2312" w:eastAsia="仿宋_GB2312" w:cs="仿宋_GB2312"/>
          <w:szCs w:val="32"/>
        </w:rPr>
        <w:t>5</w:t>
      </w:r>
      <w:r>
        <w:rPr>
          <w:rFonts w:hint="eastAsia" w:ascii="仿宋_GB2312" w:hAnsi="仿宋_GB2312" w:eastAsia="仿宋_GB2312" w:cs="仿宋_GB2312"/>
          <w:szCs w:val="32"/>
        </w:rPr>
        <w:t>年荣获全省信访工作“三无”县。扎实开展安全生产八大专项整治，安全生产形势保持总体稳定。深入开展</w:t>
      </w:r>
      <w:r>
        <w:rPr>
          <w:rFonts w:hint="eastAsia" w:ascii="仿宋_GB2312" w:hAnsi="仿宋_GB2312" w:eastAsia="仿宋_GB2312" w:cs="仿宋_GB2312"/>
          <w:szCs w:val="32"/>
          <w:lang w:eastAsia="zh-CN"/>
        </w:rPr>
        <w:t>扫黑除恶</w:t>
      </w:r>
      <w:r>
        <w:rPr>
          <w:rFonts w:hint="eastAsia" w:ascii="仿宋_GB2312" w:hAnsi="仿宋_GB2312" w:eastAsia="仿宋_GB2312" w:cs="仿宋_GB2312"/>
          <w:szCs w:val="32"/>
        </w:rPr>
        <w:t>专项斗争，加快推进“雪亮工程”“智能安防小区”等治安防控工程建设，公众安全感位列全市第三。</w:t>
      </w:r>
    </w:p>
    <w:p>
      <w:pPr>
        <w:ind w:firstLine="0" w:firstLineChars="0"/>
        <w:jc w:val="center"/>
        <w:rPr>
          <w:rFonts w:ascii="仿宋_GB2312" w:hAnsi="仿宋_GB2312" w:eastAsia="仿宋_GB2312" w:cs="仿宋_GB2312"/>
          <w:b/>
          <w:bCs/>
        </w:rPr>
      </w:pPr>
      <w:bookmarkStart w:id="9" w:name="_Toc14426"/>
      <w:r>
        <w:rPr>
          <w:rFonts w:hint="eastAsia" w:ascii="仿宋_GB2312" w:hAnsi="仿宋_GB2312" w:eastAsia="仿宋_GB2312" w:cs="仿宋_GB2312"/>
          <w:b/>
          <w:bCs/>
        </w:rPr>
        <w:t>表</w:t>
      </w:r>
      <w:r>
        <w:rPr>
          <w:rFonts w:ascii="仿宋_GB2312" w:hAnsi="仿宋_GB2312" w:eastAsia="仿宋_GB2312" w:cs="仿宋_GB2312"/>
          <w:b/>
          <w:bCs/>
        </w:rPr>
        <w:t xml:space="preserve">1 </w:t>
      </w:r>
      <w:r>
        <w:rPr>
          <w:rFonts w:hint="eastAsia" w:ascii="仿宋_GB2312" w:hAnsi="仿宋_GB2312" w:eastAsia="仿宋_GB2312" w:cs="仿宋_GB2312"/>
          <w:b/>
          <w:bCs/>
        </w:rPr>
        <w:t>永修县“十三五”规划主要指标完成情况表</w:t>
      </w:r>
    </w:p>
    <w:tbl>
      <w:tblPr>
        <w:tblStyle w:val="1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188"/>
        <w:gridCol w:w="1188"/>
        <w:gridCol w:w="1110"/>
        <w:gridCol w:w="900"/>
        <w:gridCol w:w="1090"/>
        <w:gridCol w:w="900"/>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指标名称</w:t>
            </w:r>
          </w:p>
        </w:tc>
        <w:tc>
          <w:tcPr>
            <w:tcW w:w="1188" w:type="dxa"/>
            <w:vMerge w:val="restart"/>
            <w:vAlign w:val="center"/>
          </w:tcPr>
          <w:p>
            <w:pPr>
              <w:widowControl/>
              <w:adjustRightInd w:val="0"/>
              <w:snapToGrid w:val="0"/>
              <w:spacing w:line="300" w:lineRule="auto"/>
              <w:ind w:firstLine="0" w:firstLineChars="0"/>
              <w:jc w:val="center"/>
              <w:rPr>
                <w:rFonts w:eastAsia="宋体"/>
                <w:sz w:val="21"/>
                <w:szCs w:val="21"/>
              </w:rPr>
            </w:pPr>
            <w:r>
              <w:rPr>
                <w:rFonts w:eastAsia="宋体"/>
                <w:b/>
                <w:bCs/>
                <w:sz w:val="21"/>
                <w:szCs w:val="21"/>
              </w:rPr>
              <w:t>2015</w:t>
            </w:r>
            <w:r>
              <w:rPr>
                <w:rFonts w:hint="eastAsia" w:eastAsia="宋体"/>
                <w:b/>
                <w:bCs/>
                <w:sz w:val="21"/>
                <w:szCs w:val="21"/>
              </w:rPr>
              <w:t>年</w:t>
            </w:r>
          </w:p>
        </w:tc>
        <w:tc>
          <w:tcPr>
            <w:tcW w:w="2298" w:type="dxa"/>
            <w:gridSpan w:val="2"/>
            <w:vAlign w:val="center"/>
          </w:tcPr>
          <w:p>
            <w:pPr>
              <w:widowControl/>
              <w:adjustRightInd w:val="0"/>
              <w:snapToGrid w:val="0"/>
              <w:spacing w:line="300" w:lineRule="auto"/>
              <w:ind w:firstLine="0" w:firstLineChars="0"/>
              <w:jc w:val="center"/>
              <w:rPr>
                <w:rFonts w:eastAsia="宋体"/>
                <w:b/>
                <w:bCs/>
                <w:sz w:val="21"/>
                <w:szCs w:val="21"/>
              </w:rPr>
            </w:pPr>
            <w:r>
              <w:rPr>
                <w:rFonts w:eastAsia="宋体"/>
                <w:b/>
                <w:bCs/>
                <w:sz w:val="21"/>
                <w:szCs w:val="21"/>
              </w:rPr>
              <w:t>2020</w:t>
            </w:r>
            <w:r>
              <w:rPr>
                <w:rFonts w:hint="eastAsia" w:eastAsia="宋体"/>
                <w:b/>
                <w:bCs/>
                <w:sz w:val="21"/>
                <w:szCs w:val="21"/>
              </w:rPr>
              <w:t>年</w:t>
            </w:r>
          </w:p>
        </w:tc>
        <w:tc>
          <w:tcPr>
            <w:tcW w:w="1990" w:type="dxa"/>
            <w:gridSpan w:val="2"/>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“十三五”累计或年均增长（</w:t>
            </w:r>
            <w:r>
              <w:rPr>
                <w:rFonts w:eastAsia="宋体"/>
                <w:b/>
                <w:bCs/>
                <w:sz w:val="21"/>
                <w:szCs w:val="21"/>
              </w:rPr>
              <w:t>%</w:t>
            </w:r>
            <w:r>
              <w:rPr>
                <w:rFonts w:hint="eastAsia" w:eastAsia="宋体"/>
                <w:b/>
                <w:bCs/>
                <w:sz w:val="21"/>
                <w:szCs w:val="21"/>
              </w:rPr>
              <w:t>）</w:t>
            </w:r>
          </w:p>
        </w:tc>
        <w:tc>
          <w:tcPr>
            <w:tcW w:w="900"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属性</w:t>
            </w:r>
          </w:p>
        </w:tc>
        <w:tc>
          <w:tcPr>
            <w:tcW w:w="684"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1188"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1188"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预期值</w:t>
            </w:r>
          </w:p>
        </w:tc>
        <w:tc>
          <w:tcPr>
            <w:tcW w:w="111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规划目标</w:t>
            </w:r>
          </w:p>
        </w:tc>
        <w:tc>
          <w:tcPr>
            <w:tcW w:w="90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预期值</w:t>
            </w:r>
          </w:p>
        </w:tc>
        <w:tc>
          <w:tcPr>
            <w:tcW w:w="109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规划目标</w:t>
            </w:r>
          </w:p>
        </w:tc>
        <w:tc>
          <w:tcPr>
            <w:tcW w:w="900"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684" w:type="dxa"/>
            <w:vMerge w:val="continue"/>
            <w:vAlign w:val="center"/>
          </w:tcPr>
          <w:p>
            <w:pPr>
              <w:widowControl/>
              <w:adjustRightInd w:val="0"/>
              <w:snapToGrid w:val="0"/>
              <w:spacing w:line="300" w:lineRule="auto"/>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地区生产总值（亿元）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121.25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250.62</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人均生产总值（元）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32560</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69518</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51710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9.7</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财政总收入（亿元）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21.52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30.76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w:t>
            </w:r>
          </w:p>
        </w:tc>
        <w:tc>
          <w:tcPr>
            <w:tcW w:w="900" w:type="dxa"/>
            <w:vAlign w:val="center"/>
          </w:tcPr>
          <w:p>
            <w:pPr>
              <w:widowControl/>
              <w:tabs>
                <w:tab w:val="left" w:pos="224"/>
              </w:tabs>
              <w:adjustRightInd w:val="0"/>
              <w:snapToGrid w:val="0"/>
              <w:spacing w:line="240" w:lineRule="auto"/>
              <w:ind w:firstLine="0" w:firstLineChars="0"/>
              <w:jc w:val="center"/>
              <w:rPr>
                <w:rFonts w:eastAsia="宋体"/>
                <w:sz w:val="21"/>
                <w:szCs w:val="21"/>
              </w:rPr>
            </w:pPr>
            <w:r>
              <w:rPr>
                <w:rFonts w:eastAsia="宋体"/>
                <w:sz w:val="21"/>
                <w:szCs w:val="21"/>
              </w:rPr>
              <w:t>7.4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地方公共预算财政收入（亿元）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17.16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18.90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12.8</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500</w:t>
            </w:r>
            <w:r>
              <w:rPr>
                <w:rFonts w:hint="eastAsia" w:eastAsia="宋体"/>
                <w:sz w:val="21"/>
                <w:szCs w:val="21"/>
              </w:rPr>
              <w:t>万元以上固定资产投资增速（</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社会消费品零售总额（亿元）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32.87</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78.02</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18.6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城镇化率（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50.74</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58</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54</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2.7</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1.3</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三次产业结构</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11.8</w:t>
            </w:r>
            <w:r>
              <w:rPr>
                <w:rFonts w:hint="eastAsia" w:eastAsia="宋体"/>
                <w:sz w:val="21"/>
                <w:szCs w:val="21"/>
              </w:rPr>
              <w:t>：</w:t>
            </w:r>
            <w:r>
              <w:rPr>
                <w:rFonts w:eastAsia="宋体"/>
                <w:sz w:val="21"/>
                <w:szCs w:val="21"/>
              </w:rPr>
              <w:t>64.4</w:t>
            </w:r>
            <w:r>
              <w:rPr>
                <w:rFonts w:hint="eastAsia" w:eastAsia="宋体"/>
                <w:sz w:val="21"/>
                <w:szCs w:val="21"/>
              </w:rPr>
              <w:t>：</w:t>
            </w:r>
            <w:r>
              <w:rPr>
                <w:rFonts w:eastAsia="宋体"/>
                <w:sz w:val="21"/>
                <w:szCs w:val="21"/>
              </w:rPr>
              <w:t>23.8</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w:t>
            </w:r>
            <w:r>
              <w:rPr>
                <w:rFonts w:hint="eastAsia" w:eastAsia="宋体"/>
                <w:sz w:val="21"/>
                <w:szCs w:val="21"/>
              </w:rPr>
              <w:t>：</w:t>
            </w:r>
            <w:r>
              <w:rPr>
                <w:rFonts w:eastAsia="宋体"/>
                <w:sz w:val="21"/>
                <w:szCs w:val="21"/>
              </w:rPr>
              <w:t>54</w:t>
            </w:r>
            <w:r>
              <w:rPr>
                <w:rFonts w:hint="eastAsia" w:eastAsia="宋体"/>
                <w:sz w:val="21"/>
                <w:szCs w:val="21"/>
              </w:rPr>
              <w:t>：</w:t>
            </w:r>
            <w:r>
              <w:rPr>
                <w:rFonts w:eastAsia="宋体"/>
                <w:sz w:val="21"/>
                <w:szCs w:val="21"/>
              </w:rPr>
              <w:t>36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w:t>
            </w:r>
            <w:r>
              <w:rPr>
                <w:rFonts w:hint="eastAsia" w:eastAsia="宋体"/>
                <w:sz w:val="21"/>
                <w:szCs w:val="21"/>
              </w:rPr>
              <w:t>：</w:t>
            </w:r>
            <w:r>
              <w:rPr>
                <w:rFonts w:eastAsia="宋体"/>
                <w:sz w:val="21"/>
                <w:szCs w:val="21"/>
              </w:rPr>
              <w:t>60</w:t>
            </w:r>
            <w:r>
              <w:rPr>
                <w:rFonts w:hint="eastAsia" w:eastAsia="宋体"/>
                <w:sz w:val="21"/>
                <w:szCs w:val="21"/>
              </w:rPr>
              <w:t>：</w:t>
            </w:r>
            <w:r>
              <w:rPr>
                <w:rFonts w:eastAsia="宋体"/>
                <w:sz w:val="21"/>
                <w:szCs w:val="21"/>
              </w:rPr>
              <w:t>32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规模以上工业增加值增速（</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5.5</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17.2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规模以上工业营业收入（亿元）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466.81</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577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4.3</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工业利税总额（亿元）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45.87</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55</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16.9</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旅游综合总收入（亿元）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36.11</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72.47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万元生产总值能耗累计下降（</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rPr>
              <w:t>省市下达的任务</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rPr>
              <w:t>省市下达的任务</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主要河流监测断面</w:t>
            </w:r>
            <w:r>
              <w:rPr>
                <w:rFonts w:eastAsia="宋体"/>
                <w:sz w:val="21"/>
                <w:szCs w:val="21"/>
              </w:rPr>
              <w:fldChar w:fldCharType="begin"/>
            </w:r>
            <w:r>
              <w:rPr>
                <w:rFonts w:eastAsia="宋体"/>
                <w:sz w:val="21"/>
                <w:szCs w:val="21"/>
              </w:rPr>
              <w:instrText xml:space="preserve"> = 1 \* ROMAN \* MERGEFORMAT </w:instrText>
            </w:r>
            <w:r>
              <w:rPr>
                <w:rFonts w:eastAsia="宋体"/>
                <w:sz w:val="21"/>
                <w:szCs w:val="21"/>
              </w:rPr>
              <w:fldChar w:fldCharType="separate"/>
            </w:r>
            <w:r>
              <w:rPr>
                <w:rFonts w:eastAsia="宋体"/>
                <w:sz w:val="21"/>
                <w:szCs w:val="21"/>
              </w:rPr>
              <w:t>I</w:t>
            </w:r>
            <w:r>
              <w:rPr>
                <w:rFonts w:eastAsia="宋体"/>
                <w:sz w:val="21"/>
                <w:szCs w:val="21"/>
              </w:rPr>
              <w:fldChar w:fldCharType="end"/>
            </w:r>
            <w:r>
              <w:rPr>
                <w:rFonts w:eastAsia="宋体"/>
                <w:sz w:val="21"/>
                <w:szCs w:val="21"/>
              </w:rPr>
              <w:t>—</w:t>
            </w:r>
            <w:r>
              <w:rPr>
                <w:rFonts w:eastAsia="宋体"/>
                <w:sz w:val="21"/>
                <w:szCs w:val="21"/>
              </w:rPr>
              <w:fldChar w:fldCharType="begin"/>
            </w:r>
            <w:r>
              <w:rPr>
                <w:rFonts w:eastAsia="宋体"/>
                <w:sz w:val="21"/>
                <w:szCs w:val="21"/>
              </w:rPr>
              <w:instrText xml:space="preserve"> = 3 \* ROMAN \* MERGEFORMAT </w:instrText>
            </w:r>
            <w:r>
              <w:rPr>
                <w:rFonts w:eastAsia="宋体"/>
                <w:sz w:val="21"/>
                <w:szCs w:val="21"/>
              </w:rPr>
              <w:fldChar w:fldCharType="separate"/>
            </w:r>
            <w:r>
              <w:rPr>
                <w:rFonts w:eastAsia="宋体"/>
                <w:sz w:val="21"/>
                <w:szCs w:val="21"/>
              </w:rPr>
              <w:t>III</w:t>
            </w:r>
            <w:r>
              <w:rPr>
                <w:rFonts w:eastAsia="宋体"/>
                <w:sz w:val="21"/>
                <w:szCs w:val="21"/>
              </w:rPr>
              <w:fldChar w:fldCharType="end"/>
            </w:r>
            <w:r>
              <w:rPr>
                <w:rFonts w:hint="eastAsia" w:eastAsia="宋体"/>
                <w:sz w:val="21"/>
                <w:szCs w:val="21"/>
              </w:rPr>
              <w:t>类以上水质比重（</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城镇生活污水集中处理率（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80</w:t>
            </w:r>
            <w:r>
              <w:rPr>
                <w:rFonts w:hint="eastAsia" w:eastAsia="宋体"/>
                <w:sz w:val="21"/>
                <w:szCs w:val="21"/>
              </w:rPr>
              <w:t>以上</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91</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90</w:t>
            </w:r>
            <w:r>
              <w:rPr>
                <w:rFonts w:hint="eastAsia" w:eastAsia="宋体"/>
                <w:sz w:val="21"/>
                <w:szCs w:val="21"/>
              </w:rPr>
              <w:t>以上</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2.6</w:t>
            </w:r>
            <w:r>
              <w:rPr>
                <w:rFonts w:hint="eastAsia" w:eastAsia="宋体"/>
                <w:sz w:val="21"/>
                <w:szCs w:val="21"/>
              </w:rPr>
              <w:t>左右</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2.4</w:t>
            </w:r>
            <w:r>
              <w:rPr>
                <w:rFonts w:hint="eastAsia" w:eastAsia="宋体"/>
                <w:sz w:val="21"/>
                <w:szCs w:val="21"/>
              </w:rPr>
              <w:t>左右</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城镇生活垃圾处理率（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80</w:t>
            </w:r>
            <w:r>
              <w:rPr>
                <w:rFonts w:hint="eastAsia" w:eastAsia="宋体"/>
                <w:sz w:val="21"/>
                <w:szCs w:val="21"/>
              </w:rPr>
              <w:t>以上</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90</w:t>
            </w:r>
            <w:r>
              <w:rPr>
                <w:rFonts w:hint="eastAsia" w:eastAsia="宋体"/>
                <w:sz w:val="21"/>
                <w:szCs w:val="21"/>
              </w:rPr>
              <w:t>以上</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4.6</w:t>
            </w:r>
            <w:r>
              <w:rPr>
                <w:rFonts w:hint="eastAsia" w:eastAsia="宋体"/>
                <w:sz w:val="21"/>
                <w:szCs w:val="21"/>
              </w:rPr>
              <w:t>左右</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2.4</w:t>
            </w:r>
            <w:r>
              <w:rPr>
                <w:rFonts w:hint="eastAsia" w:eastAsia="宋体"/>
                <w:sz w:val="21"/>
                <w:szCs w:val="21"/>
              </w:rPr>
              <w:t>左右</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森林覆盖率（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36.53</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37.99</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37.7</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0.8</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城镇登记失业率（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预期范围内</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14.9</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新型农村社会养老保险参保率（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99.5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0.1</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城镇居民人均可支配收入（元）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26299</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38470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44315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7.9</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农村居民可支配收入（元）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12662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19297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21336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8.8</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bl>
    <w:p>
      <w:pPr>
        <w:pStyle w:val="4"/>
        <w:spacing w:before="156" w:after="156"/>
      </w:pPr>
      <w:bookmarkStart w:id="10" w:name="_Toc10879"/>
      <w:r>
        <w:rPr>
          <w:rFonts w:hint="eastAsia"/>
        </w:rPr>
        <w:t>第二节</w:t>
      </w:r>
      <w:r>
        <w:t xml:space="preserve"> </w:t>
      </w:r>
      <w:r>
        <w:rPr>
          <w:rFonts w:hint="eastAsia"/>
        </w:rPr>
        <w:t>发展环境</w:t>
      </w:r>
      <w:bookmarkEnd w:id="9"/>
      <w:bookmarkEnd w:id="1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当前和今后一个时期，永修面临一系列新机遇与新挑战，世界百年未有之大变局深度演化与我国社会主义现代化建设新征程开局起步相互交融，发展的外部环境和内部条件将发生深刻变化，进入新的战略机遇期。</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从国际看，</w:t>
      </w:r>
      <w:r>
        <w:rPr>
          <w:rFonts w:hint="eastAsia" w:ascii="仿宋_GB2312" w:hAnsi="仿宋_GB2312" w:eastAsia="仿宋_GB2312" w:cs="仿宋_GB2312"/>
          <w:szCs w:val="32"/>
        </w:rPr>
        <w:t>世界处于百年未有之大变局深度演化期，外部发展环境更加错综复杂。</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全球经济多元化格局加速演进。世界经济的传统增长动能正在减弱，国际分工格局面临系统性调整，我国产业发展面临着与美、英、德等发达国家争夺科技竞争的压力。</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全球产业链、价值链正加速重构。全球进入科技创新高度活跃期，物联网、大数据、人工智能、</w:t>
      </w:r>
      <w:r>
        <w:rPr>
          <w:rFonts w:ascii="仿宋_GB2312" w:hAnsi="仿宋_GB2312" w:eastAsia="仿宋_GB2312" w:cs="仿宋_GB2312"/>
          <w:szCs w:val="32"/>
        </w:rPr>
        <w:t>5G</w:t>
      </w:r>
      <w:r>
        <w:rPr>
          <w:rFonts w:hint="eastAsia" w:ascii="仿宋_GB2312" w:hAnsi="仿宋_GB2312" w:eastAsia="仿宋_GB2312" w:cs="仿宋_GB2312"/>
          <w:szCs w:val="32"/>
        </w:rPr>
        <w:t>技术、</w:t>
      </w:r>
      <w:r>
        <w:rPr>
          <w:rFonts w:ascii="仿宋_GB2312" w:hAnsi="仿宋_GB2312" w:eastAsia="仿宋_GB2312" w:cs="仿宋_GB2312"/>
          <w:szCs w:val="32"/>
        </w:rPr>
        <w:t>3D</w:t>
      </w:r>
      <w:r>
        <w:rPr>
          <w:rFonts w:hint="eastAsia" w:ascii="仿宋_GB2312" w:hAnsi="仿宋_GB2312" w:eastAsia="仿宋_GB2312" w:cs="仿宋_GB2312"/>
          <w:szCs w:val="32"/>
        </w:rPr>
        <w:t>打印等新技术、新业态不断涌现，将引发产业链分工和生产组织网络发生重大调整，也为新兴市场国家在一些关键领域率先突破提供契机。</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国际经济贸易规则正面临重构。以美国为主的少数国家，越来越明显地实行单边主义和贸易保护主义策略，对多年建立起来的国际协商合作关系构成严重挑战，主要经济体间市场竞争激化。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从国内看，</w:t>
      </w:r>
      <w:r>
        <w:rPr>
          <w:rFonts w:hint="eastAsia" w:ascii="仿宋_GB2312" w:hAnsi="仿宋_GB2312" w:eastAsia="仿宋_GB2312" w:cs="仿宋_GB2312"/>
          <w:szCs w:val="32"/>
        </w:rPr>
        <w:t>中国特色社会主义进入新时代，高质量发展成为社会经济发展的主基调。一</w:t>
      </w:r>
      <w:r>
        <w:rPr>
          <w:rFonts w:hint="eastAsia" w:ascii="仿宋_GB2312" w:hAnsi="仿宋_GB2312" w:eastAsia="仿宋_GB2312" w:cs="仿宋_GB2312"/>
          <w:b/>
          <w:bCs/>
          <w:szCs w:val="32"/>
        </w:rPr>
        <w:t>是</w:t>
      </w:r>
      <w:r>
        <w:rPr>
          <w:rFonts w:hint="eastAsia" w:ascii="仿宋_GB2312" w:hAnsi="仿宋_GB2312" w:eastAsia="仿宋_GB2312" w:cs="仿宋_GB2312"/>
          <w:szCs w:val="32"/>
        </w:rPr>
        <w:t>创新驱动发展处于重大突破期。面对我国产业发展“大而不强”，创新能力薄弱，产业附加值低，还存在许多“卡脖子”领域的问题。我国加快建设创新型国家，出台七大新兴产业新基建计划，这将对传统制造业产业链、价值链带来革命性影响。</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竞争优势处于重塑期。随着劳动力、土地、资源等要素成本上升和环境成本内生化，支撑我国长期快速发展的低成本优势明显减弱，新动能还难以弥补增长缺口。如何更好地利用知识、技术、管理、数据等新生产要素和市场规模优势，培育竞争新优势、壮大新动能形势迫切。</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需求结构处于提升期。受全球市场低迷和中美经贸摩擦等因素制约，保持出口快速增长难度明显加大。我国拥有世界最多人口和最庞大中等收入群体，消费总量扩大和结构升级空间广阔，消费升级和供给提升的投资潜力巨大，将国内市场的规模优势转化为新一轮发展优势的要求更加突出。</w:t>
      </w:r>
      <w:r>
        <w:rPr>
          <w:rFonts w:hint="eastAsia" w:ascii="仿宋_GB2312" w:hAnsi="仿宋_GB2312" w:eastAsia="仿宋_GB2312" w:cs="仿宋_GB2312"/>
          <w:b/>
          <w:bCs/>
          <w:szCs w:val="32"/>
        </w:rPr>
        <w:t>四是</w:t>
      </w:r>
      <w:r>
        <w:rPr>
          <w:rFonts w:hint="eastAsia" w:ascii="仿宋_GB2312" w:hAnsi="仿宋_GB2312" w:eastAsia="仿宋_GB2312" w:cs="仿宋_GB2312"/>
          <w:szCs w:val="32"/>
        </w:rPr>
        <w:t>城乡融合发展处于深化期。“十四五”时期，随着我国综合交通体系的大幅度提升，特别是高铁网络的深入布局，区域间要素流动将加快发展，城市发展、城镇发展、乡村振兴、城乡协调发展迎来新的机遇。</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从全省看，一是</w:t>
      </w:r>
      <w:r>
        <w:rPr>
          <w:rFonts w:hint="eastAsia" w:ascii="仿宋_GB2312" w:hAnsi="仿宋_GB2312" w:eastAsia="仿宋_GB2312" w:cs="仿宋_GB2312"/>
          <w:szCs w:val="32"/>
        </w:rPr>
        <w:t>习近平总书记为江西发展擘画了发展蓝图，为江西发展指明的前进方向。“十三五”期间，习近平总书记先后两次亲临江西视察指导，特别是对江西提出“在加快革命老区高质量发展上作示范，在推动中部地区崛起上勇争先”的目标定位和“五个推进”的更高要求，为新时代江西改革发展提供了根本遵循，注入了澎湃动力。</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四面逢源”区位优势进一步提升。我省“连南接北、承东启西、通江达海”的交通优势愈发凸显，毗邻长珠闽、连接中西部、内陆腹地广阔的战略地位愈发重要，融入“一带一路”、长江经济带、中部地区崛起，对接长三角一体化、粤港澳大湾区建设等国家战略叠加效应愈发显现。</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美丽中国“江西样板”品牌效应日益显现。作为首批三个国家生态文明试验区之一，我省生态条件优越，生态资源丰富，生态经济居前，生态文明领先，产业生态化、生态产业化水平不断提升，特色优势独具竞争力。四是内陆开放型经济试验区带来新机遇。这是全国第</w:t>
      </w:r>
      <w:r>
        <w:rPr>
          <w:rFonts w:ascii="仿宋_GB2312" w:hAnsi="仿宋_GB2312" w:eastAsia="仿宋_GB2312" w:cs="仿宋_GB2312"/>
          <w:szCs w:val="32"/>
        </w:rPr>
        <w:t>3</w:t>
      </w:r>
      <w:r>
        <w:rPr>
          <w:rFonts w:hint="eastAsia" w:ascii="仿宋_GB2312" w:hAnsi="仿宋_GB2312" w:eastAsia="仿宋_GB2312" w:cs="仿宋_GB2312"/>
          <w:szCs w:val="32"/>
        </w:rPr>
        <w:t>个、中部首个国家级内陆开放型经济试验区，是继国家生态文明试验区之后又一个覆盖全省范围的具有里程碑意义的重大国家战略，有利于中部地区承接产业转移新模式，有利于探索革命老区高质量发展新路径。</w:t>
      </w:r>
    </w:p>
    <w:p>
      <w:pPr>
        <w:pStyle w:val="2"/>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从全市看，一是</w:t>
      </w:r>
      <w:r>
        <w:rPr>
          <w:rFonts w:hint="eastAsia" w:ascii="仿宋_GB2312" w:hAnsi="仿宋_GB2312" w:eastAsia="仿宋_GB2312" w:cs="仿宋_GB2312"/>
          <w:szCs w:val="32"/>
        </w:rPr>
        <w:t>九江市</w:t>
      </w:r>
      <w:r>
        <w:rPr>
          <w:rFonts w:hint="eastAsia" w:ascii="仿宋_GB2312" w:hAnsi="仿宋_GB2312" w:eastAsia="仿宋_GB2312" w:cs="仿宋_GB2312"/>
          <w:color w:val="000000"/>
          <w:szCs w:val="32"/>
        </w:rPr>
        <w:t>港口资源整合改</w:t>
      </w:r>
      <w:r>
        <w:rPr>
          <w:rFonts w:hint="eastAsia" w:ascii="仿宋_GB2312" w:hAnsi="仿宋_GB2312" w:eastAsia="仿宋_GB2312" w:cs="仿宋_GB2312"/>
          <w:szCs w:val="32"/>
        </w:rPr>
        <w:t>革</w:t>
      </w:r>
      <w:r>
        <w:rPr>
          <w:rFonts w:hint="eastAsia" w:ascii="仿宋_GB2312" w:hAnsi="仿宋_GB2312" w:eastAsia="仿宋_GB2312" w:cs="仿宋_GB2312"/>
          <w:color w:val="000000"/>
          <w:szCs w:val="32"/>
        </w:rPr>
        <w:t>高效推进，江海直达区域航运中心加快建设，开放平台能级不断提升，江海联动、双向开放的全新格局正在形成</w:t>
      </w:r>
      <w:r>
        <w:rPr>
          <w:rFonts w:hint="eastAsia" w:ascii="仿宋_GB2312" w:hAnsi="仿宋_GB2312" w:eastAsia="仿宋_GB2312" w:cs="仿宋_GB2312"/>
          <w:szCs w:val="32"/>
        </w:rPr>
        <w:t>。</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随着“一带一路”、长江经济带、长江中游城市群、昌九一体化战略持续深入推进，为九江打造赣北开放大门户积蓄了新优势。</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从全县看，一是</w:t>
      </w:r>
      <w:r>
        <w:rPr>
          <w:rFonts w:hint="eastAsia" w:ascii="仿宋_GB2312" w:hAnsi="仿宋_GB2312" w:eastAsia="仿宋_GB2312" w:cs="仿宋_GB2312"/>
          <w:szCs w:val="32"/>
        </w:rPr>
        <w:t>随着大南昌都市圈、赣江新区建设全面启动，永修作为昌九一体化的桥头堡、赣江新区的核心板块，地位和作用更加凸显。</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面临产业转移机遇。利用国家新一轮产业“腾笼换鸟”“异地升级”的大好机遇，在产业基础好、市场潜能大的既有优势上，充分发挥产业园区的载体功能</w:t>
      </w:r>
      <w:r>
        <w:rPr>
          <w:rFonts w:ascii="仿宋_GB2312" w:hAnsi="仿宋_GB2312" w:eastAsia="仿宋_GB2312" w:cs="仿宋_GB2312"/>
          <w:szCs w:val="32"/>
        </w:rPr>
        <w:t>,</w:t>
      </w:r>
      <w:r>
        <w:rPr>
          <w:rFonts w:hint="eastAsia" w:ascii="仿宋_GB2312" w:hAnsi="仿宋_GB2312" w:eastAsia="仿宋_GB2312" w:cs="仿宋_GB2312"/>
          <w:szCs w:val="32"/>
        </w:rPr>
        <w:t>打造优良的“软环境”，依托具有比较优势的资源承载能力和生态环境容量，有选择的承接转移产业，永修的后发优势将更加明显。</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风险挑战</w:t>
      </w:r>
      <w:r>
        <w:rPr>
          <w:rFonts w:hint="eastAsia" w:ascii="仿宋_GB2312" w:hAnsi="仿宋_GB2312" w:eastAsia="仿宋_GB2312" w:cs="仿宋_GB2312"/>
          <w:szCs w:val="32"/>
        </w:rPr>
        <w:t>。永修尚处于爬坡过坎、提质升级的纵深推进期，在大环境影响下，全县总量与结构、短期与长期、外部与内部的矛盾和问题相互交织，统筹稳增长、促改革、调结构、惠民生、防风险的压力不断加大。</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支撑经济发展的传统优势产业将会继续处在调整阶段，而新兴产业的动能释放尚不充分，新旧产业面临接续转换。</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全县将面临区域竞争更加激烈的“挤压”，尤其是县域经济不强将制约全县在项目、人才、资本、技术、管理等要素方面集聚。</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随着经济社会结构深刻变化，资源环境约束增加经济发展的不确定性，社会风险将呈现外部内部连锁联动、显性隐性交织的态势。</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综合研判</w:t>
      </w:r>
      <w:r>
        <w:rPr>
          <w:rFonts w:hint="eastAsia" w:ascii="仿宋_GB2312" w:hAnsi="仿宋_GB2312" w:eastAsia="仿宋_GB2312" w:cs="仿宋_GB2312"/>
          <w:szCs w:val="32"/>
        </w:rPr>
        <w:t>，“十四五”时期，永修县发展机遇大于挑战，发展空间依然较大，仍然是大有可为的战略机遇期，更是需要主动创造的战略机遇期，要将“变”的挑战转化为“进”的机遇，开创永修高质量跨越式发展新局面。</w:t>
      </w:r>
    </w:p>
    <w:p>
      <w:pPr>
        <w:pStyle w:val="4"/>
        <w:spacing w:before="156" w:after="156"/>
      </w:pPr>
      <w:bookmarkStart w:id="11" w:name="_Toc9525"/>
      <w:bookmarkStart w:id="12" w:name="_Toc10459"/>
      <w:r>
        <w:rPr>
          <w:rFonts w:hint="eastAsia"/>
        </w:rPr>
        <w:t>第三节</w:t>
      </w:r>
      <w:r>
        <w:t xml:space="preserve"> </w:t>
      </w:r>
      <w:r>
        <w:rPr>
          <w:rFonts w:hint="eastAsia"/>
        </w:rPr>
        <w:t>总体要求</w:t>
      </w:r>
      <w:bookmarkEnd w:id="11"/>
      <w:bookmarkEnd w:id="12"/>
    </w:p>
    <w:p>
      <w:pPr>
        <w:ind w:firstLine="31680"/>
        <w:rPr>
          <w:rFonts w:ascii="仿宋_GB2312" w:hAnsi="仿宋_GB2312" w:eastAsia="仿宋_GB2312" w:cs="仿宋_GB2312"/>
          <w:szCs w:val="32"/>
        </w:rPr>
      </w:pPr>
      <w:r>
        <w:rPr>
          <w:rFonts w:hint="eastAsia" w:ascii="仿宋_GB2312" w:hAnsi="仿宋_GB2312" w:eastAsia="仿宋_GB2312" w:cs="仿宋_GB2312"/>
          <w:color w:val="000000"/>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坚决贯彻习近平总书记视察江西重要讲话精神，聚焦“做示范、勇争先”目标定位和“五个推进”重要要求，统筹推进“五位一体”总体布局，协调推进“四个全面”战略布局，全面落实省委“二十四字”工作思路，对标对表“五个奋勇争先”更高要求，坚持党的全面领导，坚持以人民为中心，坚持新发展理念，坚持系统观念，坚持稳中求进工作总基调，以推动高质量跨越式发展为主题，以深化供给侧结构性改革为主线，以改革创新为根本动力，以满足人民日益增长的美好生活需要为根本目的，加快构建具有永修特色的现代化经济体系、创新体系和治理体系，以县域经济强县为标杆，融入赣江新区，着力构建工业升级、产城融合、乡村振兴、改革创新、民生改善的高质量发展新格局，在更高水平上把永修打造成中部地区先进制造业示范县、长江经济带现代农业示范</w:t>
      </w:r>
      <w:r>
        <w:rPr>
          <w:rFonts w:hint="eastAsia" w:ascii="仿宋_GB2312" w:hAnsi="仿宋_GB2312" w:eastAsia="仿宋_GB2312" w:cs="仿宋_GB2312"/>
          <w:szCs w:val="32"/>
        </w:rPr>
        <w:t>县、国家级全域旅游示范县，奋力擘画永修高质量跨越式发展新蓝图。</w:t>
      </w:r>
    </w:p>
    <w:p>
      <w:pPr>
        <w:pStyle w:val="4"/>
        <w:spacing w:before="156" w:after="156"/>
      </w:pPr>
      <w:bookmarkStart w:id="13" w:name="_Toc28923"/>
      <w:bookmarkStart w:id="14" w:name="_Toc2802"/>
      <w:r>
        <w:rPr>
          <w:rFonts w:hint="eastAsia"/>
        </w:rPr>
        <w:t>第四节</w:t>
      </w:r>
      <w:r>
        <w:t xml:space="preserve"> </w:t>
      </w:r>
      <w:r>
        <w:rPr>
          <w:rFonts w:hint="eastAsia"/>
        </w:rPr>
        <w:t>发展目标</w:t>
      </w:r>
      <w:bookmarkEnd w:id="13"/>
      <w:bookmarkEnd w:id="14"/>
    </w:p>
    <w:p>
      <w:pPr>
        <w:ind w:firstLine="31680"/>
        <w:rPr>
          <w:rFonts w:ascii="仿宋_GB2312" w:hAnsi="仿宋_GB2312" w:eastAsia="仿宋_GB2312" w:cs="仿宋_GB2312"/>
          <w:szCs w:val="32"/>
        </w:rPr>
      </w:pPr>
      <w:r>
        <w:rPr>
          <w:rFonts w:hint="eastAsia" w:ascii="仿宋_GB2312" w:hAnsi="仿宋_GB2312" w:eastAsia="仿宋_GB2312" w:cs="仿宋_GB2312"/>
          <w:color w:val="000000"/>
          <w:szCs w:val="32"/>
        </w:rPr>
        <w:t>展望二〇三五年，永修与全国、全省同步基本实现现代化。富强民主文明和谐美丽现代化新永修基本建成，成为新时代全面展示大南昌都市圈县域现代化的重要窗口。经济实力、产业规模、科技创新能力将大幅跃升，经济总量和城乡居民人均收入将再迈上新的更大台阶，基本实现新型工业化、信息化、城镇化、农业现代化，加快建设工业强县、农业强县、旅游强县、交通强县，建成具有永修特色的现代化经济体系。县域治理体系和治理能力现代化基本实现，法治永修基本建成。国民素质和社会文明程度达到新高度，文化软实力显著增强，文明永修建设取得更大成效。广泛形成绿色生产生活方式，人与自然和谐共生，生态环境质量保持全国前列，美丽永修建设目标基本实现。形成双向开放新格局，参与国际国内经济合作和竞争新优势明显增强，建成内陆开放型经济试验区重要节点城市。人均地区生产总值基本达到中等发达国家水平，中等收入群体显著扩大，基本公共服务实现均等化，城乡区域发展差距和居民生活水平差距显著缩小。平安永修建设达到更高水平，共建共治共享的社会发展新局面基本形成，社会充满活力又和谐有序。人民生活更加美好，人的全面发展、全体人民共同富裕取得更为明显的实质性进展</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锚定二〇三五年远景目标，综合研判国内外发展趋势和省情市情县情，今后五年永修经济社会发展的总体目标是：</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综合实力实现新跨越。</w:t>
      </w:r>
      <w:r>
        <w:rPr>
          <w:rFonts w:hint="eastAsia" w:ascii="仿宋_GB2312" w:hAnsi="仿宋_GB2312" w:eastAsia="仿宋_GB2312" w:cs="仿宋_GB2312"/>
          <w:color w:val="000000"/>
          <w:szCs w:val="32"/>
        </w:rPr>
        <w:t>县域经济实力明显增强，总量明显扩大，经济发展质量稳步提升，对全市经济发展的贡献率明显提高。力争到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年，地区生产总值年均增长</w:t>
      </w:r>
      <w:r>
        <w:rPr>
          <w:rFonts w:ascii="仿宋_GB2312" w:hAnsi="仿宋_GB2312" w:eastAsia="仿宋_GB2312" w:cs="仿宋_GB2312"/>
          <w:color w:val="000000"/>
          <w:szCs w:val="32"/>
        </w:rPr>
        <w:t>8%</w:t>
      </w:r>
      <w:r>
        <w:rPr>
          <w:rFonts w:hint="eastAsia" w:ascii="仿宋_GB2312" w:hAnsi="仿宋_GB2312" w:eastAsia="仿宋_GB2312" w:cs="仿宋_GB2312"/>
          <w:color w:val="000000"/>
          <w:szCs w:val="32"/>
        </w:rPr>
        <w:t>，经济总量在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年的基础上进入全省排名前</w:t>
      </w: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位，经济增长速度继续保持全省县域“第一方阵”。社会消费品零售总额达到</w:t>
      </w:r>
      <w:r>
        <w:rPr>
          <w:rFonts w:ascii="仿宋_GB2312" w:hAnsi="仿宋_GB2312" w:eastAsia="仿宋_GB2312" w:cs="仿宋_GB2312"/>
          <w:color w:val="000000"/>
          <w:szCs w:val="32"/>
        </w:rPr>
        <w:t>138</w:t>
      </w:r>
      <w:r>
        <w:rPr>
          <w:rFonts w:hint="eastAsia" w:ascii="仿宋_GB2312" w:hAnsi="仿宋_GB2312" w:eastAsia="仿宋_GB2312" w:cs="仿宋_GB2312"/>
          <w:color w:val="000000"/>
          <w:szCs w:val="32"/>
        </w:rPr>
        <w:t>亿元，年均增长</w:t>
      </w:r>
      <w:r>
        <w:rPr>
          <w:rFonts w:ascii="仿宋_GB2312" w:hAnsi="仿宋_GB2312" w:eastAsia="仿宋_GB2312" w:cs="仿宋_GB2312"/>
          <w:color w:val="000000"/>
          <w:szCs w:val="32"/>
        </w:rPr>
        <w:t>11.6%</w:t>
      </w:r>
      <w:r>
        <w:rPr>
          <w:rFonts w:hint="eastAsia" w:ascii="仿宋_GB2312" w:hAnsi="仿宋_GB2312" w:eastAsia="仿宋_GB2312" w:cs="仿宋_GB2312"/>
          <w:color w:val="000000"/>
          <w:szCs w:val="32"/>
        </w:rPr>
        <w:t>，在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年的基础上前移</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位以上。</w:t>
      </w:r>
      <w:r>
        <w:rPr>
          <w:rFonts w:ascii="仿宋_GB2312" w:hAnsi="仿宋_GB2312" w:eastAsia="仿宋_GB2312" w:cs="仿宋_GB2312"/>
          <w:color w:val="000000"/>
          <w:szCs w:val="32"/>
        </w:rPr>
        <w:t>500</w:t>
      </w:r>
      <w:r>
        <w:rPr>
          <w:rFonts w:hint="eastAsia" w:ascii="仿宋_GB2312" w:hAnsi="仿宋_GB2312" w:eastAsia="仿宋_GB2312" w:cs="仿宋_GB2312"/>
          <w:color w:val="000000"/>
          <w:szCs w:val="32"/>
        </w:rPr>
        <w:t>万以上社会固定资产投资年均增长</w:t>
      </w:r>
      <w:r>
        <w:rPr>
          <w:rFonts w:ascii="仿宋_GB2312" w:hAnsi="仿宋_GB2312" w:eastAsia="仿宋_GB2312" w:cs="仿宋_GB2312"/>
          <w:color w:val="000000"/>
          <w:szCs w:val="32"/>
        </w:rPr>
        <w:t>9%</w:t>
      </w:r>
      <w:r>
        <w:rPr>
          <w:rFonts w:hint="eastAsia" w:ascii="仿宋_GB2312" w:hAnsi="仿宋_GB2312" w:eastAsia="仿宋_GB2312" w:cs="仿宋_GB2312"/>
          <w:color w:val="000000"/>
          <w:szCs w:val="32"/>
        </w:rPr>
        <w:t>。</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创新发展取得新突破。</w:t>
      </w:r>
      <w:r>
        <w:rPr>
          <w:rFonts w:hint="eastAsia" w:ascii="仿宋_GB2312" w:hAnsi="仿宋_GB2312" w:eastAsia="仿宋_GB2312" w:cs="仿宋_GB2312"/>
          <w:color w:val="000000"/>
          <w:szCs w:val="32"/>
        </w:rPr>
        <w:t>创新体系更加完善，聚才用才育才环境大幅改善，全县规上工业企业</w:t>
      </w:r>
      <w:r>
        <w:rPr>
          <w:rFonts w:ascii="仿宋_GB2312" w:hAnsi="仿宋_GB2312" w:eastAsia="仿宋_GB2312" w:cs="仿宋_GB2312"/>
          <w:color w:val="000000"/>
          <w:szCs w:val="32"/>
        </w:rPr>
        <w:t>R&amp;D</w:t>
      </w:r>
      <w:r>
        <w:rPr>
          <w:rFonts w:hint="eastAsia" w:ascii="仿宋_GB2312" w:hAnsi="仿宋_GB2312" w:eastAsia="仿宋_GB2312" w:cs="仿宋_GB2312"/>
          <w:color w:val="000000"/>
          <w:szCs w:val="32"/>
        </w:rPr>
        <w:t>经费支出和工业企业技术改造投资额年均增长均达</w:t>
      </w:r>
      <w:r>
        <w:rPr>
          <w:rFonts w:ascii="仿宋_GB2312" w:hAnsi="仿宋_GB2312" w:eastAsia="仿宋_GB2312" w:cs="仿宋_GB2312"/>
          <w:color w:val="000000"/>
          <w:szCs w:val="32"/>
        </w:rPr>
        <w:t>35%</w:t>
      </w:r>
      <w:r>
        <w:rPr>
          <w:rFonts w:hint="eastAsia" w:ascii="仿宋_GB2312" w:hAnsi="仿宋_GB2312" w:eastAsia="仿宋_GB2312" w:cs="仿宋_GB2312"/>
          <w:color w:val="000000"/>
          <w:szCs w:val="32"/>
        </w:rPr>
        <w:t>以上，到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年，全县研发经费支出占</w:t>
      </w:r>
      <w:r>
        <w:rPr>
          <w:rFonts w:ascii="仿宋_GB2312" w:hAnsi="仿宋_GB2312" w:eastAsia="仿宋_GB2312" w:cs="仿宋_GB2312"/>
          <w:color w:val="000000"/>
          <w:szCs w:val="32"/>
        </w:rPr>
        <w:t>GDP</w:t>
      </w:r>
      <w:r>
        <w:rPr>
          <w:rFonts w:hint="eastAsia" w:ascii="仿宋_GB2312" w:hAnsi="仿宋_GB2312" w:eastAsia="仿宋_GB2312" w:cs="仿宋_GB2312"/>
          <w:color w:val="000000"/>
          <w:szCs w:val="32"/>
        </w:rPr>
        <w:t>比重提高到</w:t>
      </w:r>
      <w:r>
        <w:rPr>
          <w:rFonts w:ascii="仿宋_GB2312" w:hAnsi="仿宋_GB2312" w:eastAsia="仿宋_GB2312" w:cs="仿宋_GB2312"/>
          <w:color w:val="000000"/>
          <w:szCs w:val="32"/>
        </w:rPr>
        <w:t>3%</w:t>
      </w:r>
      <w:r>
        <w:rPr>
          <w:rFonts w:hint="eastAsia" w:ascii="仿宋_GB2312" w:hAnsi="仿宋_GB2312" w:eastAsia="仿宋_GB2312" w:cs="仿宋_GB2312"/>
          <w:color w:val="000000"/>
          <w:szCs w:val="32"/>
        </w:rPr>
        <w:t>左右。自主创新能力显著增强，主要创新指标超过全省平均水平；依托永修现有科技基础，广泛开展同国内外发达地区的科技合作，在有机硅、绿色建材、电子信息和高端装备等领域形成具有区域影响力的科技创新中心。</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产业结构实现新优化。</w:t>
      </w:r>
      <w:r>
        <w:rPr>
          <w:rFonts w:hint="eastAsia" w:ascii="仿宋_GB2312" w:hAnsi="仿宋_GB2312" w:eastAsia="仿宋_GB2312" w:cs="仿宋_GB2312"/>
          <w:color w:val="000000"/>
          <w:szCs w:val="32"/>
        </w:rPr>
        <w:t>优化提升“首位产业</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主导产业</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新兴产业”的制造业体系，形成有机硅新材料、绿色建材、电子信息和高端装备、数字经济、现代农业、文化旅游服务协同发展的现代化产业体系；战略新兴产业、高新技术产业、数字经济等比重显著提高，新动能成为拉动经济增长的主动力。首位有机硅新材料产业营业收入迈入</w:t>
      </w:r>
      <w:r>
        <w:rPr>
          <w:rFonts w:ascii="仿宋_GB2312" w:hAnsi="仿宋_GB2312" w:eastAsia="仿宋_GB2312" w:cs="仿宋_GB2312"/>
          <w:color w:val="000000"/>
          <w:szCs w:val="32"/>
        </w:rPr>
        <w:t>500</w:t>
      </w:r>
      <w:r>
        <w:rPr>
          <w:rFonts w:hint="eastAsia" w:ascii="仿宋_GB2312" w:hAnsi="仿宋_GB2312" w:eastAsia="仿宋_GB2312" w:cs="仿宋_GB2312"/>
          <w:color w:val="000000"/>
          <w:szCs w:val="32"/>
        </w:rPr>
        <w:t>亿产业集群台阶，绿色建材、电子信息和装备、数字经济、文化旅游服务等产业营业收入全部迈入“百亿产业俱乐部”。</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城乡融合取得新成就。</w:t>
      </w:r>
      <w:r>
        <w:rPr>
          <w:rFonts w:hint="eastAsia" w:ascii="仿宋_GB2312" w:hAnsi="仿宋_GB2312" w:eastAsia="仿宋_GB2312" w:cs="仿宋_GB2312"/>
          <w:color w:val="000000"/>
          <w:szCs w:val="32"/>
        </w:rPr>
        <w:t>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年，常住人口城镇化率达到</w:t>
      </w:r>
      <w:r>
        <w:rPr>
          <w:rFonts w:ascii="仿宋_GB2312" w:hAnsi="仿宋_GB2312" w:eastAsia="仿宋_GB2312" w:cs="仿宋_GB2312"/>
          <w:color w:val="000000"/>
          <w:szCs w:val="32"/>
        </w:rPr>
        <w:t>60%</w:t>
      </w:r>
      <w:r>
        <w:rPr>
          <w:rFonts w:hint="eastAsia" w:ascii="仿宋_GB2312" w:hAnsi="仿宋_GB2312" w:eastAsia="仿宋_GB2312" w:cs="仿宋_GB2312"/>
          <w:color w:val="000000"/>
          <w:szCs w:val="32"/>
        </w:rPr>
        <w:t>以上，城市功能明显提升，城乡融合发展水平进一步提高。城乡之间、区域之间居民收入水平、基础设施通达水平、基本公共服务均等化水平、人民生活水平等方面差距进一步缩小。</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改革开放迈上新台阶。</w:t>
      </w:r>
      <w:r>
        <w:rPr>
          <w:rFonts w:hint="eastAsia" w:ascii="仿宋_GB2312" w:hAnsi="仿宋_GB2312" w:eastAsia="仿宋_GB2312" w:cs="仿宋_GB2312"/>
          <w:color w:val="000000"/>
          <w:szCs w:val="32"/>
        </w:rPr>
        <w:t>社会主义市场经济体制更加完善，市场主体更加充满活力，公平竞争制度更加健全。“放管服”改革持续深入，政务服务水平全面提升，营商环境显著改善。内陆双向开放高地取得重大进展，更高水平开放型经济新体制基本形成。</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生态文明呈现新面貌。</w:t>
      </w:r>
      <w:r>
        <w:rPr>
          <w:rFonts w:hint="eastAsia" w:ascii="仿宋_GB2312" w:hAnsi="仿宋_GB2312" w:eastAsia="仿宋_GB2312" w:cs="仿宋_GB2312"/>
          <w:color w:val="000000"/>
          <w:szCs w:val="32"/>
        </w:rPr>
        <w:t>山水林田湖草生命共同体示范区建设纵深推进，节能减排成效明显，资源能源利用效率大幅提高，基本建成绿色产业体系，绿色生产方式和生活方式加快形成，绿色发展水平位居全省前列。</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社会文明得到新提高。</w:t>
      </w:r>
      <w:r>
        <w:rPr>
          <w:rFonts w:hint="eastAsia" w:ascii="仿宋_GB2312" w:hAnsi="仿宋_GB2312" w:eastAsia="仿宋_GB2312" w:cs="仿宋_GB2312"/>
          <w:color w:val="000000"/>
          <w:szCs w:val="32"/>
        </w:rPr>
        <w:t>社会主义核心价值观深入人心，人民思想道德素质、科学文化素质和身心健康素质明显提高，永修优秀传统文化、红色文化传承不断推进，公共文化体育服务体系不断完善，文化产业体系更加健全，人民精神文化生活日益丰富。</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民生福祉实现新提升。</w:t>
      </w:r>
      <w:r>
        <w:rPr>
          <w:rFonts w:hint="eastAsia" w:ascii="仿宋_GB2312" w:hAnsi="仿宋_GB2312" w:eastAsia="仿宋_GB2312" w:cs="仿宋_GB2312"/>
          <w:color w:val="000000"/>
          <w:szCs w:val="32"/>
        </w:rPr>
        <w:t>实现居民收入增长和经济发展同步、劳动报酬增长和劳动生产率提高同步，城镇、农村居民人均可支配收入大幅提高，在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年全省排位的基础上均前移</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位以上。就业、养老、教育、文化体育、社会保障、健康医疗、住房等公共服体系达到较高水平，基本公共服务均等化基本实现，人民生活水平总体达到更加富裕水平。</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县域治理书写新篇章。</w:t>
      </w:r>
      <w:r>
        <w:rPr>
          <w:rFonts w:hint="eastAsia" w:ascii="仿宋_GB2312" w:hAnsi="仿宋_GB2312" w:eastAsia="仿宋_GB2312" w:cs="仿宋_GB2312"/>
          <w:color w:val="000000"/>
          <w:szCs w:val="32"/>
        </w:rPr>
        <w:t>行政管理体制改革取得新突破，“五型”政府建设取得新成效，营商环境主要评价指标稳居全省前列；社会治理体系更加优化，平安永修建设向更高水平、更高质量迈进。防范化解重大风险体制机制不断健全，公共卫生应急管理、自然灾害防范等短板得到明显增强，安全保障更加有力。各领域基础性制度体系更加健全，法治政府、法治社会一体化建设取得重大进展，社会公众安全感有效提升。</w:t>
      </w:r>
    </w:p>
    <w:p>
      <w:pPr>
        <w:pStyle w:val="2"/>
        <w:ind w:firstLine="31680"/>
        <w:rPr>
          <w:rFonts w:ascii="仿宋_GB2312" w:hAnsi="仿宋_GB2312" w:eastAsia="仿宋_GB2312" w:cs="仿宋_GB2312"/>
          <w:color w:val="000000"/>
          <w:szCs w:val="32"/>
        </w:rPr>
      </w:pPr>
    </w:p>
    <w:p>
      <w:pPr>
        <w:ind w:firstLine="31680"/>
      </w:pPr>
    </w:p>
    <w:p>
      <w:pPr>
        <w:ind w:firstLine="0" w:firstLineChars="0"/>
        <w:jc w:val="center"/>
        <w:rPr>
          <w:rFonts w:ascii="仿宋_GB2312" w:hAnsi="仿宋_GB2312" w:eastAsia="仿宋_GB2312" w:cs="仿宋_GB2312"/>
        </w:rPr>
      </w:pPr>
      <w:r>
        <w:rPr>
          <w:rFonts w:hint="eastAsia" w:ascii="仿宋_GB2312" w:hAnsi="仿宋_GB2312" w:eastAsia="仿宋_GB2312" w:cs="仿宋_GB2312"/>
          <w:b/>
          <w:bCs/>
        </w:rPr>
        <w:t>表</w:t>
      </w:r>
      <w:r>
        <w:rPr>
          <w:rFonts w:ascii="仿宋_GB2312" w:hAnsi="仿宋_GB2312" w:eastAsia="仿宋_GB2312" w:cs="仿宋_GB2312"/>
          <w:b/>
          <w:bCs/>
        </w:rPr>
        <w:t xml:space="preserve">2 </w:t>
      </w:r>
      <w:r>
        <w:rPr>
          <w:rFonts w:hint="eastAsia" w:ascii="仿宋_GB2312" w:hAnsi="仿宋_GB2312" w:eastAsia="仿宋_GB2312" w:cs="仿宋_GB2312"/>
          <w:b/>
          <w:bCs/>
        </w:rPr>
        <w:t>永修县“十四五”规划主要指标表</w:t>
      </w:r>
    </w:p>
    <w:tbl>
      <w:tblPr>
        <w:tblStyle w:val="16"/>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4100"/>
        <w:gridCol w:w="970"/>
        <w:gridCol w:w="920"/>
        <w:gridCol w:w="1203"/>
        <w:gridCol w:w="108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9" w:type="dxa"/>
            <w:vAlign w:val="center"/>
          </w:tcPr>
          <w:p>
            <w:pPr>
              <w:spacing w:line="240" w:lineRule="auto"/>
              <w:ind w:firstLine="0" w:firstLineChars="0"/>
              <w:jc w:val="center"/>
              <w:rPr>
                <w:rFonts w:eastAsia="宋体"/>
                <w:b/>
                <w:bCs/>
                <w:sz w:val="21"/>
              </w:rPr>
            </w:pPr>
            <w:r>
              <w:rPr>
                <w:rFonts w:hint="eastAsia" w:eastAsia="宋体"/>
                <w:b/>
                <w:bCs/>
                <w:sz w:val="21"/>
              </w:rPr>
              <w:t>类别</w:t>
            </w:r>
          </w:p>
        </w:tc>
        <w:tc>
          <w:tcPr>
            <w:tcW w:w="4100" w:type="dxa"/>
            <w:vAlign w:val="center"/>
          </w:tcPr>
          <w:p>
            <w:pPr>
              <w:spacing w:line="240" w:lineRule="auto"/>
              <w:ind w:firstLine="0" w:firstLineChars="0"/>
              <w:jc w:val="center"/>
              <w:rPr>
                <w:rFonts w:eastAsia="宋体"/>
                <w:b/>
                <w:bCs/>
                <w:sz w:val="21"/>
              </w:rPr>
            </w:pPr>
            <w:r>
              <w:rPr>
                <w:rFonts w:hint="eastAsia" w:eastAsia="宋体"/>
                <w:b/>
                <w:bCs/>
                <w:sz w:val="21"/>
              </w:rPr>
              <w:t>指标</w:t>
            </w:r>
          </w:p>
        </w:tc>
        <w:tc>
          <w:tcPr>
            <w:tcW w:w="970" w:type="dxa"/>
            <w:vAlign w:val="center"/>
          </w:tcPr>
          <w:p>
            <w:pPr>
              <w:spacing w:line="240" w:lineRule="auto"/>
              <w:ind w:firstLine="0" w:firstLineChars="0"/>
              <w:jc w:val="center"/>
              <w:rPr>
                <w:rFonts w:eastAsia="宋体"/>
                <w:b/>
                <w:bCs/>
                <w:sz w:val="21"/>
              </w:rPr>
            </w:pPr>
            <w:r>
              <w:rPr>
                <w:rFonts w:eastAsia="宋体"/>
                <w:b/>
                <w:bCs/>
                <w:sz w:val="21"/>
              </w:rPr>
              <w:t>2020</w:t>
            </w:r>
            <w:r>
              <w:rPr>
                <w:rFonts w:hint="eastAsia" w:eastAsia="宋体"/>
                <w:b/>
                <w:bCs/>
                <w:sz w:val="21"/>
              </w:rPr>
              <w:t>年</w:t>
            </w:r>
          </w:p>
          <w:p>
            <w:pPr>
              <w:spacing w:line="240" w:lineRule="auto"/>
              <w:ind w:firstLine="0" w:firstLineChars="0"/>
              <w:jc w:val="center"/>
              <w:rPr>
                <w:rFonts w:eastAsia="宋体"/>
                <w:b/>
                <w:bCs/>
                <w:sz w:val="21"/>
              </w:rPr>
            </w:pPr>
            <w:r>
              <w:rPr>
                <w:rFonts w:hint="eastAsia" w:eastAsia="宋体"/>
                <w:b/>
                <w:bCs/>
                <w:sz w:val="21"/>
              </w:rPr>
              <w:t>基期值</w:t>
            </w:r>
          </w:p>
        </w:tc>
        <w:tc>
          <w:tcPr>
            <w:tcW w:w="920" w:type="dxa"/>
            <w:vAlign w:val="center"/>
          </w:tcPr>
          <w:p>
            <w:pPr>
              <w:spacing w:line="240" w:lineRule="auto"/>
              <w:ind w:firstLine="0" w:firstLineChars="0"/>
              <w:jc w:val="center"/>
              <w:rPr>
                <w:rFonts w:eastAsia="宋体"/>
                <w:b/>
                <w:bCs/>
                <w:sz w:val="21"/>
              </w:rPr>
            </w:pPr>
            <w:r>
              <w:rPr>
                <w:rFonts w:eastAsia="宋体"/>
                <w:b/>
                <w:bCs/>
                <w:sz w:val="21"/>
              </w:rPr>
              <w:t>2025</w:t>
            </w:r>
            <w:r>
              <w:rPr>
                <w:rFonts w:hint="eastAsia" w:eastAsia="宋体"/>
                <w:b/>
                <w:bCs/>
                <w:sz w:val="21"/>
              </w:rPr>
              <w:t>年</w:t>
            </w:r>
          </w:p>
          <w:p>
            <w:pPr>
              <w:spacing w:line="240" w:lineRule="auto"/>
              <w:ind w:firstLine="0" w:firstLineChars="0"/>
              <w:jc w:val="center"/>
              <w:rPr>
                <w:rFonts w:eastAsia="宋体"/>
                <w:b/>
                <w:bCs/>
                <w:sz w:val="21"/>
              </w:rPr>
            </w:pPr>
            <w:r>
              <w:rPr>
                <w:rFonts w:hint="eastAsia" w:eastAsia="宋体"/>
                <w:b/>
                <w:bCs/>
                <w:sz w:val="21"/>
              </w:rPr>
              <w:t>目标值</w:t>
            </w:r>
          </w:p>
        </w:tc>
        <w:tc>
          <w:tcPr>
            <w:tcW w:w="1203" w:type="dxa"/>
            <w:vAlign w:val="center"/>
          </w:tcPr>
          <w:p>
            <w:pPr>
              <w:spacing w:line="240" w:lineRule="auto"/>
              <w:ind w:firstLine="0" w:firstLineChars="0"/>
              <w:jc w:val="center"/>
              <w:rPr>
                <w:rFonts w:eastAsia="宋体"/>
                <w:b/>
                <w:bCs/>
                <w:sz w:val="21"/>
              </w:rPr>
            </w:pPr>
            <w:r>
              <w:rPr>
                <w:rFonts w:hint="eastAsia" w:eastAsia="宋体"/>
                <w:b/>
                <w:bCs/>
                <w:sz w:val="21"/>
              </w:rPr>
              <w:t>年均</w:t>
            </w:r>
            <w:r>
              <w:rPr>
                <w:rFonts w:eastAsia="宋体"/>
                <w:b/>
                <w:bCs/>
                <w:sz w:val="21"/>
              </w:rPr>
              <w:t>/</w:t>
            </w:r>
            <w:r>
              <w:rPr>
                <w:rFonts w:hint="eastAsia" w:eastAsia="宋体"/>
                <w:b/>
                <w:bCs/>
                <w:sz w:val="21"/>
              </w:rPr>
              <w:t>累计</w:t>
            </w:r>
          </w:p>
          <w:p>
            <w:pPr>
              <w:spacing w:line="240" w:lineRule="auto"/>
              <w:ind w:firstLine="0" w:firstLineChars="0"/>
              <w:jc w:val="center"/>
              <w:rPr>
                <w:rFonts w:eastAsia="宋体"/>
                <w:b/>
                <w:bCs/>
                <w:sz w:val="21"/>
              </w:rPr>
            </w:pPr>
            <w:r>
              <w:rPr>
                <w:rFonts w:hint="eastAsia" w:eastAsia="宋体"/>
                <w:b/>
                <w:bCs/>
                <w:sz w:val="21"/>
              </w:rPr>
              <w:t>增长（</w:t>
            </w:r>
            <w:r>
              <w:rPr>
                <w:rFonts w:eastAsia="宋体"/>
                <w:b/>
                <w:bCs/>
                <w:sz w:val="21"/>
              </w:rPr>
              <w:t>%</w:t>
            </w:r>
            <w:r>
              <w:rPr>
                <w:rFonts w:hint="eastAsia" w:eastAsia="宋体"/>
                <w:b/>
                <w:bCs/>
                <w:sz w:val="21"/>
              </w:rPr>
              <w:t>）</w:t>
            </w:r>
          </w:p>
        </w:tc>
        <w:tc>
          <w:tcPr>
            <w:tcW w:w="1080" w:type="dxa"/>
            <w:vAlign w:val="center"/>
          </w:tcPr>
          <w:p>
            <w:pPr>
              <w:spacing w:line="240" w:lineRule="auto"/>
              <w:ind w:firstLine="0" w:firstLineChars="0"/>
              <w:jc w:val="center"/>
              <w:rPr>
                <w:rFonts w:eastAsia="宋体"/>
                <w:b/>
                <w:bCs/>
                <w:sz w:val="21"/>
              </w:rPr>
            </w:pPr>
            <w:r>
              <w:rPr>
                <w:rFonts w:hint="eastAsia" w:eastAsia="宋体"/>
                <w:b/>
                <w:bCs/>
                <w:sz w:val="21"/>
              </w:rPr>
              <w:t>九江市年均</w:t>
            </w:r>
            <w:r>
              <w:rPr>
                <w:rFonts w:eastAsia="宋体"/>
                <w:b/>
                <w:bCs/>
                <w:sz w:val="21"/>
              </w:rPr>
              <w:t>/</w:t>
            </w:r>
            <w:r>
              <w:rPr>
                <w:rFonts w:hint="eastAsia" w:eastAsia="宋体"/>
                <w:b/>
                <w:bCs/>
                <w:sz w:val="21"/>
              </w:rPr>
              <w:t>累计</w:t>
            </w:r>
          </w:p>
          <w:p>
            <w:pPr>
              <w:spacing w:line="240" w:lineRule="auto"/>
              <w:ind w:firstLine="0" w:firstLineChars="0"/>
              <w:jc w:val="center"/>
              <w:rPr>
                <w:rFonts w:eastAsia="宋体"/>
                <w:b/>
                <w:bCs/>
                <w:sz w:val="21"/>
              </w:rPr>
            </w:pPr>
            <w:r>
              <w:rPr>
                <w:rFonts w:hint="eastAsia" w:eastAsia="宋体"/>
                <w:b/>
                <w:bCs/>
                <w:sz w:val="21"/>
              </w:rPr>
              <w:t>增长（</w:t>
            </w:r>
            <w:r>
              <w:rPr>
                <w:rFonts w:eastAsia="宋体"/>
                <w:b/>
                <w:bCs/>
                <w:sz w:val="21"/>
              </w:rPr>
              <w:t>%</w:t>
            </w:r>
            <w:r>
              <w:rPr>
                <w:rFonts w:hint="eastAsia" w:eastAsia="宋体"/>
                <w:b/>
                <w:bCs/>
                <w:sz w:val="21"/>
              </w:rPr>
              <w:t>）</w:t>
            </w:r>
          </w:p>
        </w:tc>
        <w:tc>
          <w:tcPr>
            <w:tcW w:w="912" w:type="dxa"/>
            <w:vAlign w:val="center"/>
          </w:tcPr>
          <w:p>
            <w:pPr>
              <w:spacing w:line="240" w:lineRule="auto"/>
              <w:ind w:firstLine="0" w:firstLineChars="0"/>
              <w:jc w:val="center"/>
              <w:rPr>
                <w:rFonts w:eastAsia="宋体"/>
                <w:b/>
                <w:bCs/>
                <w:sz w:val="21"/>
              </w:rPr>
            </w:pPr>
            <w:r>
              <w:rPr>
                <w:rFonts w:hint="eastAsia" w:eastAsia="宋体"/>
                <w:b/>
                <w:bCs/>
                <w:sz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综合</w:t>
            </w:r>
          </w:p>
          <w:p>
            <w:pPr>
              <w:spacing w:line="240" w:lineRule="auto"/>
              <w:ind w:firstLine="0" w:firstLineChars="0"/>
              <w:jc w:val="center"/>
              <w:rPr>
                <w:rFonts w:eastAsia="宋体"/>
                <w:sz w:val="21"/>
              </w:rPr>
            </w:pPr>
            <w:r>
              <w:rPr>
                <w:rFonts w:hint="eastAsia" w:eastAsia="宋体"/>
                <w:sz w:val="21"/>
              </w:rPr>
              <w:t>质效</w:t>
            </w:r>
          </w:p>
        </w:tc>
        <w:tc>
          <w:tcPr>
            <w:tcW w:w="4100" w:type="dxa"/>
            <w:vAlign w:val="center"/>
          </w:tcPr>
          <w:p>
            <w:pPr>
              <w:spacing w:line="240" w:lineRule="auto"/>
              <w:ind w:firstLine="0" w:firstLineChars="0"/>
              <w:jc w:val="center"/>
              <w:rPr>
                <w:rFonts w:eastAsia="宋体"/>
                <w:sz w:val="21"/>
              </w:rPr>
            </w:pPr>
            <w:r>
              <w:rPr>
                <w:rFonts w:hint="eastAsia" w:eastAsia="宋体"/>
                <w:sz w:val="21"/>
              </w:rPr>
              <w:t>地区生产总值（亿元）</w:t>
            </w:r>
          </w:p>
        </w:tc>
        <w:tc>
          <w:tcPr>
            <w:tcW w:w="970" w:type="dxa"/>
            <w:vAlign w:val="center"/>
          </w:tcPr>
          <w:p>
            <w:pPr>
              <w:spacing w:line="240" w:lineRule="auto"/>
              <w:ind w:firstLine="0" w:firstLineChars="0"/>
              <w:jc w:val="center"/>
              <w:rPr>
                <w:rFonts w:eastAsia="宋体"/>
                <w:sz w:val="21"/>
              </w:rPr>
            </w:pPr>
            <w:r>
              <w:rPr>
                <w:rFonts w:eastAsia="宋体"/>
                <w:sz w:val="21"/>
              </w:rPr>
              <w:t>250.62</w:t>
            </w:r>
          </w:p>
        </w:tc>
        <w:tc>
          <w:tcPr>
            <w:tcW w:w="920" w:type="dxa"/>
            <w:vAlign w:val="center"/>
          </w:tcPr>
          <w:p>
            <w:pPr>
              <w:spacing w:line="240" w:lineRule="auto"/>
              <w:ind w:firstLine="0" w:firstLineChars="0"/>
              <w:jc w:val="center"/>
              <w:rPr>
                <w:rFonts w:eastAsia="宋体"/>
                <w:sz w:val="21"/>
              </w:rPr>
            </w:pPr>
            <w:r>
              <w:rPr>
                <w:rFonts w:eastAsia="宋体"/>
                <w:sz w:val="21"/>
              </w:rPr>
              <w:t>341.2</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7.5</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财政总收入（亿元）</w:t>
            </w:r>
          </w:p>
        </w:tc>
        <w:tc>
          <w:tcPr>
            <w:tcW w:w="970" w:type="dxa"/>
            <w:vAlign w:val="center"/>
          </w:tcPr>
          <w:p>
            <w:pPr>
              <w:spacing w:line="240" w:lineRule="auto"/>
              <w:ind w:firstLine="0" w:firstLineChars="0"/>
              <w:jc w:val="center"/>
              <w:rPr>
                <w:rFonts w:eastAsia="宋体"/>
                <w:sz w:val="21"/>
              </w:rPr>
            </w:pPr>
            <w:r>
              <w:rPr>
                <w:rFonts w:eastAsia="宋体"/>
                <w:sz w:val="21"/>
              </w:rPr>
              <w:t>30.76</w:t>
            </w:r>
          </w:p>
        </w:tc>
        <w:tc>
          <w:tcPr>
            <w:tcW w:w="920" w:type="dxa"/>
            <w:vAlign w:val="center"/>
          </w:tcPr>
          <w:p>
            <w:pPr>
              <w:spacing w:line="240" w:lineRule="auto"/>
              <w:ind w:firstLine="0" w:firstLineChars="0"/>
              <w:jc w:val="center"/>
              <w:rPr>
                <w:rFonts w:eastAsia="宋体"/>
                <w:sz w:val="21"/>
              </w:rPr>
            </w:pPr>
            <w:r>
              <w:rPr>
                <w:rFonts w:eastAsia="宋体"/>
                <w:sz w:val="21"/>
              </w:rPr>
              <w:t>40</w:t>
            </w:r>
          </w:p>
        </w:tc>
        <w:tc>
          <w:tcPr>
            <w:tcW w:w="1203" w:type="dxa"/>
            <w:vAlign w:val="center"/>
          </w:tcPr>
          <w:p>
            <w:pPr>
              <w:spacing w:line="240" w:lineRule="auto"/>
              <w:ind w:firstLine="0" w:firstLineChars="0"/>
              <w:jc w:val="center"/>
              <w:rPr>
                <w:rFonts w:eastAsia="宋体"/>
                <w:sz w:val="21"/>
              </w:rPr>
            </w:pPr>
            <w:r>
              <w:rPr>
                <w:rFonts w:eastAsia="宋体"/>
                <w:sz w:val="21"/>
              </w:rPr>
              <w:t>5.4</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规模以上工业增加值增速（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5.5</w:t>
            </w:r>
          </w:p>
        </w:tc>
        <w:tc>
          <w:tcPr>
            <w:tcW w:w="920" w:type="dxa"/>
            <w:vAlign w:val="center"/>
          </w:tcPr>
          <w:p>
            <w:pPr>
              <w:spacing w:line="240" w:lineRule="auto"/>
              <w:ind w:firstLine="0" w:firstLineChars="0"/>
              <w:jc w:val="center"/>
              <w:rPr>
                <w:rFonts w:eastAsia="宋体"/>
                <w:sz w:val="21"/>
              </w:rPr>
            </w:pPr>
            <w:r>
              <w:rPr>
                <w:rFonts w:eastAsia="宋体"/>
                <w:sz w:val="21"/>
              </w:rPr>
              <w:t>8</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固定资产投资增速（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9.6</w:t>
            </w:r>
          </w:p>
        </w:tc>
        <w:tc>
          <w:tcPr>
            <w:tcW w:w="920" w:type="dxa"/>
            <w:vAlign w:val="center"/>
          </w:tcPr>
          <w:p>
            <w:pPr>
              <w:spacing w:line="240" w:lineRule="auto"/>
              <w:ind w:firstLine="0" w:firstLineChars="0"/>
              <w:jc w:val="center"/>
              <w:rPr>
                <w:rFonts w:eastAsia="宋体"/>
                <w:sz w:val="21"/>
              </w:rPr>
            </w:pPr>
            <w:r>
              <w:rPr>
                <w:rFonts w:eastAsia="宋体"/>
                <w:sz w:val="21"/>
              </w:rPr>
              <w:t>9</w:t>
            </w:r>
          </w:p>
        </w:tc>
        <w:tc>
          <w:tcPr>
            <w:tcW w:w="1203" w:type="dxa"/>
            <w:vAlign w:val="center"/>
          </w:tcPr>
          <w:p>
            <w:pPr>
              <w:spacing w:line="240" w:lineRule="auto"/>
              <w:ind w:firstLine="0" w:firstLineChars="0"/>
              <w:jc w:val="center"/>
              <w:rPr>
                <w:rFonts w:eastAsia="宋体"/>
                <w:sz w:val="21"/>
              </w:rPr>
            </w:pPr>
            <w:r>
              <w:rPr>
                <w:rFonts w:eastAsia="宋体"/>
                <w:sz w:val="21"/>
              </w:rPr>
              <w:t>9</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社会消费品零售总额（亿元）</w:t>
            </w:r>
          </w:p>
        </w:tc>
        <w:tc>
          <w:tcPr>
            <w:tcW w:w="970" w:type="dxa"/>
            <w:vAlign w:val="center"/>
          </w:tcPr>
          <w:p>
            <w:pPr>
              <w:spacing w:line="240" w:lineRule="auto"/>
              <w:ind w:firstLine="0" w:firstLineChars="0"/>
              <w:jc w:val="center"/>
              <w:rPr>
                <w:rFonts w:eastAsia="宋体"/>
                <w:sz w:val="21"/>
              </w:rPr>
            </w:pPr>
            <w:r>
              <w:rPr>
                <w:rFonts w:eastAsia="宋体"/>
                <w:sz w:val="21"/>
              </w:rPr>
              <w:t>78.02</w:t>
            </w:r>
          </w:p>
        </w:tc>
        <w:tc>
          <w:tcPr>
            <w:tcW w:w="920" w:type="dxa"/>
            <w:vAlign w:val="center"/>
          </w:tcPr>
          <w:p>
            <w:pPr>
              <w:spacing w:line="240" w:lineRule="auto"/>
              <w:ind w:firstLine="0" w:firstLineChars="0"/>
              <w:jc w:val="center"/>
              <w:rPr>
                <w:rFonts w:eastAsia="宋体"/>
                <w:sz w:val="21"/>
              </w:rPr>
            </w:pPr>
            <w:r>
              <w:rPr>
                <w:rFonts w:eastAsia="宋体"/>
                <w:sz w:val="21"/>
              </w:rPr>
              <w:t>136.4</w:t>
            </w:r>
          </w:p>
        </w:tc>
        <w:tc>
          <w:tcPr>
            <w:tcW w:w="1203" w:type="dxa"/>
            <w:vAlign w:val="center"/>
          </w:tcPr>
          <w:p>
            <w:pPr>
              <w:spacing w:line="240" w:lineRule="auto"/>
              <w:ind w:firstLine="0" w:firstLineChars="0"/>
              <w:jc w:val="center"/>
              <w:rPr>
                <w:rFonts w:eastAsia="宋体"/>
                <w:sz w:val="21"/>
              </w:rPr>
            </w:pPr>
            <w:r>
              <w:rPr>
                <w:rFonts w:eastAsia="宋体"/>
                <w:sz w:val="21"/>
              </w:rPr>
              <w:t>11.6</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粮食总产量（万吨）</w:t>
            </w:r>
          </w:p>
        </w:tc>
        <w:tc>
          <w:tcPr>
            <w:tcW w:w="970" w:type="dxa"/>
            <w:vAlign w:val="center"/>
          </w:tcPr>
          <w:p>
            <w:pPr>
              <w:spacing w:line="240" w:lineRule="auto"/>
              <w:ind w:firstLine="0" w:firstLineChars="0"/>
              <w:jc w:val="center"/>
              <w:rPr>
                <w:rFonts w:eastAsia="宋体"/>
                <w:sz w:val="21"/>
              </w:rPr>
            </w:pPr>
            <w:r>
              <w:rPr>
                <w:rFonts w:eastAsia="宋体"/>
                <w:sz w:val="21"/>
              </w:rPr>
              <w:t>24</w:t>
            </w:r>
          </w:p>
        </w:tc>
        <w:tc>
          <w:tcPr>
            <w:tcW w:w="920" w:type="dxa"/>
            <w:vAlign w:val="center"/>
          </w:tcPr>
          <w:p>
            <w:pPr>
              <w:spacing w:line="240" w:lineRule="auto"/>
              <w:ind w:firstLine="0" w:firstLineChars="0"/>
              <w:jc w:val="center"/>
              <w:rPr>
                <w:rFonts w:eastAsia="宋体"/>
                <w:sz w:val="21"/>
              </w:rPr>
            </w:pPr>
            <w:r>
              <w:rPr>
                <w:rFonts w:eastAsia="宋体"/>
                <w:sz w:val="21"/>
              </w:rPr>
              <w:t>25</w:t>
            </w:r>
          </w:p>
        </w:tc>
        <w:tc>
          <w:tcPr>
            <w:tcW w:w="1203" w:type="dxa"/>
            <w:vAlign w:val="center"/>
          </w:tcPr>
          <w:p>
            <w:pPr>
              <w:spacing w:line="240" w:lineRule="auto"/>
              <w:ind w:firstLine="0" w:firstLineChars="0"/>
              <w:jc w:val="center"/>
              <w:rPr>
                <w:rFonts w:eastAsia="宋体"/>
                <w:sz w:val="21"/>
              </w:rPr>
            </w:pPr>
            <w:r>
              <w:rPr>
                <w:rFonts w:eastAsia="宋体"/>
                <w:sz w:val="21"/>
              </w:rPr>
              <w:t>[1]</w:t>
            </w:r>
          </w:p>
        </w:tc>
        <w:tc>
          <w:tcPr>
            <w:tcW w:w="1080" w:type="dxa"/>
            <w:vAlign w:val="center"/>
          </w:tcPr>
          <w:p>
            <w:pPr>
              <w:spacing w:line="240" w:lineRule="auto"/>
              <w:ind w:firstLine="0" w:firstLineChars="0"/>
              <w:jc w:val="center"/>
              <w:rPr>
                <w:rFonts w:eastAsia="宋体"/>
                <w:sz w:val="21"/>
              </w:rPr>
            </w:pPr>
            <w:r>
              <w:rPr>
                <w:rFonts w:hint="eastAsia" w:eastAsia="宋体"/>
                <w:sz w:val="21"/>
              </w:rPr>
              <w:t>保持稳定</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能源综合生产能力（亿吨标准煤）</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szCs w:val="22"/>
              </w:rPr>
            </w:pPr>
            <w:r>
              <w:rPr>
                <w:rFonts w:hint="eastAsia" w:eastAsia="宋体"/>
                <w:sz w:val="21"/>
                <w:szCs w:val="22"/>
              </w:rPr>
              <w:t>创新</w:t>
            </w:r>
          </w:p>
          <w:p>
            <w:pPr>
              <w:spacing w:line="240" w:lineRule="auto"/>
              <w:ind w:firstLine="0" w:firstLineChars="0"/>
              <w:jc w:val="center"/>
              <w:rPr>
                <w:rFonts w:eastAsia="宋体"/>
                <w:sz w:val="21"/>
              </w:rPr>
            </w:pPr>
            <w:r>
              <w:rPr>
                <w:rFonts w:hint="eastAsia" w:eastAsia="宋体"/>
                <w:sz w:val="21"/>
                <w:szCs w:val="22"/>
              </w:rPr>
              <w:t>驱动</w:t>
            </w:r>
          </w:p>
        </w:tc>
        <w:tc>
          <w:tcPr>
            <w:tcW w:w="4100" w:type="dxa"/>
            <w:vAlign w:val="center"/>
          </w:tcPr>
          <w:p>
            <w:pPr>
              <w:spacing w:line="240" w:lineRule="auto"/>
              <w:ind w:firstLine="0" w:firstLineChars="0"/>
              <w:jc w:val="center"/>
              <w:rPr>
                <w:rFonts w:eastAsia="宋体"/>
                <w:sz w:val="21"/>
              </w:rPr>
            </w:pPr>
            <w:r>
              <w:rPr>
                <w:rFonts w:hint="eastAsia" w:eastAsia="宋体"/>
                <w:sz w:val="21"/>
              </w:rPr>
              <w:t>研发经费支出（亿元）</w:t>
            </w:r>
          </w:p>
        </w:tc>
        <w:tc>
          <w:tcPr>
            <w:tcW w:w="970" w:type="dxa"/>
            <w:vAlign w:val="center"/>
          </w:tcPr>
          <w:p>
            <w:pPr>
              <w:spacing w:line="240" w:lineRule="auto"/>
              <w:ind w:firstLine="0" w:firstLineChars="0"/>
              <w:jc w:val="center"/>
              <w:rPr>
                <w:rFonts w:eastAsia="宋体"/>
                <w:sz w:val="21"/>
              </w:rPr>
            </w:pPr>
            <w:r>
              <w:rPr>
                <w:rFonts w:eastAsia="宋体"/>
                <w:sz w:val="21"/>
              </w:rPr>
              <w:t>4.5</w:t>
            </w:r>
          </w:p>
        </w:tc>
        <w:tc>
          <w:tcPr>
            <w:tcW w:w="920" w:type="dxa"/>
            <w:vAlign w:val="center"/>
          </w:tcPr>
          <w:p>
            <w:pPr>
              <w:spacing w:line="240" w:lineRule="auto"/>
              <w:ind w:firstLine="0" w:firstLineChars="0"/>
              <w:jc w:val="center"/>
              <w:rPr>
                <w:rFonts w:eastAsia="宋体"/>
                <w:sz w:val="21"/>
              </w:rPr>
            </w:pPr>
            <w:r>
              <w:rPr>
                <w:rFonts w:eastAsia="宋体"/>
                <w:sz w:val="21"/>
              </w:rPr>
              <w:t>20</w:t>
            </w:r>
          </w:p>
        </w:tc>
        <w:tc>
          <w:tcPr>
            <w:tcW w:w="1203" w:type="dxa"/>
            <w:vAlign w:val="center"/>
          </w:tcPr>
          <w:p>
            <w:pPr>
              <w:spacing w:line="240" w:lineRule="auto"/>
              <w:ind w:firstLine="0" w:firstLineChars="0"/>
              <w:jc w:val="center"/>
              <w:rPr>
                <w:rFonts w:eastAsia="宋体"/>
                <w:sz w:val="21"/>
              </w:rPr>
            </w:pPr>
            <w:r>
              <w:rPr>
                <w:rFonts w:eastAsia="宋体"/>
                <w:sz w:val="21"/>
              </w:rPr>
              <w:t>35</w:t>
            </w:r>
          </w:p>
        </w:tc>
        <w:tc>
          <w:tcPr>
            <w:tcW w:w="1080" w:type="dxa"/>
            <w:vAlign w:val="center"/>
          </w:tcPr>
          <w:p>
            <w:pPr>
              <w:spacing w:line="240" w:lineRule="auto"/>
              <w:ind w:firstLine="0" w:firstLineChars="0"/>
              <w:jc w:val="center"/>
              <w:rPr>
                <w:rFonts w:eastAsia="宋体"/>
                <w:sz w:val="21"/>
              </w:rPr>
            </w:pPr>
            <w:r>
              <w:rPr>
                <w:rFonts w:eastAsia="宋体"/>
                <w:sz w:val="21"/>
              </w:rPr>
              <w:t>14.9</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高新技术产业增加值占</w:t>
            </w:r>
            <w:r>
              <w:rPr>
                <w:rFonts w:eastAsia="宋体"/>
                <w:sz w:val="21"/>
              </w:rPr>
              <w:t>GDP</w:t>
            </w:r>
            <w:r>
              <w:rPr>
                <w:rFonts w:hint="eastAsia" w:eastAsia="宋体"/>
                <w:sz w:val="21"/>
              </w:rPr>
              <w:t>比重（</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30</w:t>
            </w:r>
          </w:p>
        </w:tc>
        <w:tc>
          <w:tcPr>
            <w:tcW w:w="920" w:type="dxa"/>
            <w:vAlign w:val="center"/>
          </w:tcPr>
          <w:p>
            <w:pPr>
              <w:spacing w:line="240" w:lineRule="auto"/>
              <w:ind w:firstLine="0" w:firstLineChars="0"/>
              <w:jc w:val="center"/>
              <w:rPr>
                <w:rFonts w:eastAsia="宋体"/>
                <w:sz w:val="21"/>
              </w:rPr>
            </w:pPr>
            <w:r>
              <w:rPr>
                <w:rFonts w:eastAsia="宋体"/>
                <w:sz w:val="21"/>
              </w:rPr>
              <w:t>40</w:t>
            </w:r>
          </w:p>
        </w:tc>
        <w:tc>
          <w:tcPr>
            <w:tcW w:w="1203" w:type="dxa"/>
            <w:vAlign w:val="center"/>
          </w:tcPr>
          <w:p>
            <w:pPr>
              <w:spacing w:line="240" w:lineRule="auto"/>
              <w:ind w:firstLine="0" w:firstLineChars="0"/>
              <w:jc w:val="center"/>
              <w:rPr>
                <w:rFonts w:eastAsia="宋体"/>
                <w:sz w:val="21"/>
              </w:rPr>
            </w:pPr>
            <w:r>
              <w:rPr>
                <w:rFonts w:eastAsia="宋体"/>
                <w:sz w:val="21"/>
              </w:rPr>
              <w:t>6</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每万人口高价值发明专利拥有量（件）</w:t>
            </w:r>
          </w:p>
        </w:tc>
        <w:tc>
          <w:tcPr>
            <w:tcW w:w="970" w:type="dxa"/>
            <w:vAlign w:val="center"/>
          </w:tcPr>
          <w:p>
            <w:pPr>
              <w:spacing w:line="240" w:lineRule="auto"/>
              <w:ind w:firstLine="0" w:firstLineChars="0"/>
              <w:jc w:val="center"/>
              <w:rPr>
                <w:rFonts w:eastAsia="宋体"/>
                <w:sz w:val="21"/>
              </w:rPr>
            </w:pPr>
            <w:r>
              <w:rPr>
                <w:rFonts w:eastAsia="宋体"/>
                <w:sz w:val="21"/>
              </w:rPr>
              <w:t>3.68</w:t>
            </w:r>
          </w:p>
        </w:tc>
        <w:tc>
          <w:tcPr>
            <w:tcW w:w="920" w:type="dxa"/>
            <w:vAlign w:val="center"/>
          </w:tcPr>
          <w:p>
            <w:pPr>
              <w:spacing w:line="240" w:lineRule="auto"/>
              <w:ind w:firstLine="0" w:firstLineChars="0"/>
              <w:jc w:val="center"/>
              <w:rPr>
                <w:rFonts w:eastAsia="宋体"/>
                <w:sz w:val="21"/>
              </w:rPr>
            </w:pPr>
            <w:r>
              <w:rPr>
                <w:rFonts w:eastAsia="宋体"/>
                <w:sz w:val="21"/>
              </w:rPr>
              <w:t>6</w:t>
            </w:r>
          </w:p>
        </w:tc>
        <w:tc>
          <w:tcPr>
            <w:tcW w:w="1203" w:type="dxa"/>
            <w:vAlign w:val="center"/>
          </w:tcPr>
          <w:p>
            <w:pPr>
              <w:spacing w:line="240" w:lineRule="auto"/>
              <w:ind w:firstLine="0" w:firstLineChars="0"/>
              <w:jc w:val="center"/>
              <w:rPr>
                <w:rFonts w:eastAsia="宋体"/>
                <w:sz w:val="21"/>
              </w:rPr>
            </w:pPr>
            <w:r>
              <w:rPr>
                <w:rFonts w:eastAsia="宋体"/>
                <w:sz w:val="21"/>
              </w:rPr>
              <w:t>[2.32]</w:t>
            </w:r>
          </w:p>
        </w:tc>
        <w:tc>
          <w:tcPr>
            <w:tcW w:w="1080" w:type="dxa"/>
            <w:vAlign w:val="center"/>
          </w:tcPr>
          <w:p>
            <w:pPr>
              <w:spacing w:line="240" w:lineRule="auto"/>
              <w:ind w:firstLine="0" w:firstLineChars="0"/>
              <w:jc w:val="center"/>
              <w:rPr>
                <w:rFonts w:eastAsia="宋体"/>
                <w:sz w:val="21"/>
              </w:rPr>
            </w:pPr>
            <w:r>
              <w:rPr>
                <w:rFonts w:eastAsia="宋体"/>
                <w:sz w:val="21"/>
              </w:rPr>
              <w:t>[1.5]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数字经济核心产业增加值占</w:t>
            </w:r>
            <w:r>
              <w:rPr>
                <w:rFonts w:eastAsia="宋体"/>
                <w:sz w:val="21"/>
              </w:rPr>
              <w:t>GDP</w:t>
            </w:r>
            <w:r>
              <w:rPr>
                <w:rFonts w:hint="eastAsia" w:eastAsia="宋体"/>
                <w:sz w:val="21"/>
              </w:rPr>
              <w:t>比重（</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与市同步</w:t>
            </w:r>
          </w:p>
        </w:tc>
        <w:tc>
          <w:tcPr>
            <w:tcW w:w="1080" w:type="dxa"/>
            <w:vAlign w:val="center"/>
          </w:tcPr>
          <w:p>
            <w:pPr>
              <w:spacing w:line="240" w:lineRule="auto"/>
              <w:ind w:firstLine="0" w:firstLineChars="0"/>
              <w:jc w:val="center"/>
              <w:rPr>
                <w:rFonts w:eastAsia="宋体"/>
                <w:sz w:val="21"/>
              </w:rPr>
            </w:pPr>
            <w:r>
              <w:rPr>
                <w:rFonts w:eastAsia="宋体"/>
                <w:sz w:val="21"/>
              </w:rPr>
              <w:t>[3.5]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协调</w:t>
            </w:r>
          </w:p>
          <w:p>
            <w:pPr>
              <w:spacing w:line="240" w:lineRule="auto"/>
              <w:ind w:firstLine="0" w:firstLineChars="0"/>
              <w:jc w:val="center"/>
              <w:rPr>
                <w:rFonts w:eastAsia="宋体"/>
                <w:sz w:val="21"/>
              </w:rPr>
            </w:pPr>
            <w:r>
              <w:rPr>
                <w:rFonts w:hint="eastAsia" w:eastAsia="宋体"/>
                <w:sz w:val="21"/>
              </w:rPr>
              <w:t>指标</w:t>
            </w:r>
          </w:p>
        </w:tc>
        <w:tc>
          <w:tcPr>
            <w:tcW w:w="4100" w:type="dxa"/>
            <w:vAlign w:val="center"/>
          </w:tcPr>
          <w:p>
            <w:pPr>
              <w:spacing w:line="240" w:lineRule="auto"/>
              <w:ind w:firstLine="0" w:firstLineChars="0"/>
              <w:jc w:val="center"/>
              <w:rPr>
                <w:rFonts w:eastAsia="宋体"/>
                <w:sz w:val="21"/>
              </w:rPr>
            </w:pPr>
            <w:r>
              <w:rPr>
                <w:rFonts w:hint="eastAsia" w:eastAsia="宋体"/>
                <w:sz w:val="21"/>
              </w:rPr>
              <w:t>三次产业比例</w:t>
            </w:r>
          </w:p>
        </w:tc>
        <w:tc>
          <w:tcPr>
            <w:tcW w:w="970" w:type="dxa"/>
            <w:vAlign w:val="center"/>
          </w:tcPr>
          <w:p>
            <w:pPr>
              <w:spacing w:line="240" w:lineRule="auto"/>
              <w:ind w:firstLine="0" w:firstLineChars="0"/>
              <w:jc w:val="center"/>
              <w:rPr>
                <w:rFonts w:eastAsia="宋体"/>
                <w:sz w:val="21"/>
              </w:rPr>
            </w:pPr>
            <w:r>
              <w:rPr>
                <w:rFonts w:eastAsia="宋体"/>
                <w:sz w:val="21"/>
              </w:rPr>
              <w:t>10:54:36</w:t>
            </w:r>
          </w:p>
        </w:tc>
        <w:tc>
          <w:tcPr>
            <w:tcW w:w="920" w:type="dxa"/>
            <w:vAlign w:val="center"/>
          </w:tcPr>
          <w:p>
            <w:pPr>
              <w:spacing w:line="240" w:lineRule="auto"/>
              <w:ind w:firstLine="0" w:firstLineChars="0"/>
              <w:jc w:val="center"/>
              <w:rPr>
                <w:rFonts w:eastAsia="宋体"/>
                <w:sz w:val="21"/>
              </w:rPr>
            </w:pPr>
            <w:r>
              <w:rPr>
                <w:rFonts w:eastAsia="宋体"/>
                <w:sz w:val="21"/>
              </w:rPr>
              <w:t>8:52:40</w:t>
            </w:r>
          </w:p>
        </w:tc>
        <w:tc>
          <w:tcPr>
            <w:tcW w:w="1203" w:type="dxa"/>
            <w:vAlign w:val="center"/>
          </w:tcPr>
          <w:p>
            <w:pPr>
              <w:spacing w:line="240" w:lineRule="auto"/>
              <w:ind w:firstLine="0" w:firstLineChars="0"/>
              <w:jc w:val="center"/>
              <w:rPr>
                <w:rFonts w:eastAsia="宋体"/>
                <w:sz w:val="21"/>
              </w:rPr>
            </w:pPr>
            <w:r>
              <w:rPr>
                <w:rFonts w:eastAsia="宋体"/>
                <w:sz w:val="21"/>
              </w:rPr>
              <w:t>—</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城乡居民人均可支配收入比</w:t>
            </w:r>
          </w:p>
        </w:tc>
        <w:tc>
          <w:tcPr>
            <w:tcW w:w="970" w:type="dxa"/>
            <w:vAlign w:val="center"/>
          </w:tcPr>
          <w:p>
            <w:pPr>
              <w:spacing w:line="240" w:lineRule="auto"/>
              <w:ind w:firstLine="0" w:firstLineChars="0"/>
              <w:jc w:val="center"/>
              <w:rPr>
                <w:rFonts w:eastAsia="宋体"/>
                <w:sz w:val="21"/>
              </w:rPr>
            </w:pPr>
            <w:r>
              <w:rPr>
                <w:rFonts w:eastAsia="宋体"/>
                <w:sz w:val="21"/>
              </w:rPr>
              <w:t>1.99</w:t>
            </w:r>
          </w:p>
        </w:tc>
        <w:tc>
          <w:tcPr>
            <w:tcW w:w="920" w:type="dxa"/>
            <w:vAlign w:val="center"/>
          </w:tcPr>
          <w:p>
            <w:pPr>
              <w:spacing w:line="240" w:lineRule="auto"/>
              <w:ind w:firstLine="0" w:firstLineChars="0"/>
              <w:jc w:val="center"/>
              <w:rPr>
                <w:rFonts w:eastAsia="宋体"/>
                <w:sz w:val="21"/>
              </w:rPr>
            </w:pPr>
            <w:r>
              <w:rPr>
                <w:rFonts w:eastAsia="宋体"/>
                <w:sz w:val="21"/>
              </w:rPr>
              <w:t>1.94</w:t>
            </w:r>
          </w:p>
        </w:tc>
        <w:tc>
          <w:tcPr>
            <w:tcW w:w="1203" w:type="dxa"/>
            <w:vAlign w:val="center"/>
          </w:tcPr>
          <w:p>
            <w:pPr>
              <w:spacing w:line="240" w:lineRule="auto"/>
              <w:ind w:firstLine="0" w:firstLineChars="0"/>
              <w:jc w:val="center"/>
              <w:rPr>
                <w:rFonts w:eastAsia="宋体"/>
                <w:sz w:val="21"/>
              </w:rPr>
            </w:pPr>
            <w:r>
              <w:rPr>
                <w:rFonts w:eastAsia="宋体"/>
                <w:sz w:val="21"/>
              </w:rPr>
              <w:t>[-0.05]</w:t>
            </w:r>
          </w:p>
        </w:tc>
        <w:tc>
          <w:tcPr>
            <w:tcW w:w="1080" w:type="dxa"/>
            <w:vAlign w:val="center"/>
          </w:tcPr>
          <w:p>
            <w:pPr>
              <w:spacing w:line="240" w:lineRule="auto"/>
              <w:ind w:firstLine="0" w:firstLineChars="0"/>
              <w:jc w:val="center"/>
              <w:rPr>
                <w:rFonts w:eastAsia="宋体"/>
                <w:sz w:val="21"/>
              </w:rPr>
            </w:pPr>
            <w:r>
              <w:rPr>
                <w:rFonts w:eastAsia="宋体"/>
                <w:sz w:val="21"/>
              </w:rPr>
              <w:t>[-0.03]</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常住人口城镇化率（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58</w:t>
            </w:r>
          </w:p>
        </w:tc>
        <w:tc>
          <w:tcPr>
            <w:tcW w:w="920" w:type="dxa"/>
            <w:vAlign w:val="center"/>
          </w:tcPr>
          <w:p>
            <w:pPr>
              <w:spacing w:line="240" w:lineRule="auto"/>
              <w:ind w:firstLine="0" w:firstLineChars="0"/>
              <w:jc w:val="center"/>
              <w:rPr>
                <w:rFonts w:eastAsia="宋体"/>
                <w:sz w:val="21"/>
              </w:rPr>
            </w:pPr>
            <w:r>
              <w:rPr>
                <w:rFonts w:eastAsia="宋体"/>
                <w:sz w:val="21"/>
              </w:rPr>
              <w:t>&gt;60</w:t>
            </w:r>
          </w:p>
        </w:tc>
        <w:tc>
          <w:tcPr>
            <w:tcW w:w="1203" w:type="dxa"/>
            <w:vAlign w:val="center"/>
          </w:tcPr>
          <w:p>
            <w:pPr>
              <w:spacing w:line="240" w:lineRule="auto"/>
              <w:ind w:firstLine="0" w:firstLineChars="0"/>
              <w:jc w:val="center"/>
              <w:rPr>
                <w:rFonts w:eastAsia="宋体"/>
                <w:sz w:val="21"/>
              </w:rPr>
            </w:pPr>
            <w:r>
              <w:rPr>
                <w:rFonts w:eastAsia="宋体"/>
                <w:sz w:val="21"/>
              </w:rPr>
              <w:t>[&gt;2]</w:t>
            </w:r>
          </w:p>
        </w:tc>
        <w:tc>
          <w:tcPr>
            <w:tcW w:w="1080" w:type="dxa"/>
            <w:vAlign w:val="center"/>
          </w:tcPr>
          <w:p>
            <w:pPr>
              <w:spacing w:line="240" w:lineRule="auto"/>
              <w:ind w:firstLine="0" w:firstLineChars="0"/>
              <w:jc w:val="center"/>
              <w:rPr>
                <w:rFonts w:eastAsia="宋体"/>
                <w:sz w:val="21"/>
              </w:rPr>
            </w:pPr>
            <w:r>
              <w:rPr>
                <w:rFonts w:eastAsia="宋体"/>
                <w:sz w:val="21"/>
              </w:rPr>
              <w:t>[6]</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改革</w:t>
            </w:r>
          </w:p>
          <w:p>
            <w:pPr>
              <w:spacing w:line="240" w:lineRule="auto"/>
              <w:ind w:firstLine="0" w:firstLineChars="0"/>
              <w:jc w:val="center"/>
              <w:rPr>
                <w:rFonts w:eastAsia="宋体"/>
                <w:sz w:val="21"/>
              </w:rPr>
            </w:pPr>
            <w:r>
              <w:rPr>
                <w:rFonts w:hint="eastAsia" w:eastAsia="宋体"/>
                <w:sz w:val="21"/>
              </w:rPr>
              <w:t>开放</w:t>
            </w:r>
          </w:p>
        </w:tc>
        <w:tc>
          <w:tcPr>
            <w:tcW w:w="4100" w:type="dxa"/>
            <w:vAlign w:val="center"/>
          </w:tcPr>
          <w:p>
            <w:pPr>
              <w:spacing w:line="240" w:lineRule="auto"/>
              <w:ind w:firstLine="0" w:firstLineChars="0"/>
              <w:jc w:val="center"/>
              <w:rPr>
                <w:rFonts w:eastAsia="宋体"/>
                <w:sz w:val="21"/>
              </w:rPr>
            </w:pPr>
            <w:r>
              <w:rPr>
                <w:rFonts w:hint="eastAsia" w:eastAsia="宋体"/>
                <w:sz w:val="21"/>
              </w:rPr>
              <w:t>进出口总额（万美元）</w:t>
            </w:r>
          </w:p>
        </w:tc>
        <w:tc>
          <w:tcPr>
            <w:tcW w:w="970" w:type="dxa"/>
            <w:vAlign w:val="center"/>
          </w:tcPr>
          <w:p>
            <w:pPr>
              <w:spacing w:line="240" w:lineRule="auto"/>
              <w:ind w:firstLine="0" w:firstLineChars="0"/>
              <w:jc w:val="center"/>
              <w:rPr>
                <w:rFonts w:eastAsia="宋体"/>
                <w:sz w:val="21"/>
              </w:rPr>
            </w:pPr>
            <w:r>
              <w:rPr>
                <w:rFonts w:eastAsia="宋体"/>
                <w:sz w:val="21"/>
              </w:rPr>
              <w:t>41000</w:t>
            </w:r>
          </w:p>
        </w:tc>
        <w:tc>
          <w:tcPr>
            <w:tcW w:w="920" w:type="dxa"/>
            <w:vAlign w:val="center"/>
          </w:tcPr>
          <w:p>
            <w:pPr>
              <w:spacing w:line="240" w:lineRule="auto"/>
              <w:ind w:firstLine="0" w:firstLineChars="0"/>
              <w:jc w:val="center"/>
              <w:rPr>
                <w:rFonts w:eastAsia="宋体"/>
                <w:sz w:val="21"/>
              </w:rPr>
            </w:pPr>
            <w:r>
              <w:rPr>
                <w:rFonts w:eastAsia="宋体"/>
                <w:sz w:val="21"/>
              </w:rPr>
              <w:t>66030</w:t>
            </w:r>
          </w:p>
        </w:tc>
        <w:tc>
          <w:tcPr>
            <w:tcW w:w="1203" w:type="dxa"/>
            <w:vAlign w:val="center"/>
          </w:tcPr>
          <w:p>
            <w:pPr>
              <w:spacing w:line="240" w:lineRule="auto"/>
              <w:ind w:firstLine="0" w:firstLineChars="0"/>
              <w:jc w:val="center"/>
              <w:rPr>
                <w:rFonts w:eastAsia="宋体"/>
                <w:sz w:val="21"/>
              </w:rPr>
            </w:pPr>
            <w:r>
              <w:rPr>
                <w:rFonts w:eastAsia="宋体"/>
                <w:sz w:val="21"/>
              </w:rPr>
              <w:t>10</w:t>
            </w:r>
          </w:p>
        </w:tc>
        <w:tc>
          <w:tcPr>
            <w:tcW w:w="1080" w:type="dxa"/>
            <w:vAlign w:val="center"/>
          </w:tcPr>
          <w:p>
            <w:pPr>
              <w:spacing w:line="240" w:lineRule="auto"/>
              <w:ind w:firstLine="0" w:firstLineChars="0"/>
              <w:jc w:val="center"/>
              <w:rPr>
                <w:rFonts w:eastAsia="宋体"/>
                <w:sz w:val="21"/>
              </w:rPr>
            </w:pPr>
            <w:r>
              <w:rPr>
                <w:rFonts w:eastAsia="宋体"/>
                <w:sz w:val="21"/>
              </w:rPr>
              <w:t>6</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实际利用外资（万美元）</w:t>
            </w:r>
          </w:p>
        </w:tc>
        <w:tc>
          <w:tcPr>
            <w:tcW w:w="970" w:type="dxa"/>
            <w:vAlign w:val="center"/>
          </w:tcPr>
          <w:p>
            <w:pPr>
              <w:spacing w:line="240" w:lineRule="auto"/>
              <w:ind w:firstLine="0" w:firstLineChars="0"/>
              <w:jc w:val="center"/>
              <w:rPr>
                <w:rFonts w:eastAsia="宋体"/>
                <w:sz w:val="21"/>
              </w:rPr>
            </w:pPr>
            <w:r>
              <w:rPr>
                <w:rFonts w:eastAsia="宋体"/>
                <w:sz w:val="21"/>
              </w:rPr>
              <w:t>18097</w:t>
            </w:r>
          </w:p>
        </w:tc>
        <w:tc>
          <w:tcPr>
            <w:tcW w:w="920" w:type="dxa"/>
            <w:vAlign w:val="center"/>
          </w:tcPr>
          <w:p>
            <w:pPr>
              <w:spacing w:line="240" w:lineRule="auto"/>
              <w:ind w:firstLine="0" w:firstLineChars="0"/>
              <w:jc w:val="center"/>
              <w:rPr>
                <w:rFonts w:eastAsia="宋体"/>
                <w:sz w:val="21"/>
              </w:rPr>
            </w:pPr>
            <w:r>
              <w:rPr>
                <w:rFonts w:eastAsia="宋体"/>
                <w:sz w:val="21"/>
              </w:rPr>
              <w:t>24217</w:t>
            </w:r>
          </w:p>
        </w:tc>
        <w:tc>
          <w:tcPr>
            <w:tcW w:w="1203" w:type="dxa"/>
            <w:vAlign w:val="center"/>
          </w:tcPr>
          <w:p>
            <w:pPr>
              <w:spacing w:line="240" w:lineRule="auto"/>
              <w:ind w:firstLine="0" w:firstLineChars="0"/>
              <w:jc w:val="center"/>
              <w:rPr>
                <w:rFonts w:eastAsia="宋体"/>
                <w:sz w:val="21"/>
              </w:rPr>
            </w:pPr>
            <w:r>
              <w:rPr>
                <w:rFonts w:eastAsia="宋体"/>
                <w:sz w:val="21"/>
              </w:rPr>
              <w:t>6</w:t>
            </w:r>
          </w:p>
        </w:tc>
        <w:tc>
          <w:tcPr>
            <w:tcW w:w="1080" w:type="dxa"/>
            <w:vAlign w:val="center"/>
          </w:tcPr>
          <w:p>
            <w:pPr>
              <w:spacing w:line="240" w:lineRule="auto"/>
              <w:ind w:firstLine="0" w:firstLineChars="0"/>
              <w:jc w:val="center"/>
              <w:rPr>
                <w:rFonts w:eastAsia="宋体"/>
                <w:sz w:val="21"/>
              </w:rPr>
            </w:pPr>
            <w:r>
              <w:rPr>
                <w:rFonts w:eastAsia="宋体"/>
                <w:sz w:val="21"/>
              </w:rPr>
              <w:t>6</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生态</w:t>
            </w:r>
          </w:p>
          <w:p>
            <w:pPr>
              <w:spacing w:line="240" w:lineRule="auto"/>
              <w:ind w:firstLine="0" w:firstLineChars="0"/>
              <w:jc w:val="center"/>
              <w:rPr>
                <w:rFonts w:eastAsia="宋体"/>
                <w:sz w:val="21"/>
              </w:rPr>
            </w:pPr>
            <w:r>
              <w:rPr>
                <w:rFonts w:hint="eastAsia" w:eastAsia="宋体"/>
                <w:sz w:val="21"/>
              </w:rPr>
              <w:t>文明</w:t>
            </w:r>
          </w:p>
        </w:tc>
        <w:tc>
          <w:tcPr>
            <w:tcW w:w="4100" w:type="dxa"/>
            <w:vAlign w:val="center"/>
          </w:tcPr>
          <w:p>
            <w:pPr>
              <w:spacing w:line="240" w:lineRule="auto"/>
              <w:ind w:firstLine="0" w:firstLineChars="0"/>
              <w:jc w:val="center"/>
              <w:rPr>
                <w:rFonts w:eastAsia="宋体"/>
                <w:sz w:val="21"/>
              </w:rPr>
            </w:pPr>
            <w:r>
              <w:rPr>
                <w:rFonts w:hint="eastAsia" w:eastAsia="宋体"/>
                <w:sz w:val="21"/>
              </w:rPr>
              <w:t>单位</w:t>
            </w:r>
            <w:r>
              <w:rPr>
                <w:rFonts w:eastAsia="宋体"/>
                <w:sz w:val="21"/>
              </w:rPr>
              <w:t>GDP</w:t>
            </w:r>
            <w:r>
              <w:rPr>
                <w:rFonts w:hint="eastAsia" w:eastAsia="宋体"/>
                <w:sz w:val="21"/>
              </w:rPr>
              <w:t>能源消耗降幅（</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单位</w:t>
            </w:r>
            <w:r>
              <w:rPr>
                <w:rFonts w:eastAsia="宋体"/>
                <w:sz w:val="21"/>
              </w:rPr>
              <w:t>GDP</w:t>
            </w:r>
            <w:r>
              <w:rPr>
                <w:rFonts w:hint="eastAsia" w:eastAsia="宋体"/>
                <w:sz w:val="21"/>
              </w:rPr>
              <w:t>二氧化碳排放降幅（</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空气质量优良天数比例（</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86.9</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地表水达到或好于</w:t>
            </w:r>
            <w:r>
              <w:rPr>
                <w:rFonts w:eastAsia="宋体"/>
                <w:sz w:val="21"/>
              </w:rPr>
              <w:fldChar w:fldCharType="begin"/>
            </w:r>
            <w:r>
              <w:rPr>
                <w:rFonts w:eastAsia="宋体"/>
                <w:sz w:val="21"/>
              </w:rPr>
              <w:instrText xml:space="preserve"> = 3 \* ROMAN \* MERGEFORMAT </w:instrText>
            </w:r>
            <w:r>
              <w:rPr>
                <w:rFonts w:eastAsia="宋体"/>
                <w:sz w:val="21"/>
              </w:rPr>
              <w:fldChar w:fldCharType="separate"/>
            </w:r>
            <w:r>
              <w:rPr>
                <w:rFonts w:eastAsia="宋体"/>
                <w:sz w:val="21"/>
              </w:rPr>
              <w:t>III</w:t>
            </w:r>
            <w:r>
              <w:rPr>
                <w:rFonts w:eastAsia="宋体"/>
                <w:sz w:val="21"/>
              </w:rPr>
              <w:fldChar w:fldCharType="end"/>
            </w:r>
            <w:r>
              <w:rPr>
                <w:rFonts w:hint="eastAsia" w:eastAsia="宋体"/>
                <w:sz w:val="21"/>
              </w:rPr>
              <w:t>类水体比例（</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100</w:t>
            </w:r>
          </w:p>
        </w:tc>
        <w:tc>
          <w:tcPr>
            <w:tcW w:w="920" w:type="dxa"/>
            <w:vAlign w:val="center"/>
          </w:tcPr>
          <w:p>
            <w:pPr>
              <w:spacing w:line="240" w:lineRule="auto"/>
              <w:ind w:firstLine="0" w:firstLineChars="0"/>
              <w:jc w:val="center"/>
              <w:rPr>
                <w:rFonts w:eastAsia="宋体"/>
                <w:sz w:val="21"/>
              </w:rPr>
            </w:pPr>
            <w:r>
              <w:rPr>
                <w:rFonts w:eastAsia="宋体"/>
                <w:sz w:val="21"/>
              </w:rPr>
              <w:t>100</w:t>
            </w:r>
          </w:p>
        </w:tc>
        <w:tc>
          <w:tcPr>
            <w:tcW w:w="1203" w:type="dxa"/>
            <w:vAlign w:val="center"/>
          </w:tcPr>
          <w:p>
            <w:pPr>
              <w:spacing w:line="240" w:lineRule="auto"/>
              <w:ind w:firstLine="0" w:firstLineChars="0"/>
              <w:jc w:val="center"/>
              <w:rPr>
                <w:rFonts w:eastAsia="宋体"/>
                <w:sz w:val="21"/>
              </w:rPr>
            </w:pPr>
            <w:r>
              <w:rPr>
                <w:rFonts w:hint="eastAsia" w:eastAsia="宋体"/>
                <w:sz w:val="21"/>
              </w:rPr>
              <w:t>持平</w:t>
            </w:r>
          </w:p>
        </w:tc>
        <w:tc>
          <w:tcPr>
            <w:tcW w:w="1080" w:type="dxa"/>
            <w:vAlign w:val="center"/>
          </w:tcPr>
          <w:p>
            <w:pPr>
              <w:spacing w:line="240" w:lineRule="auto"/>
              <w:ind w:firstLine="0" w:firstLineChars="0"/>
              <w:jc w:val="center"/>
              <w:rPr>
                <w:rFonts w:eastAsia="宋体"/>
                <w:sz w:val="21"/>
              </w:rPr>
            </w:pPr>
            <w:r>
              <w:rPr>
                <w:rFonts w:hint="eastAsia" w:eastAsia="宋体"/>
                <w:sz w:val="21"/>
              </w:rPr>
              <w:t>持平</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森林覆盖率（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37.99</w:t>
            </w:r>
          </w:p>
        </w:tc>
        <w:tc>
          <w:tcPr>
            <w:tcW w:w="920" w:type="dxa"/>
            <w:vAlign w:val="center"/>
          </w:tcPr>
          <w:p>
            <w:pPr>
              <w:spacing w:line="240" w:lineRule="auto"/>
              <w:ind w:firstLine="0" w:firstLineChars="0"/>
              <w:jc w:val="center"/>
              <w:rPr>
                <w:rFonts w:eastAsia="宋体"/>
                <w:sz w:val="21"/>
              </w:rPr>
            </w:pPr>
            <w:r>
              <w:rPr>
                <w:rFonts w:eastAsia="宋体"/>
                <w:sz w:val="21"/>
              </w:rPr>
              <w:t>38.2</w:t>
            </w:r>
          </w:p>
        </w:tc>
        <w:tc>
          <w:tcPr>
            <w:tcW w:w="1203" w:type="dxa"/>
            <w:vAlign w:val="center"/>
          </w:tcPr>
          <w:p>
            <w:pPr>
              <w:spacing w:line="240" w:lineRule="auto"/>
              <w:ind w:firstLine="0" w:firstLineChars="0"/>
              <w:jc w:val="center"/>
              <w:rPr>
                <w:rFonts w:eastAsia="宋体"/>
                <w:sz w:val="21"/>
              </w:rPr>
            </w:pPr>
            <w:r>
              <w:rPr>
                <w:rFonts w:eastAsia="宋体"/>
                <w:sz w:val="21"/>
              </w:rPr>
              <w:t>[0.21]</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民生</w:t>
            </w:r>
          </w:p>
          <w:p>
            <w:pPr>
              <w:spacing w:line="240" w:lineRule="auto"/>
              <w:ind w:firstLine="0" w:firstLineChars="0"/>
              <w:jc w:val="center"/>
              <w:rPr>
                <w:rFonts w:eastAsia="宋体"/>
                <w:sz w:val="21"/>
              </w:rPr>
            </w:pPr>
            <w:r>
              <w:rPr>
                <w:rFonts w:hint="eastAsia" w:eastAsia="宋体"/>
                <w:sz w:val="21"/>
              </w:rPr>
              <w:t>福祉</w:t>
            </w:r>
          </w:p>
        </w:tc>
        <w:tc>
          <w:tcPr>
            <w:tcW w:w="4100" w:type="dxa"/>
            <w:vAlign w:val="center"/>
          </w:tcPr>
          <w:p>
            <w:pPr>
              <w:widowControl/>
              <w:adjustRightInd w:val="0"/>
              <w:snapToGrid w:val="0"/>
              <w:spacing w:line="240" w:lineRule="auto"/>
              <w:ind w:firstLine="0" w:firstLineChars="0"/>
              <w:jc w:val="center"/>
              <w:rPr>
                <w:rFonts w:eastAsia="宋体"/>
                <w:color w:val="0000FF"/>
                <w:sz w:val="21"/>
              </w:rPr>
            </w:pPr>
            <w:r>
              <w:rPr>
                <w:rFonts w:hint="eastAsia" w:eastAsia="宋体"/>
                <w:color w:val="000000"/>
                <w:sz w:val="21"/>
                <w:szCs w:val="21"/>
              </w:rPr>
              <w:t>城镇居民人均可支配收入（元）</w:t>
            </w:r>
          </w:p>
        </w:tc>
        <w:tc>
          <w:tcPr>
            <w:tcW w:w="970" w:type="dxa"/>
            <w:vAlign w:val="center"/>
          </w:tcPr>
          <w:p>
            <w:pPr>
              <w:widowControl/>
              <w:adjustRightInd w:val="0"/>
              <w:snapToGrid w:val="0"/>
              <w:spacing w:line="240" w:lineRule="auto"/>
              <w:ind w:firstLine="0" w:firstLineChars="0"/>
              <w:jc w:val="center"/>
              <w:rPr>
                <w:rFonts w:eastAsia="宋体"/>
                <w:sz w:val="21"/>
              </w:rPr>
            </w:pPr>
            <w:r>
              <w:rPr>
                <w:rFonts w:eastAsia="宋体"/>
                <w:sz w:val="21"/>
                <w:szCs w:val="21"/>
              </w:rPr>
              <w:t>38470</w:t>
            </w:r>
          </w:p>
        </w:tc>
        <w:tc>
          <w:tcPr>
            <w:tcW w:w="920" w:type="dxa"/>
            <w:vAlign w:val="center"/>
          </w:tcPr>
          <w:p>
            <w:pPr>
              <w:spacing w:line="240" w:lineRule="auto"/>
              <w:ind w:firstLine="0" w:firstLineChars="0"/>
              <w:jc w:val="center"/>
              <w:rPr>
                <w:rFonts w:eastAsia="宋体"/>
                <w:sz w:val="21"/>
              </w:rPr>
            </w:pPr>
            <w:r>
              <w:rPr>
                <w:rFonts w:eastAsia="宋体"/>
                <w:sz w:val="21"/>
              </w:rPr>
              <w:t>56525</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r>
              <w:rPr>
                <w:rFonts w:eastAsia="宋体"/>
                <w:sz w:val="21"/>
              </w:rPr>
              <w:t xml:space="preserve"> </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widowControl/>
              <w:adjustRightInd w:val="0"/>
              <w:snapToGrid w:val="0"/>
              <w:spacing w:line="240" w:lineRule="auto"/>
              <w:ind w:firstLine="0" w:firstLineChars="0"/>
              <w:jc w:val="center"/>
              <w:rPr>
                <w:rFonts w:eastAsia="宋体"/>
                <w:color w:val="0000FF"/>
                <w:sz w:val="21"/>
              </w:rPr>
            </w:pPr>
            <w:r>
              <w:rPr>
                <w:rFonts w:hint="eastAsia" w:eastAsia="宋体"/>
                <w:color w:val="000000"/>
                <w:sz w:val="21"/>
                <w:szCs w:val="21"/>
              </w:rPr>
              <w:t>农村居民可支配收入（元）</w:t>
            </w:r>
          </w:p>
        </w:tc>
        <w:tc>
          <w:tcPr>
            <w:tcW w:w="970" w:type="dxa"/>
            <w:vAlign w:val="center"/>
          </w:tcPr>
          <w:p>
            <w:pPr>
              <w:widowControl/>
              <w:adjustRightInd w:val="0"/>
              <w:snapToGrid w:val="0"/>
              <w:spacing w:line="240" w:lineRule="auto"/>
              <w:ind w:firstLine="0" w:firstLineChars="0"/>
              <w:jc w:val="center"/>
              <w:rPr>
                <w:rFonts w:eastAsia="宋体"/>
                <w:sz w:val="21"/>
                <w:highlight w:val="yellow"/>
              </w:rPr>
            </w:pPr>
            <w:r>
              <w:rPr>
                <w:rFonts w:eastAsia="宋体"/>
                <w:sz w:val="21"/>
                <w:szCs w:val="21"/>
              </w:rPr>
              <w:t>19297</w:t>
            </w:r>
          </w:p>
        </w:tc>
        <w:tc>
          <w:tcPr>
            <w:tcW w:w="920" w:type="dxa"/>
            <w:vAlign w:val="center"/>
          </w:tcPr>
          <w:p>
            <w:pPr>
              <w:spacing w:line="240" w:lineRule="auto"/>
              <w:ind w:firstLine="0" w:firstLineChars="0"/>
              <w:jc w:val="center"/>
              <w:rPr>
                <w:rFonts w:eastAsia="宋体"/>
                <w:sz w:val="21"/>
                <w:highlight w:val="yellow"/>
              </w:rPr>
            </w:pPr>
            <w:r>
              <w:rPr>
                <w:rFonts w:eastAsia="宋体"/>
                <w:sz w:val="21"/>
              </w:rPr>
              <w:t>29016</w:t>
            </w:r>
          </w:p>
        </w:tc>
        <w:tc>
          <w:tcPr>
            <w:tcW w:w="1203" w:type="dxa"/>
            <w:vAlign w:val="center"/>
          </w:tcPr>
          <w:p>
            <w:pPr>
              <w:spacing w:line="240" w:lineRule="auto"/>
              <w:ind w:firstLine="0" w:firstLineChars="0"/>
              <w:jc w:val="center"/>
              <w:rPr>
                <w:rFonts w:eastAsia="宋体"/>
                <w:sz w:val="21"/>
              </w:rPr>
            </w:pPr>
            <w:r>
              <w:rPr>
                <w:rFonts w:eastAsia="宋体"/>
                <w:sz w:val="21"/>
              </w:rPr>
              <w:t>8.5</w:t>
            </w:r>
          </w:p>
        </w:tc>
        <w:tc>
          <w:tcPr>
            <w:tcW w:w="1080" w:type="dxa"/>
            <w:vAlign w:val="center"/>
          </w:tcPr>
          <w:p>
            <w:pPr>
              <w:spacing w:line="240" w:lineRule="auto"/>
              <w:ind w:firstLine="0" w:firstLineChars="0"/>
              <w:jc w:val="center"/>
              <w:rPr>
                <w:rFonts w:eastAsia="宋体"/>
                <w:sz w:val="21"/>
              </w:rPr>
            </w:pPr>
            <w:r>
              <w:rPr>
                <w:rFonts w:eastAsia="宋体"/>
                <w:sz w:val="21"/>
              </w:rPr>
              <w:t>8.5</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城镇登记失业率（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hint="eastAsia" w:eastAsia="宋体"/>
                <w:sz w:val="21"/>
              </w:rPr>
              <w:t>预期范围内</w:t>
            </w:r>
          </w:p>
        </w:tc>
        <w:tc>
          <w:tcPr>
            <w:tcW w:w="920" w:type="dxa"/>
            <w:vAlign w:val="center"/>
          </w:tcPr>
          <w:p>
            <w:pPr>
              <w:spacing w:line="240" w:lineRule="auto"/>
              <w:ind w:firstLine="0" w:firstLineChars="0"/>
              <w:jc w:val="center"/>
              <w:rPr>
                <w:rFonts w:eastAsia="宋体"/>
                <w:sz w:val="21"/>
              </w:rPr>
            </w:pPr>
            <w:r>
              <w:rPr>
                <w:rFonts w:eastAsia="宋体"/>
                <w:sz w:val="21"/>
              </w:rPr>
              <w:t>3</w:t>
            </w:r>
          </w:p>
        </w:tc>
        <w:tc>
          <w:tcPr>
            <w:tcW w:w="1203" w:type="dxa"/>
            <w:vAlign w:val="center"/>
          </w:tcPr>
          <w:p>
            <w:pPr>
              <w:spacing w:line="240" w:lineRule="auto"/>
              <w:ind w:firstLine="0" w:firstLineChars="0"/>
              <w:jc w:val="center"/>
              <w:rPr>
                <w:rFonts w:eastAsia="宋体"/>
                <w:sz w:val="21"/>
              </w:rPr>
            </w:pPr>
            <w:r>
              <w:rPr>
                <w:rFonts w:eastAsia="宋体"/>
                <w:sz w:val="21"/>
              </w:rPr>
              <w:t>—</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每千人口拥有执业（助理）医师数（人）</w:t>
            </w:r>
          </w:p>
        </w:tc>
        <w:tc>
          <w:tcPr>
            <w:tcW w:w="970" w:type="dxa"/>
            <w:vAlign w:val="center"/>
          </w:tcPr>
          <w:p>
            <w:pPr>
              <w:spacing w:line="240" w:lineRule="auto"/>
              <w:ind w:firstLine="0" w:firstLineChars="0"/>
              <w:jc w:val="center"/>
              <w:rPr>
                <w:rFonts w:eastAsia="宋体"/>
                <w:sz w:val="21"/>
              </w:rPr>
            </w:pPr>
            <w:r>
              <w:rPr>
                <w:rFonts w:eastAsia="宋体"/>
                <w:sz w:val="21"/>
              </w:rPr>
              <w:t>2</w:t>
            </w:r>
          </w:p>
        </w:tc>
        <w:tc>
          <w:tcPr>
            <w:tcW w:w="920" w:type="dxa"/>
            <w:vAlign w:val="center"/>
          </w:tcPr>
          <w:p>
            <w:pPr>
              <w:spacing w:line="240" w:lineRule="auto"/>
              <w:ind w:firstLine="0" w:firstLineChars="0"/>
              <w:jc w:val="center"/>
              <w:rPr>
                <w:rFonts w:eastAsia="宋体"/>
                <w:sz w:val="21"/>
              </w:rPr>
            </w:pPr>
            <w:r>
              <w:rPr>
                <w:rFonts w:eastAsia="宋体"/>
                <w:sz w:val="21"/>
              </w:rPr>
              <w:t>3</w:t>
            </w:r>
          </w:p>
        </w:tc>
        <w:tc>
          <w:tcPr>
            <w:tcW w:w="1203" w:type="dxa"/>
            <w:vAlign w:val="center"/>
          </w:tcPr>
          <w:p>
            <w:pPr>
              <w:spacing w:line="240" w:lineRule="auto"/>
              <w:ind w:firstLine="0" w:firstLineChars="0"/>
              <w:jc w:val="center"/>
              <w:rPr>
                <w:rFonts w:eastAsia="宋体"/>
                <w:sz w:val="21"/>
              </w:rPr>
            </w:pPr>
            <w:r>
              <w:rPr>
                <w:rFonts w:eastAsia="宋体"/>
                <w:sz w:val="21"/>
              </w:rPr>
              <w:t>[1]</w:t>
            </w:r>
          </w:p>
        </w:tc>
        <w:tc>
          <w:tcPr>
            <w:tcW w:w="1080" w:type="dxa"/>
            <w:vAlign w:val="center"/>
          </w:tcPr>
          <w:p>
            <w:pPr>
              <w:spacing w:line="240" w:lineRule="auto"/>
              <w:ind w:firstLine="0" w:firstLineChars="0"/>
              <w:jc w:val="center"/>
              <w:rPr>
                <w:rFonts w:eastAsia="宋体"/>
                <w:sz w:val="21"/>
              </w:rPr>
            </w:pPr>
            <w:r>
              <w:rPr>
                <w:rFonts w:eastAsia="宋体"/>
                <w:sz w:val="21"/>
              </w:rPr>
              <w:t>[0.5]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每千人口拥有</w:t>
            </w:r>
            <w:r>
              <w:rPr>
                <w:rFonts w:eastAsia="宋体"/>
                <w:sz w:val="21"/>
              </w:rPr>
              <w:t>0-3</w:t>
            </w:r>
            <w:r>
              <w:rPr>
                <w:rFonts w:hint="eastAsia" w:eastAsia="宋体"/>
                <w:sz w:val="21"/>
              </w:rPr>
              <w:t>岁婴幼儿托位数（个）</w:t>
            </w:r>
          </w:p>
        </w:tc>
        <w:tc>
          <w:tcPr>
            <w:tcW w:w="970" w:type="dxa"/>
            <w:vAlign w:val="center"/>
          </w:tcPr>
          <w:p>
            <w:pPr>
              <w:spacing w:line="240" w:lineRule="auto"/>
              <w:ind w:firstLine="0" w:firstLineChars="0"/>
              <w:jc w:val="center"/>
              <w:rPr>
                <w:rFonts w:eastAsia="宋体"/>
                <w:sz w:val="21"/>
              </w:rPr>
            </w:pPr>
            <w:r>
              <w:rPr>
                <w:rFonts w:eastAsia="宋体"/>
                <w:sz w:val="21"/>
              </w:rPr>
              <w:t>1</w:t>
            </w:r>
          </w:p>
        </w:tc>
        <w:tc>
          <w:tcPr>
            <w:tcW w:w="920" w:type="dxa"/>
            <w:vAlign w:val="center"/>
          </w:tcPr>
          <w:p>
            <w:pPr>
              <w:spacing w:line="240" w:lineRule="auto"/>
              <w:ind w:firstLine="0" w:firstLineChars="0"/>
              <w:jc w:val="center"/>
              <w:rPr>
                <w:rFonts w:eastAsia="宋体"/>
                <w:sz w:val="21"/>
              </w:rPr>
            </w:pPr>
            <w:r>
              <w:rPr>
                <w:rFonts w:eastAsia="宋体"/>
                <w:sz w:val="21"/>
              </w:rPr>
              <w:t>4.5</w:t>
            </w:r>
          </w:p>
        </w:tc>
        <w:tc>
          <w:tcPr>
            <w:tcW w:w="1203" w:type="dxa"/>
            <w:vAlign w:val="center"/>
          </w:tcPr>
          <w:p>
            <w:pPr>
              <w:spacing w:line="240" w:lineRule="auto"/>
              <w:ind w:firstLine="0" w:firstLineChars="0"/>
              <w:jc w:val="center"/>
              <w:rPr>
                <w:rFonts w:eastAsia="宋体"/>
                <w:sz w:val="21"/>
              </w:rPr>
            </w:pPr>
            <w:r>
              <w:rPr>
                <w:rFonts w:eastAsia="宋体"/>
                <w:sz w:val="21"/>
              </w:rPr>
              <w:t>[3.5]</w:t>
            </w:r>
          </w:p>
        </w:tc>
        <w:tc>
          <w:tcPr>
            <w:tcW w:w="1080" w:type="dxa"/>
            <w:vAlign w:val="center"/>
          </w:tcPr>
          <w:p>
            <w:pPr>
              <w:spacing w:line="240" w:lineRule="auto"/>
              <w:ind w:firstLine="0" w:firstLineChars="0"/>
              <w:jc w:val="center"/>
              <w:rPr>
                <w:rFonts w:eastAsia="宋体"/>
                <w:sz w:val="21"/>
              </w:rPr>
            </w:pPr>
            <w:r>
              <w:rPr>
                <w:rFonts w:eastAsia="宋体"/>
                <w:sz w:val="21"/>
              </w:rPr>
              <w:t>[3.3]</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公众安全感（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98.9</w:t>
            </w:r>
          </w:p>
        </w:tc>
        <w:tc>
          <w:tcPr>
            <w:tcW w:w="920" w:type="dxa"/>
            <w:vAlign w:val="center"/>
          </w:tcPr>
          <w:p>
            <w:pPr>
              <w:spacing w:line="240" w:lineRule="auto"/>
              <w:ind w:firstLine="0" w:firstLineChars="0"/>
              <w:jc w:val="center"/>
              <w:rPr>
                <w:rFonts w:eastAsia="宋体"/>
                <w:sz w:val="21"/>
              </w:rPr>
            </w:pPr>
            <w:r>
              <w:rPr>
                <w:rFonts w:eastAsia="宋体"/>
                <w:sz w:val="21"/>
              </w:rPr>
              <w:t>98.9</w:t>
            </w:r>
          </w:p>
        </w:tc>
        <w:tc>
          <w:tcPr>
            <w:tcW w:w="1203" w:type="dxa"/>
            <w:vAlign w:val="center"/>
          </w:tcPr>
          <w:p>
            <w:pPr>
              <w:spacing w:line="240" w:lineRule="auto"/>
              <w:ind w:firstLine="0" w:firstLineChars="0"/>
              <w:jc w:val="center"/>
              <w:rPr>
                <w:rFonts w:eastAsia="宋体"/>
                <w:sz w:val="21"/>
              </w:rPr>
            </w:pPr>
            <w:r>
              <w:rPr>
                <w:rFonts w:hint="eastAsia" w:eastAsia="宋体"/>
                <w:sz w:val="21"/>
              </w:rPr>
              <w:t>持平</w:t>
            </w:r>
          </w:p>
        </w:tc>
        <w:tc>
          <w:tcPr>
            <w:tcW w:w="1080" w:type="dxa"/>
            <w:vAlign w:val="center"/>
          </w:tcPr>
          <w:p>
            <w:pPr>
              <w:spacing w:line="240" w:lineRule="auto"/>
              <w:ind w:firstLine="0" w:firstLineChars="0"/>
              <w:jc w:val="center"/>
              <w:rPr>
                <w:rFonts w:eastAsia="宋体"/>
                <w:sz w:val="21"/>
              </w:rPr>
            </w:pPr>
            <w:r>
              <w:rPr>
                <w:rFonts w:eastAsia="宋体"/>
                <w:sz w:val="21"/>
              </w:rPr>
              <w:t>[0.2]</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24" w:type="dxa"/>
            <w:gridSpan w:val="7"/>
            <w:vAlign w:val="center"/>
          </w:tcPr>
          <w:p>
            <w:pPr>
              <w:spacing w:line="240" w:lineRule="auto"/>
              <w:ind w:firstLine="0" w:firstLineChars="0"/>
              <w:jc w:val="left"/>
              <w:rPr>
                <w:rFonts w:eastAsia="宋体"/>
                <w:sz w:val="21"/>
              </w:rPr>
            </w:pPr>
            <w:r>
              <w:rPr>
                <w:rFonts w:hint="eastAsia" w:eastAsia="宋体"/>
                <w:sz w:val="21"/>
              </w:rPr>
              <w:t>备注：</w:t>
            </w:r>
            <w:r>
              <w:rPr>
                <w:rFonts w:eastAsia="宋体"/>
                <w:sz w:val="21"/>
              </w:rPr>
              <w:t>1.2020</w:t>
            </w:r>
            <w:r>
              <w:rPr>
                <w:rFonts w:hint="eastAsia" w:eastAsia="宋体"/>
                <w:sz w:val="21"/>
              </w:rPr>
              <w:t>年指标均为预期值。</w:t>
            </w:r>
          </w:p>
          <w:p>
            <w:pPr>
              <w:spacing w:line="240" w:lineRule="auto"/>
              <w:ind w:firstLine="630" w:firstLineChars="300"/>
              <w:jc w:val="left"/>
              <w:rPr>
                <w:rFonts w:eastAsia="宋体"/>
                <w:sz w:val="21"/>
              </w:rPr>
            </w:pPr>
            <w:r>
              <w:rPr>
                <w:rFonts w:eastAsia="宋体"/>
                <w:sz w:val="21"/>
              </w:rPr>
              <w:t>2.[ ]</w:t>
            </w:r>
            <w:r>
              <w:rPr>
                <w:rFonts w:hint="eastAsia" w:eastAsia="宋体"/>
                <w:sz w:val="21"/>
              </w:rPr>
              <w:t>内为五年累计提高或下降数；</w:t>
            </w:r>
          </w:p>
          <w:p>
            <w:pPr>
              <w:spacing w:line="240" w:lineRule="auto"/>
              <w:ind w:firstLine="630" w:firstLineChars="300"/>
              <w:rPr>
                <w:rFonts w:eastAsia="宋体"/>
                <w:sz w:val="21"/>
              </w:rPr>
            </w:pPr>
            <w:r>
              <w:rPr>
                <w:rFonts w:eastAsia="宋体"/>
                <w:sz w:val="21"/>
              </w:rPr>
              <w:t>3.</w:t>
            </w:r>
            <w:r>
              <w:rPr>
                <w:rFonts w:hint="eastAsia" w:eastAsia="宋体"/>
                <w:sz w:val="21"/>
              </w:rPr>
              <w:t>约束性指标具体数值按省下达的任务执行。</w:t>
            </w:r>
          </w:p>
        </w:tc>
      </w:tr>
    </w:tbl>
    <w:p>
      <w:pPr>
        <w:pStyle w:val="14"/>
        <w:ind w:firstLine="0" w:firstLineChars="0"/>
      </w:pPr>
    </w:p>
    <w:p>
      <w:pPr>
        <w:ind w:firstLine="31680"/>
      </w:pPr>
      <w:r>
        <w:br w:type="page"/>
      </w:r>
    </w:p>
    <w:p>
      <w:pPr>
        <w:pStyle w:val="3"/>
        <w:spacing w:before="156" w:after="156"/>
      </w:pPr>
      <w:bookmarkStart w:id="15" w:name="_Toc25329"/>
      <w:r>
        <w:rPr>
          <w:rFonts w:hint="eastAsia"/>
        </w:rPr>
        <w:t>第二章</w:t>
      </w:r>
      <w:r>
        <w:t xml:space="preserve"> </w:t>
      </w:r>
      <w:r>
        <w:rPr>
          <w:rFonts w:hint="eastAsia"/>
        </w:rPr>
        <w:t>深入实施创新驱动战略，培育高质量发展新动能</w:t>
      </w:r>
      <w:bookmarkEnd w:id="15"/>
    </w:p>
    <w:p>
      <w:pPr>
        <w:ind w:firstLine="31680"/>
        <w:rPr>
          <w:rFonts w:ascii="仿宋_GB2312" w:hAnsi="仿宋_GB2312" w:eastAsia="仿宋_GB2312" w:cs="仿宋_GB2312"/>
          <w:szCs w:val="32"/>
        </w:rPr>
      </w:pPr>
      <w:r>
        <w:rPr>
          <w:rFonts w:hint="eastAsia" w:ascii="仿宋_GB2312" w:hAnsi="仿宋_GB2312" w:eastAsia="仿宋_GB2312" w:cs="仿宋_GB2312"/>
          <w:szCs w:val="32"/>
        </w:rPr>
        <w:t>以建立赣江新区国家级双创示范基地为契机，深入实施创新驱动发展战略，全面推动创新型永修试点建设，着力推动创新要素聚集、创新平台建设、创新环境优化，加快建立以企业为主体、市场为导向、产学研用深度融合的现代创新体系，</w:t>
      </w:r>
      <w:r>
        <w:fldChar w:fldCharType="begin"/>
      </w:r>
      <w:r>
        <w:instrText xml:space="preserve"> HYPERLINK "file:///D:\\Documents\\WeChat%20Files\\wxid_0669416693612\\FileStorage\\File\\2020-12\\20201214永修县国民经济和社会发展" \l "_Toc439076613" </w:instrText>
      </w:r>
      <w:r>
        <w:fldChar w:fldCharType="separate"/>
      </w:r>
      <w:r>
        <w:rPr>
          <w:rFonts w:hint="eastAsia" w:ascii="仿宋_GB2312" w:hAnsi="仿宋_GB2312" w:eastAsia="仿宋_GB2312" w:cs="仿宋_GB2312"/>
          <w:szCs w:val="32"/>
        </w:rPr>
        <w:t>点燃永修高质量</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t>发展新引擎。</w:t>
      </w:r>
    </w:p>
    <w:p>
      <w:pPr>
        <w:pStyle w:val="4"/>
        <w:spacing w:before="156" w:after="156"/>
      </w:pPr>
      <w:bookmarkStart w:id="16" w:name="_Toc12868"/>
      <w:r>
        <w:rPr>
          <w:rFonts w:hint="eastAsia"/>
        </w:rPr>
        <w:t>第一节</w:t>
      </w:r>
      <w:r>
        <w:t xml:space="preserve"> </w:t>
      </w:r>
      <w:r>
        <w:rPr>
          <w:rFonts w:hint="eastAsia"/>
        </w:rPr>
        <w:t>引进和培育高素质人才</w:t>
      </w:r>
      <w:bookmarkEnd w:id="16"/>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优化人才引育。</w:t>
      </w:r>
      <w:r>
        <w:rPr>
          <w:rFonts w:hint="eastAsia" w:ascii="仿宋_GB2312" w:hAnsi="仿宋_GB2312" w:eastAsia="仿宋_GB2312" w:cs="仿宋_GB2312"/>
          <w:bCs/>
          <w:szCs w:val="32"/>
        </w:rPr>
        <w:t>深入实施人才强县战略，继续发挥“绿色通道”作用，积极引进科技领军人才、企业家人才、高技能人才以及海外高层次人才等，吸引高层次国内专家、海外智力来永修开展科技研发、技术创新、项目合作等创新创业活动，加大学科带头人、技术领军人才和科技创新团队的引进和培养力度。实施优秀青年人才储备计划，组织开展线上线下、对外合作交流、校企合作等多形式多样式的招才引智品牌服务活动，构建高端创新人才与产业技能人才多元支撑的人才体系。加大引进高端研发团队力度，依托江西省有机硅创新研究院有限公司，建立有机硅下游产品开发实习基地和博士后工作站。</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创新人才培育。</w:t>
      </w:r>
      <w:r>
        <w:rPr>
          <w:rFonts w:hint="eastAsia" w:ascii="仿宋_GB2312" w:hAnsi="仿宋_GB2312" w:eastAsia="仿宋_GB2312" w:cs="仿宋_GB2312"/>
          <w:szCs w:val="32"/>
        </w:rPr>
        <w:t>充分发挥永修创新平台、创新载体的支撑作用，大力培育本土</w:t>
      </w:r>
      <w:r>
        <w:rPr>
          <w:rFonts w:hint="eastAsia" w:ascii="仿宋_GB2312" w:hAnsi="仿宋_GB2312" w:eastAsia="仿宋_GB2312" w:cs="仿宋_GB2312"/>
          <w:bCs/>
          <w:szCs w:val="32"/>
        </w:rPr>
        <w:t>创新领军人才。健全完善高端人才政策体系，进一步明确政策扶持导向，突出政策扶持重点，提高政策扶持标准，为高端人才引进、培养、使用提供有力政策支持。促进产科教融合，加强永修职业学校开展校企务实合作，加快培育职业技能人才。为人才提供优质高效的“保姆式”“店小二式”服务，为高端人才提供“一对一”“定制化”服务；落实高层次人才在医疗、社保等方面的待遇，着力解决好引进的重点高层次人才的配偶就业和子女入学等问题，加快形成更具竞争力的人才集聚制度。</w:t>
      </w:r>
    </w:p>
    <w:p>
      <w:pPr>
        <w:ind w:firstLine="31680"/>
        <w:rPr>
          <w:rFonts w:ascii="仿宋_GB2312" w:hAnsi="仿宋_GB2312" w:eastAsia="仿宋_GB2312" w:cs="仿宋_GB2312"/>
          <w:bCs/>
          <w:szCs w:val="32"/>
        </w:rPr>
      </w:pPr>
      <w:r>
        <w:rPr>
          <w:rFonts w:hint="eastAsia" w:ascii="仿宋_GB2312" w:hAnsi="仿宋_GB2312" w:eastAsia="仿宋_GB2312" w:cs="仿宋_GB2312"/>
          <w:b/>
          <w:szCs w:val="32"/>
        </w:rPr>
        <w:t>营造人才发展良好环境。</w:t>
      </w:r>
      <w:r>
        <w:rPr>
          <w:rFonts w:hint="eastAsia" w:ascii="仿宋_GB2312" w:hAnsi="仿宋_GB2312" w:eastAsia="仿宋_GB2312" w:cs="仿宋_GB2312"/>
          <w:bCs/>
          <w:szCs w:val="32"/>
        </w:rPr>
        <w:t>创新人才评价制度，健全人才服务和管理体系，建立健全符合各类人才特点、促进各类人才发展的用人机制、评价机制、激励机制、保障机制等人才开发制度体系，推行“人才</w:t>
      </w:r>
      <w:r>
        <w:rPr>
          <w:rFonts w:ascii="仿宋_GB2312" w:hAnsi="仿宋_GB2312" w:eastAsia="仿宋_GB2312" w:cs="仿宋_GB2312"/>
          <w:bCs/>
          <w:szCs w:val="32"/>
        </w:rPr>
        <w:t>+</w:t>
      </w:r>
      <w:r>
        <w:rPr>
          <w:rFonts w:hint="eastAsia" w:ascii="仿宋_GB2312" w:hAnsi="仿宋_GB2312" w:eastAsia="仿宋_GB2312" w:cs="仿宋_GB2312"/>
          <w:bCs/>
          <w:szCs w:val="32"/>
        </w:rPr>
        <w:t>项目”培养模式，推动人才项目产业化，推动人才优势向科技优势和产业优势转化，营造自由流动、包容开放的用人环境。提高人才服务质量，推行“保姆式”“店小二式”服务，高端人才实行“一对一”“定制化”服务；创新人才激励机制，提高人才智力和创造性劳动分配比例，努力营造人才创业就业的良好环境，形成人才合理有序流动的良性循环，争创省级服务支持人才创新创业示范基地建设。</w:t>
      </w:r>
    </w:p>
    <w:p>
      <w:pPr>
        <w:pStyle w:val="2"/>
        <w:ind w:firstLine="31680"/>
        <w:rPr>
          <w:rFonts w:ascii="仿宋_GB2312" w:hAnsi="仿宋_GB2312" w:eastAsia="仿宋_GB2312" w:cs="仿宋_GB2312"/>
          <w:bCs/>
          <w:szCs w:val="32"/>
        </w:rPr>
      </w:pPr>
    </w:p>
    <w:p>
      <w:pPr>
        <w:ind w:firstLine="31680"/>
        <w:rPr>
          <w:rFonts w:ascii="仿宋_GB2312" w:hAnsi="仿宋_GB2312" w:eastAsia="仿宋_GB2312" w:cs="仿宋_GB2312"/>
          <w:bCs/>
          <w:szCs w:val="32"/>
        </w:rPr>
      </w:pPr>
    </w:p>
    <w:p>
      <w:pPr>
        <w:pStyle w:val="2"/>
        <w:ind w:firstLine="31680"/>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7" w:type="dxa"/>
          </w:tcPr>
          <w:p>
            <w:pPr>
              <w:pStyle w:val="15"/>
              <w:ind w:firstLine="0" w:firstLineChars="0"/>
              <w:jc w:val="center"/>
              <w:rPr>
                <w:rFonts w:cs="黑体"/>
              </w:rPr>
            </w:pPr>
            <w:r>
              <w:rPr>
                <w:rFonts w:hint="eastAsia" w:cs="黑体"/>
                <w:b/>
                <w:bCs/>
              </w:rPr>
              <w:t>专栏</w:t>
            </w:r>
            <w:r>
              <w:rPr>
                <w:rFonts w:cs="黑体"/>
                <w:b/>
                <w:bCs/>
              </w:rPr>
              <w:t xml:space="preserve">1  </w:t>
            </w:r>
            <w:r>
              <w:rPr>
                <w:rFonts w:hint="eastAsia" w:cs="黑体"/>
                <w:b/>
                <w:bCs/>
              </w:rPr>
              <w:t>重点人才引进和培养工程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7" w:type="dxa"/>
          </w:tcPr>
          <w:p>
            <w:pPr>
              <w:pStyle w:val="15"/>
              <w:ind w:firstLine="31680"/>
              <w:rPr>
                <w:rFonts w:cs="黑体"/>
                <w:b/>
                <w:bCs/>
              </w:rPr>
            </w:pPr>
            <w:r>
              <w:rPr>
                <w:rFonts w:hint="eastAsia" w:cs="黑体"/>
                <w:b/>
                <w:bCs/>
              </w:rPr>
              <w:t>（一）高层次研发人才队伍建设工程</w:t>
            </w:r>
          </w:p>
          <w:p>
            <w:pPr>
              <w:pStyle w:val="15"/>
              <w:ind w:firstLine="31680"/>
              <w:rPr>
                <w:rFonts w:cs="黑体"/>
              </w:rPr>
            </w:pPr>
            <w:r>
              <w:rPr>
                <w:rFonts w:hint="eastAsia" w:cs="仿宋_GB2312"/>
                <w:color w:val="000000"/>
                <w:szCs w:val="32"/>
              </w:rPr>
              <w:t>突出“政策引才、平台用才、环境留才”三个重点环节，着力引进一批急需紧缺高层次专业技术人才及团队。力争到</w:t>
            </w:r>
            <w:r>
              <w:rPr>
                <w:rFonts w:cs="仿宋_GB2312"/>
                <w:color w:val="000000"/>
                <w:szCs w:val="32"/>
              </w:rPr>
              <w:t>2025</w:t>
            </w:r>
            <w:r>
              <w:rPr>
                <w:rFonts w:hint="eastAsia" w:cs="仿宋_GB2312"/>
                <w:color w:val="000000"/>
                <w:szCs w:val="32"/>
              </w:rPr>
              <w:t>年在省级优势创新团队和省级学科学术带头人上实现突破。</w:t>
            </w:r>
          </w:p>
          <w:p>
            <w:pPr>
              <w:pStyle w:val="15"/>
              <w:ind w:firstLine="31680"/>
              <w:rPr>
                <w:rFonts w:cs="黑体"/>
                <w:b/>
                <w:bCs/>
              </w:rPr>
            </w:pPr>
            <w:r>
              <w:rPr>
                <w:rFonts w:hint="eastAsia" w:cs="黑体"/>
                <w:b/>
                <w:bCs/>
              </w:rPr>
              <w:t>（二）产业技术人才队伍建设工程</w:t>
            </w:r>
          </w:p>
          <w:p>
            <w:pPr>
              <w:pStyle w:val="15"/>
              <w:ind w:firstLine="31680"/>
              <w:rPr>
                <w:rFonts w:cs="黑体"/>
              </w:rPr>
            </w:pPr>
            <w:r>
              <w:rPr>
                <w:rFonts w:hint="eastAsia" w:cs="黑体"/>
              </w:rPr>
              <w:t>进一步落实九江市“浔才浔商回家”计划，</w:t>
            </w:r>
            <w:r>
              <w:rPr>
                <w:rFonts w:hint="eastAsia" w:cs="仿宋_GB2312"/>
                <w:color w:val="000000"/>
                <w:szCs w:val="32"/>
              </w:rPr>
              <w:t>依托赣江新区“大国工匠”项目、职教园区等科教园区，在有机硅、绿色建材、高端装备、电子信息等领域培育产业技术人才。</w:t>
            </w:r>
          </w:p>
          <w:p>
            <w:pPr>
              <w:pStyle w:val="15"/>
              <w:ind w:firstLine="31680"/>
              <w:rPr>
                <w:rFonts w:cs="黑体"/>
                <w:b/>
                <w:bCs/>
              </w:rPr>
            </w:pPr>
            <w:r>
              <w:rPr>
                <w:rFonts w:hint="eastAsia" w:cs="黑体"/>
                <w:b/>
                <w:bCs/>
              </w:rPr>
              <w:t>（三）乡土技能人才和专业人才回乡工程</w:t>
            </w:r>
          </w:p>
          <w:p>
            <w:pPr>
              <w:pStyle w:val="15"/>
              <w:ind w:firstLine="31680"/>
              <w:rPr>
                <w:rFonts w:cs="黑体"/>
                <w:b/>
                <w:bCs/>
              </w:rPr>
            </w:pPr>
            <w:r>
              <w:rPr>
                <w:rFonts w:hint="eastAsia" w:cs="黑体"/>
                <w:lang w:val="zh-TW" w:eastAsia="zh-TW"/>
              </w:rPr>
              <w:t>立足本土，着眼基层，将具备一技之长，能为当地经济社会发展作出贡献的实用人才全面纳入乡村人才开发的范围，发展一批“土专家”“田秀才”，扶持一批农业职业经理人、经纪人</w:t>
            </w:r>
            <w:r>
              <w:rPr>
                <w:rFonts w:hint="eastAsia" w:cs="黑体"/>
                <w:lang w:val="zh-TW"/>
              </w:rPr>
              <w:t>。</w:t>
            </w:r>
            <w:r>
              <w:rPr>
                <w:rFonts w:hint="eastAsia" w:cs="仿宋_GB2312"/>
                <w:color w:val="000000"/>
                <w:szCs w:val="32"/>
              </w:rPr>
              <w:t>到</w:t>
            </w:r>
            <w:r>
              <w:rPr>
                <w:rFonts w:cs="仿宋_GB2312"/>
                <w:color w:val="000000"/>
                <w:szCs w:val="32"/>
              </w:rPr>
              <w:t>2025</w:t>
            </w:r>
            <w:r>
              <w:rPr>
                <w:rFonts w:hint="eastAsia" w:cs="仿宋_GB2312"/>
                <w:color w:val="000000"/>
                <w:szCs w:val="32"/>
              </w:rPr>
              <w:t>年，力争实现乡土技能人才行政村全覆盖。</w:t>
            </w:r>
          </w:p>
        </w:tc>
      </w:tr>
    </w:tbl>
    <w:p>
      <w:pPr>
        <w:pStyle w:val="4"/>
        <w:spacing w:before="156" w:after="156"/>
      </w:pPr>
      <w:bookmarkStart w:id="17" w:name="_Toc2072"/>
      <w:r>
        <w:rPr>
          <w:rFonts w:hint="eastAsia"/>
        </w:rPr>
        <w:t>第二节</w:t>
      </w:r>
      <w:r>
        <w:t xml:space="preserve"> </w:t>
      </w:r>
      <w:r>
        <w:rPr>
          <w:rFonts w:hint="eastAsia"/>
        </w:rPr>
        <w:t>加强自主创新能力建设</w:t>
      </w:r>
      <w:bookmarkEnd w:id="1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强化企业创新主体地位。</w:t>
      </w:r>
      <w:r>
        <w:rPr>
          <w:rFonts w:hint="eastAsia" w:ascii="仿宋_GB2312" w:hAnsi="仿宋_GB2312" w:eastAsia="仿宋_GB2312" w:cs="仿宋_GB2312"/>
          <w:szCs w:val="32"/>
        </w:rPr>
        <w:t>聚焦永修首位产业、主导产业、新兴产业领域，鼓励企业加大研发投入，开展科技创新。加快培育创新龙头企业、高新技术企业和科技型中小企业，大力支持企业建立工程技术中心、企业研发中心等研发机构。引导和支持创新要素向企业集聚，强化企业自主创新的激励机制，对企业创新投入给予更多支持，尽快在永修形成一批推动产业高质量发展的创新型企业群体。加大对成长性、创新性较强的中小企业培育力度，培育一批具有核心竞争力的企业，打造亿级企业方阵，新增一批“独角兽”“瞪羚”和高新技术企业，形成以重大项目为支撑，大、中、小企业协同发展的生动局面。构建科技企业“微成长、小升高、高壮大”的梯次培育，建立覆盖企业从初创、成长到壮大、上市各个发展阶段的支持体系。力争“十四五”期间，</w:t>
      </w:r>
      <w:r>
        <w:rPr>
          <w:rFonts w:hint="eastAsia" w:ascii="仿宋_GB2312" w:hAnsi="仿宋_GB2312" w:eastAsia="仿宋_GB2312" w:cs="仿宋_GB2312"/>
          <w:bCs/>
          <w:color w:val="000000"/>
          <w:szCs w:val="32"/>
        </w:rPr>
        <w:t>每年新增省级企业技术中心或工程中心</w:t>
      </w:r>
      <w:r>
        <w:rPr>
          <w:rFonts w:ascii="仿宋_GB2312" w:hAnsi="仿宋_GB2312" w:eastAsia="仿宋_GB2312" w:cs="仿宋_GB2312"/>
          <w:bCs/>
          <w:color w:val="000000"/>
          <w:szCs w:val="32"/>
        </w:rPr>
        <w:t>1</w:t>
      </w:r>
      <w:r>
        <w:rPr>
          <w:rFonts w:hint="eastAsia" w:ascii="仿宋_GB2312" w:hAnsi="仿宋_GB2312" w:eastAsia="仿宋_GB2312" w:cs="仿宋_GB2312"/>
          <w:bCs/>
          <w:color w:val="000000"/>
          <w:szCs w:val="32"/>
        </w:rPr>
        <w:t>户、市级企业技术中心或工程中心</w:t>
      </w:r>
      <w:r>
        <w:rPr>
          <w:rFonts w:ascii="仿宋_GB2312" w:hAnsi="仿宋_GB2312" w:eastAsia="仿宋_GB2312" w:cs="仿宋_GB2312"/>
          <w:bCs/>
          <w:color w:val="000000"/>
          <w:szCs w:val="32"/>
        </w:rPr>
        <w:t>2</w:t>
      </w:r>
      <w:r>
        <w:rPr>
          <w:rFonts w:hint="eastAsia" w:ascii="仿宋_GB2312" w:hAnsi="仿宋_GB2312" w:eastAsia="仿宋_GB2312" w:cs="仿宋_GB2312"/>
          <w:bCs/>
          <w:color w:val="000000"/>
          <w:szCs w:val="32"/>
        </w:rPr>
        <w:t>户以上，高新技术企业总数达</w:t>
      </w:r>
      <w:r>
        <w:rPr>
          <w:rFonts w:ascii="仿宋_GB2312" w:hAnsi="仿宋_GB2312" w:eastAsia="仿宋_GB2312" w:cs="仿宋_GB2312"/>
          <w:bCs/>
          <w:color w:val="000000"/>
          <w:szCs w:val="32"/>
        </w:rPr>
        <w:t>150</w:t>
      </w:r>
      <w:r>
        <w:rPr>
          <w:rFonts w:hint="eastAsia" w:ascii="仿宋_GB2312" w:hAnsi="仿宋_GB2312" w:eastAsia="仿宋_GB2312" w:cs="仿宋_GB2312"/>
          <w:bCs/>
          <w:color w:val="000000"/>
          <w:szCs w:val="32"/>
        </w:rPr>
        <w:t>户以上，实现</w:t>
      </w:r>
      <w:r>
        <w:rPr>
          <w:rFonts w:ascii="仿宋_GB2312" w:hAnsi="仿宋_GB2312" w:eastAsia="仿宋_GB2312" w:cs="仿宋_GB2312"/>
          <w:bCs/>
          <w:color w:val="000000"/>
          <w:szCs w:val="32"/>
        </w:rPr>
        <w:t>1</w:t>
      </w:r>
      <w:r>
        <w:rPr>
          <w:rFonts w:hint="eastAsia" w:ascii="仿宋_GB2312" w:hAnsi="仿宋_GB2312" w:eastAsia="仿宋_GB2312" w:cs="仿宋_GB2312"/>
          <w:bCs/>
          <w:color w:val="000000"/>
          <w:szCs w:val="32"/>
        </w:rPr>
        <w:t>平方公里科技园高新企业“满园扩园”。</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5"/>
              <w:ind w:firstLine="0" w:firstLineChars="0"/>
              <w:jc w:val="center"/>
              <w:rPr>
                <w:rFonts w:cs="黑体"/>
              </w:rPr>
            </w:pPr>
            <w:r>
              <w:rPr>
                <w:rFonts w:hint="eastAsia" w:cs="黑体"/>
                <w:b/>
                <w:bCs/>
              </w:rPr>
              <w:t>专栏</w:t>
            </w:r>
            <w:r>
              <w:rPr>
                <w:rFonts w:cs="黑体"/>
                <w:b/>
                <w:bCs/>
              </w:rPr>
              <w:t xml:space="preserve">2  </w:t>
            </w:r>
            <w:r>
              <w:rPr>
                <w:rFonts w:hint="eastAsia" w:cs="黑体"/>
                <w:b/>
                <w:bCs/>
              </w:rPr>
              <w:t>科技创新奖励计划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5"/>
              <w:ind w:firstLine="31680"/>
              <w:rPr>
                <w:rFonts w:cs="黑体"/>
                <w:b/>
                <w:bCs/>
              </w:rPr>
            </w:pPr>
            <w:r>
              <w:rPr>
                <w:rFonts w:hint="eastAsia" w:cs="黑体"/>
                <w:b/>
                <w:bCs/>
              </w:rPr>
              <w:t>（一）企业创新奖计划</w:t>
            </w:r>
          </w:p>
          <w:p>
            <w:pPr>
              <w:pStyle w:val="15"/>
              <w:ind w:firstLine="31680"/>
              <w:rPr>
                <w:rFonts w:cs="黑体"/>
              </w:rPr>
            </w:pPr>
            <w:r>
              <w:rPr>
                <w:rFonts w:cs="黑体"/>
              </w:rPr>
              <w:t>1.</w:t>
            </w:r>
            <w:r>
              <w:rPr>
                <w:rFonts w:hint="eastAsia" w:cs="黑体"/>
              </w:rPr>
              <w:t>对被认定为国家级、省级、市级“专精特新”的中小企业，分别给予</w:t>
            </w:r>
            <w:r>
              <w:rPr>
                <w:rFonts w:cs="黑体"/>
              </w:rPr>
              <w:t>10</w:t>
            </w:r>
            <w:r>
              <w:rPr>
                <w:rFonts w:hint="eastAsia" w:cs="黑体"/>
              </w:rPr>
              <w:t>万元、</w:t>
            </w:r>
            <w:r>
              <w:rPr>
                <w:rFonts w:cs="黑体"/>
              </w:rPr>
              <w:t>5</w:t>
            </w:r>
            <w:r>
              <w:rPr>
                <w:rFonts w:hint="eastAsia" w:cs="黑体"/>
              </w:rPr>
              <w:t>万元、</w:t>
            </w:r>
            <w:r>
              <w:rPr>
                <w:rFonts w:cs="黑体"/>
              </w:rPr>
              <w:t>3</w:t>
            </w:r>
            <w:r>
              <w:rPr>
                <w:rFonts w:hint="eastAsia" w:cs="黑体"/>
              </w:rPr>
              <w:t>万元一次性奖励。</w:t>
            </w:r>
          </w:p>
          <w:p>
            <w:pPr>
              <w:pStyle w:val="15"/>
              <w:ind w:firstLine="31680"/>
              <w:rPr>
                <w:rFonts w:cs="黑体"/>
              </w:rPr>
            </w:pPr>
            <w:r>
              <w:rPr>
                <w:rFonts w:cs="黑体"/>
              </w:rPr>
              <w:t>2.</w:t>
            </w:r>
            <w:r>
              <w:rPr>
                <w:rFonts w:hint="eastAsia" w:cs="黑体"/>
              </w:rPr>
              <w:t>对企业总部和经营主体设在我县的企业，首次通过高新技术企业认定的，一次性奖励</w:t>
            </w:r>
            <w:r>
              <w:rPr>
                <w:rFonts w:cs="黑体"/>
              </w:rPr>
              <w:t>20</w:t>
            </w:r>
            <w:r>
              <w:rPr>
                <w:rFonts w:hint="eastAsia" w:cs="黑体"/>
              </w:rPr>
              <w:t>万元；复审通过高新技术企业认定的，一次性奖励</w:t>
            </w:r>
            <w:r>
              <w:rPr>
                <w:rFonts w:cs="黑体"/>
              </w:rPr>
              <w:t>5</w:t>
            </w:r>
            <w:r>
              <w:rPr>
                <w:rFonts w:hint="eastAsia" w:cs="黑体"/>
              </w:rPr>
              <w:t>万元。每通过认定</w:t>
            </w:r>
            <w:r>
              <w:rPr>
                <w:rFonts w:cs="黑体"/>
              </w:rPr>
              <w:t>1</w:t>
            </w:r>
            <w:r>
              <w:rPr>
                <w:rFonts w:hint="eastAsia" w:cs="黑体"/>
              </w:rPr>
              <w:t>家高新技术企业，给予组织单位</w:t>
            </w:r>
            <w:r>
              <w:rPr>
                <w:rFonts w:cs="黑体"/>
              </w:rPr>
              <w:t>1</w:t>
            </w:r>
            <w:r>
              <w:rPr>
                <w:rFonts w:hint="eastAsia" w:cs="黑体"/>
              </w:rPr>
              <w:t>万元奖励，同时从相关单位评选出“高企申报工作”先进个人</w:t>
            </w:r>
            <w:r>
              <w:rPr>
                <w:rFonts w:cs="黑体"/>
              </w:rPr>
              <w:t>10</w:t>
            </w:r>
            <w:r>
              <w:rPr>
                <w:rFonts w:hint="eastAsia" w:cs="黑体"/>
              </w:rPr>
              <w:t>名，每人奖励</w:t>
            </w:r>
            <w:r>
              <w:rPr>
                <w:rFonts w:cs="黑体"/>
              </w:rPr>
              <w:t>2000</w:t>
            </w:r>
            <w:r>
              <w:rPr>
                <w:rFonts w:hint="eastAsia" w:cs="黑体"/>
              </w:rPr>
              <w:t>元，所需奖金从县财政拨付的高企申报组织奖奖金中支付。</w:t>
            </w:r>
          </w:p>
          <w:p>
            <w:pPr>
              <w:pStyle w:val="15"/>
              <w:ind w:firstLine="31680"/>
              <w:rPr>
                <w:rFonts w:cs="黑体"/>
              </w:rPr>
            </w:pPr>
            <w:r>
              <w:rPr>
                <w:rFonts w:cs="黑体"/>
              </w:rPr>
              <w:t>3.</w:t>
            </w:r>
            <w:r>
              <w:rPr>
                <w:rFonts w:hint="eastAsia" w:cs="黑体"/>
              </w:rPr>
              <w:t>独角兽、瞪羚羊企业奖励。对新认定省级以上（包含省级）独角兽、潜在独角兽、种子独角兽、瞪羚、潜在瞪羚企业的，分别给予</w:t>
            </w:r>
            <w:r>
              <w:rPr>
                <w:rFonts w:cs="黑体"/>
              </w:rPr>
              <w:t>200</w:t>
            </w:r>
            <w:r>
              <w:rPr>
                <w:rFonts w:hint="eastAsia" w:cs="黑体"/>
              </w:rPr>
              <w:t>万元、</w:t>
            </w:r>
            <w:r>
              <w:rPr>
                <w:rFonts w:cs="黑体"/>
              </w:rPr>
              <w:t>80</w:t>
            </w:r>
            <w:r>
              <w:rPr>
                <w:rFonts w:hint="eastAsia" w:cs="黑体"/>
              </w:rPr>
              <w:t>万元、</w:t>
            </w:r>
            <w:r>
              <w:rPr>
                <w:rFonts w:cs="黑体"/>
              </w:rPr>
              <w:t>40</w:t>
            </w:r>
            <w:r>
              <w:rPr>
                <w:rFonts w:hint="eastAsia" w:cs="黑体"/>
              </w:rPr>
              <w:t>万元、</w:t>
            </w:r>
            <w:r>
              <w:rPr>
                <w:rFonts w:cs="黑体"/>
              </w:rPr>
              <w:t>20</w:t>
            </w:r>
            <w:r>
              <w:rPr>
                <w:rFonts w:hint="eastAsia" w:cs="黑体"/>
              </w:rPr>
              <w:t>万元和</w:t>
            </w:r>
            <w:r>
              <w:rPr>
                <w:rFonts w:cs="黑体"/>
              </w:rPr>
              <w:t>10</w:t>
            </w:r>
            <w:r>
              <w:rPr>
                <w:rFonts w:hint="eastAsia" w:cs="黑体"/>
              </w:rPr>
              <w:t>万元一次性奖励。</w:t>
            </w:r>
          </w:p>
          <w:p>
            <w:pPr>
              <w:pStyle w:val="15"/>
              <w:ind w:firstLine="31680"/>
              <w:rPr>
                <w:rFonts w:cs="黑体"/>
              </w:rPr>
            </w:pPr>
            <w:r>
              <w:rPr>
                <w:rFonts w:cs="黑体"/>
              </w:rPr>
              <w:t>4.</w:t>
            </w:r>
            <w:r>
              <w:rPr>
                <w:rFonts w:hint="eastAsia" w:cs="黑体"/>
              </w:rPr>
              <w:t>对新认定为国家级、省级、市级科技企业孵化器的，分别给予</w:t>
            </w:r>
            <w:r>
              <w:rPr>
                <w:rFonts w:cs="黑体"/>
              </w:rPr>
              <w:t>50</w:t>
            </w:r>
            <w:r>
              <w:rPr>
                <w:rFonts w:hint="eastAsia" w:cs="黑体"/>
              </w:rPr>
              <w:t>万元、</w:t>
            </w:r>
            <w:r>
              <w:rPr>
                <w:rFonts w:cs="黑体"/>
              </w:rPr>
              <w:t>10</w:t>
            </w:r>
            <w:r>
              <w:rPr>
                <w:rFonts w:hint="eastAsia" w:cs="黑体"/>
              </w:rPr>
              <w:t>万元、</w:t>
            </w:r>
            <w:r>
              <w:rPr>
                <w:rFonts w:cs="黑体"/>
              </w:rPr>
              <w:t>3</w:t>
            </w:r>
            <w:r>
              <w:rPr>
                <w:rFonts w:hint="eastAsia" w:cs="黑体"/>
              </w:rPr>
              <w:t>万元的一次性奖励；对新认定为国家级、省级、市级众创空间</w:t>
            </w:r>
            <w:r>
              <w:rPr>
                <w:rFonts w:cs="黑体"/>
              </w:rPr>
              <w:t>(</w:t>
            </w:r>
            <w:r>
              <w:rPr>
                <w:rFonts w:hint="eastAsia" w:cs="黑体"/>
              </w:rPr>
              <w:t>或星创天地</w:t>
            </w:r>
            <w:r>
              <w:rPr>
                <w:rFonts w:cs="黑体"/>
              </w:rPr>
              <w:t>)</w:t>
            </w:r>
            <w:r>
              <w:rPr>
                <w:rFonts w:hint="eastAsia" w:cs="黑体"/>
              </w:rPr>
              <w:t>的，分别给予</w:t>
            </w:r>
            <w:r>
              <w:rPr>
                <w:rFonts w:cs="黑体"/>
              </w:rPr>
              <w:t>20</w:t>
            </w:r>
            <w:r>
              <w:rPr>
                <w:rFonts w:hint="eastAsia" w:cs="黑体"/>
              </w:rPr>
              <w:t>万元、</w:t>
            </w:r>
            <w:r>
              <w:rPr>
                <w:rFonts w:cs="黑体"/>
              </w:rPr>
              <w:t>5</w:t>
            </w:r>
            <w:r>
              <w:rPr>
                <w:rFonts w:hint="eastAsia" w:cs="黑体"/>
              </w:rPr>
              <w:t>万元、</w:t>
            </w:r>
            <w:r>
              <w:rPr>
                <w:rFonts w:cs="黑体"/>
              </w:rPr>
              <w:t>2</w:t>
            </w:r>
            <w:r>
              <w:rPr>
                <w:rFonts w:hint="eastAsia" w:cs="黑体"/>
              </w:rPr>
              <w:t>万元的一次性奖励；对新认定为国家级、省级、市级工程技术中心、企业技术中心的，分别给予</w:t>
            </w:r>
            <w:r>
              <w:rPr>
                <w:rFonts w:cs="黑体"/>
              </w:rPr>
              <w:t>20</w:t>
            </w:r>
            <w:r>
              <w:rPr>
                <w:rFonts w:hint="eastAsia" w:cs="黑体"/>
              </w:rPr>
              <w:t>万元、</w:t>
            </w:r>
            <w:r>
              <w:rPr>
                <w:rFonts w:cs="黑体"/>
              </w:rPr>
              <w:t>10</w:t>
            </w:r>
            <w:r>
              <w:rPr>
                <w:rFonts w:hint="eastAsia" w:cs="黑体"/>
              </w:rPr>
              <w:t>万元、</w:t>
            </w:r>
            <w:r>
              <w:rPr>
                <w:rFonts w:cs="黑体"/>
              </w:rPr>
              <w:t>5</w:t>
            </w:r>
            <w:r>
              <w:rPr>
                <w:rFonts w:hint="eastAsia" w:cs="黑体"/>
              </w:rPr>
              <w:t>万元一次性奖励。</w:t>
            </w:r>
          </w:p>
          <w:p>
            <w:pPr>
              <w:pStyle w:val="15"/>
              <w:ind w:firstLine="31680"/>
              <w:rPr>
                <w:rFonts w:cs="黑体"/>
              </w:rPr>
            </w:pPr>
            <w:r>
              <w:rPr>
                <w:rFonts w:cs="黑体"/>
              </w:rPr>
              <w:t>5.</w:t>
            </w:r>
            <w:r>
              <w:rPr>
                <w:rFonts w:hint="eastAsia" w:cs="黑体"/>
              </w:rPr>
              <w:t>按上一年度企业实际研发投入（以国家、省、市统计部门核定的数额为依据）的</w:t>
            </w:r>
            <w:r>
              <w:rPr>
                <w:rFonts w:cs="黑体"/>
              </w:rPr>
              <w:t>0.5%</w:t>
            </w:r>
            <w:r>
              <w:rPr>
                <w:rFonts w:hint="eastAsia" w:cs="黑体"/>
              </w:rPr>
              <w:t>予以奖补；企业实际研发投入较上一年度相比的增量部分按</w:t>
            </w:r>
            <w:r>
              <w:rPr>
                <w:rFonts w:cs="黑体"/>
              </w:rPr>
              <w:t>1%</w:t>
            </w:r>
            <w:r>
              <w:rPr>
                <w:rFonts w:hint="eastAsia" w:cs="黑体"/>
              </w:rPr>
              <w:t>予以奖补；增量达到</w:t>
            </w:r>
            <w:r>
              <w:rPr>
                <w:rFonts w:cs="黑体"/>
              </w:rPr>
              <w:t>30%</w:t>
            </w:r>
            <w:r>
              <w:rPr>
                <w:rFonts w:hint="eastAsia" w:cs="黑体"/>
              </w:rPr>
              <w:t>（含</w:t>
            </w:r>
            <w:r>
              <w:rPr>
                <w:rFonts w:cs="黑体"/>
              </w:rPr>
              <w:t>30%</w:t>
            </w:r>
            <w:r>
              <w:rPr>
                <w:rFonts w:hint="eastAsia" w:cs="黑体"/>
              </w:rPr>
              <w:t>）以上的、增量部分按</w:t>
            </w:r>
            <w:r>
              <w:rPr>
                <w:rFonts w:cs="黑体"/>
              </w:rPr>
              <w:t>2%</w:t>
            </w:r>
            <w:r>
              <w:rPr>
                <w:rFonts w:hint="eastAsia" w:cs="黑体"/>
              </w:rPr>
              <w:t>予以奖补；每家企业每年最高奖补金额不超过</w:t>
            </w:r>
            <w:r>
              <w:rPr>
                <w:rFonts w:cs="黑体"/>
              </w:rPr>
              <w:t>100</w:t>
            </w:r>
            <w:r>
              <w:rPr>
                <w:rFonts w:hint="eastAsia" w:cs="黑体"/>
              </w:rPr>
              <w:t>万元。</w:t>
            </w:r>
          </w:p>
          <w:p>
            <w:pPr>
              <w:pStyle w:val="15"/>
              <w:ind w:firstLine="31680"/>
              <w:rPr>
                <w:rFonts w:cs="黑体"/>
              </w:rPr>
            </w:pPr>
            <w:r>
              <w:rPr>
                <w:rFonts w:cs="黑体"/>
              </w:rPr>
              <w:t>6.</w:t>
            </w:r>
            <w:r>
              <w:rPr>
                <w:rFonts w:hint="eastAsia" w:cs="黑体"/>
              </w:rPr>
              <w:t>对规模以上工业企业重大科技成果转化项目、行业共性先进关键技术项目、获得省级以上（含省级）重大科研立项的产学研项目，一次性奖励</w:t>
            </w:r>
            <w:r>
              <w:rPr>
                <w:rFonts w:cs="黑体"/>
              </w:rPr>
              <w:t>20</w:t>
            </w:r>
            <w:r>
              <w:rPr>
                <w:rFonts w:hint="eastAsia" w:cs="黑体"/>
              </w:rPr>
              <w:t>万元；对新认定的国家级、省级重点新产品，分别给予</w:t>
            </w:r>
            <w:r>
              <w:rPr>
                <w:rFonts w:cs="黑体"/>
              </w:rPr>
              <w:t>5</w:t>
            </w:r>
            <w:r>
              <w:rPr>
                <w:rFonts w:hint="eastAsia" w:cs="黑体"/>
              </w:rPr>
              <w:t>万元、</w:t>
            </w:r>
            <w:r>
              <w:rPr>
                <w:rFonts w:cs="黑体"/>
              </w:rPr>
              <w:t>3</w:t>
            </w:r>
            <w:r>
              <w:rPr>
                <w:rFonts w:hint="eastAsia" w:cs="黑体"/>
              </w:rPr>
              <w:t>万元一次性奖励。</w:t>
            </w:r>
          </w:p>
          <w:p>
            <w:pPr>
              <w:pStyle w:val="15"/>
              <w:ind w:firstLine="31680"/>
              <w:rPr>
                <w:rFonts w:cs="黑体"/>
              </w:rPr>
            </w:pPr>
            <w:r>
              <w:rPr>
                <w:rFonts w:cs="黑体"/>
              </w:rPr>
              <w:t>7.</w:t>
            </w:r>
            <w:r>
              <w:rPr>
                <w:rFonts w:hint="eastAsia" w:cs="黑体"/>
              </w:rPr>
              <w:t>对当年申请受理的发明专利每件奖励</w:t>
            </w:r>
            <w:r>
              <w:rPr>
                <w:rFonts w:cs="黑体"/>
              </w:rPr>
              <w:t>1000</w:t>
            </w:r>
            <w:r>
              <w:rPr>
                <w:rFonts w:hint="eastAsia" w:cs="黑体"/>
              </w:rPr>
              <w:t>元；授权后再奖励</w:t>
            </w:r>
            <w:r>
              <w:rPr>
                <w:rFonts w:cs="黑体"/>
              </w:rPr>
              <w:t>4000</w:t>
            </w:r>
            <w:r>
              <w:rPr>
                <w:rFonts w:hint="eastAsia" w:cs="黑体"/>
              </w:rPr>
              <w:t>元；在本地实现成果转化的，再奖励</w:t>
            </w:r>
            <w:r>
              <w:rPr>
                <w:rFonts w:cs="黑体"/>
              </w:rPr>
              <w:t>1</w:t>
            </w:r>
            <w:r>
              <w:rPr>
                <w:rFonts w:hint="eastAsia" w:cs="黑体"/>
              </w:rPr>
              <w:t>万元；对当年申请受理的实用新型、外观设计（或软件著作权），每件分别给予</w:t>
            </w:r>
            <w:r>
              <w:rPr>
                <w:rFonts w:cs="黑体"/>
              </w:rPr>
              <w:t>500</w:t>
            </w:r>
            <w:r>
              <w:rPr>
                <w:rFonts w:hint="eastAsia" w:cs="黑体"/>
              </w:rPr>
              <w:t>元、</w:t>
            </w:r>
            <w:r>
              <w:rPr>
                <w:rFonts w:cs="黑体"/>
              </w:rPr>
              <w:t>400</w:t>
            </w:r>
            <w:r>
              <w:rPr>
                <w:rFonts w:hint="eastAsia" w:cs="黑体"/>
              </w:rPr>
              <w:t>元奖励，授权后再分别奖励</w:t>
            </w:r>
            <w:r>
              <w:rPr>
                <w:rFonts w:cs="黑体"/>
              </w:rPr>
              <w:t>500</w:t>
            </w:r>
            <w:r>
              <w:rPr>
                <w:rFonts w:hint="eastAsia" w:cs="黑体"/>
              </w:rPr>
              <w:t>元、</w:t>
            </w:r>
            <w:r>
              <w:rPr>
                <w:rFonts w:cs="黑体"/>
              </w:rPr>
              <w:t>400</w:t>
            </w:r>
            <w:r>
              <w:rPr>
                <w:rFonts w:hint="eastAsia" w:cs="黑体"/>
              </w:rPr>
              <w:t>元。</w:t>
            </w:r>
          </w:p>
          <w:p>
            <w:pPr>
              <w:pStyle w:val="15"/>
              <w:ind w:firstLine="31680"/>
              <w:rPr>
                <w:rFonts w:cs="黑体"/>
                <w:b/>
                <w:bCs/>
              </w:rPr>
            </w:pPr>
            <w:r>
              <w:rPr>
                <w:rFonts w:hint="eastAsia" w:cs="黑体"/>
                <w:b/>
                <w:bCs/>
              </w:rPr>
              <w:t>（二）企业创品牌奖计划</w:t>
            </w:r>
          </w:p>
          <w:p>
            <w:pPr>
              <w:pStyle w:val="15"/>
              <w:ind w:firstLine="31680"/>
              <w:rPr>
                <w:rFonts w:cs="黑体"/>
              </w:rPr>
            </w:pPr>
            <w:r>
              <w:rPr>
                <w:rFonts w:cs="黑体"/>
              </w:rPr>
              <w:t>1.</w:t>
            </w:r>
            <w:r>
              <w:rPr>
                <w:rFonts w:hint="eastAsia" w:cs="黑体"/>
              </w:rPr>
              <w:t>对获得中国驰名商标、省著名商标、市知名商标的企业，分别一次性奖励</w:t>
            </w:r>
            <w:r>
              <w:rPr>
                <w:rFonts w:cs="黑体"/>
              </w:rPr>
              <w:t>30</w:t>
            </w:r>
            <w:r>
              <w:rPr>
                <w:rFonts w:hint="eastAsia" w:cs="黑体"/>
              </w:rPr>
              <w:t>万元、</w:t>
            </w:r>
            <w:r>
              <w:rPr>
                <w:rFonts w:cs="黑体"/>
              </w:rPr>
              <w:t>5</w:t>
            </w:r>
            <w:r>
              <w:rPr>
                <w:rFonts w:hint="eastAsia" w:cs="黑体"/>
              </w:rPr>
              <w:t>万元、</w:t>
            </w:r>
            <w:r>
              <w:rPr>
                <w:rFonts w:cs="黑体"/>
              </w:rPr>
              <w:t>1</w:t>
            </w:r>
            <w:r>
              <w:rPr>
                <w:rFonts w:hint="eastAsia" w:cs="黑体"/>
              </w:rPr>
              <w:t>万元；对当年成功注册地理标志证明商标或集体证明商标的企业或组织，一次性奖励</w:t>
            </w:r>
            <w:r>
              <w:rPr>
                <w:rFonts w:cs="黑体"/>
              </w:rPr>
              <w:t>3</w:t>
            </w:r>
            <w:r>
              <w:rPr>
                <w:rFonts w:hint="eastAsia" w:cs="黑体"/>
              </w:rPr>
              <w:t>万元，对成功注册商标的企业或组织，一件奖励</w:t>
            </w:r>
            <w:r>
              <w:rPr>
                <w:rFonts w:cs="黑体"/>
              </w:rPr>
              <w:t>0.2</w:t>
            </w:r>
            <w:r>
              <w:rPr>
                <w:rFonts w:hint="eastAsia" w:cs="黑体"/>
              </w:rPr>
              <w:t>万元对获得江西名牌、部颁名牌产品的企业一次性奖励</w:t>
            </w:r>
            <w:r>
              <w:rPr>
                <w:rFonts w:cs="黑体"/>
              </w:rPr>
              <w:t>5</w:t>
            </w:r>
            <w:r>
              <w:rPr>
                <w:rFonts w:hint="eastAsia" w:cs="黑体"/>
              </w:rPr>
              <w:t>万元。</w:t>
            </w:r>
          </w:p>
          <w:p>
            <w:pPr>
              <w:pStyle w:val="15"/>
              <w:ind w:firstLine="31680"/>
              <w:rPr>
                <w:rFonts w:cs="黑体"/>
              </w:rPr>
            </w:pPr>
            <w:r>
              <w:rPr>
                <w:rFonts w:cs="黑体"/>
              </w:rPr>
              <w:t>2.</w:t>
            </w:r>
            <w:r>
              <w:rPr>
                <w:rFonts w:hint="eastAsia" w:cs="黑体"/>
              </w:rPr>
              <w:t>对获得中华老字号、江西老字号、九江老字号的企业，分别一次性奖励</w:t>
            </w:r>
            <w:r>
              <w:rPr>
                <w:rFonts w:cs="黑体"/>
              </w:rPr>
              <w:t>10</w:t>
            </w:r>
            <w:r>
              <w:rPr>
                <w:rFonts w:hint="eastAsia" w:cs="黑体"/>
              </w:rPr>
              <w:t>万元、</w:t>
            </w:r>
            <w:r>
              <w:rPr>
                <w:rFonts w:cs="黑体"/>
              </w:rPr>
              <w:t>3</w:t>
            </w:r>
            <w:r>
              <w:rPr>
                <w:rFonts w:hint="eastAsia" w:cs="黑体"/>
              </w:rPr>
              <w:t>万元、</w:t>
            </w:r>
            <w:r>
              <w:rPr>
                <w:rFonts w:cs="黑体"/>
              </w:rPr>
              <w:t>1</w:t>
            </w:r>
            <w:r>
              <w:rPr>
                <w:rFonts w:hint="eastAsia" w:cs="黑体"/>
              </w:rPr>
              <w:t>万元。</w:t>
            </w:r>
          </w:p>
          <w:p>
            <w:pPr>
              <w:pStyle w:val="15"/>
              <w:ind w:firstLine="31680"/>
              <w:rPr>
                <w:rFonts w:cs="黑体"/>
              </w:rPr>
            </w:pPr>
            <w:r>
              <w:rPr>
                <w:rFonts w:cs="黑体"/>
              </w:rPr>
              <w:t>3.</w:t>
            </w:r>
            <w:r>
              <w:rPr>
                <w:rFonts w:hint="eastAsia" w:cs="黑体"/>
              </w:rPr>
              <w:t>对获得国家、省井冈、市长质量奖的企业，分别一次性奖励</w:t>
            </w:r>
            <w:r>
              <w:rPr>
                <w:rFonts w:cs="黑体"/>
              </w:rPr>
              <w:t>30</w:t>
            </w:r>
            <w:r>
              <w:rPr>
                <w:rFonts w:hint="eastAsia" w:cs="黑体"/>
              </w:rPr>
              <w:t>万元、</w:t>
            </w:r>
            <w:r>
              <w:rPr>
                <w:rFonts w:cs="黑体"/>
              </w:rPr>
              <w:t>20</w:t>
            </w:r>
            <w:r>
              <w:rPr>
                <w:rFonts w:hint="eastAsia" w:cs="黑体"/>
              </w:rPr>
              <w:t>万元、</w:t>
            </w:r>
            <w:r>
              <w:rPr>
                <w:rFonts w:cs="黑体"/>
              </w:rPr>
              <w:t>10</w:t>
            </w:r>
            <w:r>
              <w:rPr>
                <w:rFonts w:hint="eastAsia" w:cs="黑体"/>
              </w:rPr>
              <w:t>万元。</w:t>
            </w:r>
          </w:p>
          <w:p>
            <w:pPr>
              <w:pStyle w:val="15"/>
              <w:ind w:firstLine="31680"/>
              <w:rPr>
                <w:rFonts w:cs="黑体"/>
              </w:rPr>
            </w:pPr>
            <w:r>
              <w:rPr>
                <w:rFonts w:cs="黑体"/>
              </w:rPr>
              <w:t>4.</w:t>
            </w:r>
            <w:r>
              <w:rPr>
                <w:rFonts w:hint="eastAsia" w:cs="黑体"/>
              </w:rPr>
              <w:t>对获得国家、省部、市质量管理先进单位的企业，分别一次性奖励</w:t>
            </w:r>
            <w:r>
              <w:rPr>
                <w:rFonts w:cs="黑体"/>
              </w:rPr>
              <w:t>10</w:t>
            </w:r>
            <w:r>
              <w:rPr>
                <w:rFonts w:hint="eastAsia" w:cs="黑体"/>
              </w:rPr>
              <w:t>万元、</w:t>
            </w:r>
            <w:r>
              <w:rPr>
                <w:rFonts w:cs="黑体"/>
              </w:rPr>
              <w:t>5</w:t>
            </w:r>
            <w:r>
              <w:rPr>
                <w:rFonts w:hint="eastAsia" w:cs="黑体"/>
              </w:rPr>
              <w:t>万元、</w:t>
            </w:r>
            <w:r>
              <w:rPr>
                <w:rFonts w:cs="黑体"/>
              </w:rPr>
              <w:t>2</w:t>
            </w:r>
            <w:r>
              <w:rPr>
                <w:rFonts w:hint="eastAsia" w:cs="黑体"/>
              </w:rPr>
              <w:t>万元。</w:t>
            </w:r>
          </w:p>
          <w:p>
            <w:pPr>
              <w:pStyle w:val="15"/>
              <w:ind w:firstLine="31680"/>
              <w:rPr>
                <w:rFonts w:cs="黑体"/>
              </w:rPr>
            </w:pPr>
            <w:r>
              <w:rPr>
                <w:rFonts w:cs="黑体"/>
              </w:rPr>
              <w:t>5.</w:t>
            </w:r>
            <w:r>
              <w:rPr>
                <w:rFonts w:hint="eastAsia" w:cs="黑体"/>
              </w:rPr>
              <w:t>对成功获国家知识产权局批准为地理标志保护产品的承办企业或组织，一次性奖励</w:t>
            </w:r>
            <w:r>
              <w:rPr>
                <w:rFonts w:cs="黑体"/>
              </w:rPr>
              <w:t>20</w:t>
            </w:r>
            <w:r>
              <w:rPr>
                <w:rFonts w:hint="eastAsia" w:cs="黑体"/>
              </w:rPr>
              <w:t>万元。</w:t>
            </w:r>
          </w:p>
          <w:p>
            <w:pPr>
              <w:pStyle w:val="15"/>
              <w:ind w:firstLine="31680"/>
              <w:rPr>
                <w:rFonts w:cs="黑体"/>
              </w:rPr>
            </w:pPr>
            <w:r>
              <w:rPr>
                <w:rFonts w:cs="黑体"/>
              </w:rPr>
              <w:t>6.</w:t>
            </w:r>
            <w:r>
              <w:rPr>
                <w:rFonts w:hint="eastAsia" w:cs="黑体"/>
              </w:rPr>
              <w:t>对获得县长质量奖的企业，一次性奖励</w:t>
            </w:r>
            <w:r>
              <w:rPr>
                <w:rFonts w:cs="黑体"/>
              </w:rPr>
              <w:t>6</w:t>
            </w:r>
            <w:r>
              <w:rPr>
                <w:rFonts w:hint="eastAsia" w:cs="黑体"/>
              </w:rPr>
              <w:t>万元，对复评获得保留县长质量奖的企业，一次性奖励</w:t>
            </w:r>
            <w:r>
              <w:rPr>
                <w:rFonts w:cs="黑体"/>
              </w:rPr>
              <w:t>3</w:t>
            </w:r>
            <w:r>
              <w:rPr>
                <w:rFonts w:hint="eastAsia" w:cs="黑体"/>
              </w:rPr>
              <w:t>万元。</w:t>
            </w:r>
          </w:p>
        </w:tc>
      </w:tr>
    </w:tbl>
    <w:p>
      <w:pPr>
        <w:ind w:firstLine="0" w:firstLineChars="0"/>
        <w:rPr>
          <w:rFonts w:ascii="仿宋_GB2312" w:hAnsi="仿宋_GB2312" w:eastAsia="仿宋_GB2312" w:cs="仿宋_GB2312"/>
          <w:szCs w:val="32"/>
        </w:rPr>
      </w:pPr>
      <w:r>
        <w:rPr>
          <w:rFonts w:ascii="仿宋_GB2312" w:hAnsi="仿宋_GB2312" w:eastAsia="仿宋_GB2312" w:cs="仿宋_GB2312"/>
          <w:b/>
          <w:bCs/>
          <w:szCs w:val="32"/>
        </w:rPr>
        <w:t xml:space="preserve">    </w:t>
      </w:r>
      <w:r>
        <w:rPr>
          <w:rFonts w:hint="eastAsia" w:ascii="仿宋_GB2312" w:hAnsi="仿宋_GB2312" w:eastAsia="仿宋_GB2312" w:cs="仿宋_GB2312"/>
          <w:b/>
          <w:bCs/>
          <w:szCs w:val="32"/>
        </w:rPr>
        <w:t>提升产学研协同创新水平。</w:t>
      </w:r>
      <w:r>
        <w:rPr>
          <w:rFonts w:hint="eastAsia" w:ascii="仿宋_GB2312" w:hAnsi="仿宋_GB2312" w:eastAsia="仿宋_GB2312" w:cs="仿宋_GB2312"/>
          <w:szCs w:val="32"/>
        </w:rPr>
        <w:t>积极创建省级制造业创新中心，鼓励重点企业或创新龙头企业牵头，积极对接国内外一流大学、科研院所和相关企业，以产学研合作形式共建研发机构，开展共性关键技术研发和产业化服务，实现高校科技创新社会服务和产学研结合。</w:t>
      </w:r>
      <w:r>
        <w:rPr>
          <w:rFonts w:hint="eastAsia" w:ascii="仿宋_GB2312" w:hAnsi="仿宋_GB2312" w:eastAsia="仿宋_GB2312" w:cs="仿宋_GB2312"/>
          <w:bCs/>
          <w:color w:val="000000"/>
          <w:szCs w:val="32"/>
        </w:rPr>
        <w:t>依托“互联网</w:t>
      </w:r>
      <w:r>
        <w:rPr>
          <w:rFonts w:ascii="仿宋_GB2312" w:hAnsi="仿宋_GB2312" w:eastAsia="仿宋_GB2312" w:cs="仿宋_GB2312"/>
          <w:bCs/>
          <w:color w:val="000000"/>
          <w:szCs w:val="32"/>
        </w:rPr>
        <w:t>+</w:t>
      </w:r>
      <w:r>
        <w:rPr>
          <w:rFonts w:hint="eastAsia" w:ascii="仿宋_GB2312" w:hAnsi="仿宋_GB2312" w:eastAsia="仿宋_GB2312" w:cs="仿宋_GB2312"/>
          <w:bCs/>
          <w:color w:val="000000"/>
          <w:szCs w:val="32"/>
        </w:rPr>
        <w:t>”等新技术新模式，大力发展技术扩散、成果转化、科技评估、创业投资、知识产权、法律咨询等科技中介服务，构建有机硅产品技术研发中心、质量检测中心，培育和引进一批科技成果转化平台，推动科技成果就地产业化。</w:t>
      </w:r>
      <w:r>
        <w:rPr>
          <w:rFonts w:hint="eastAsia" w:ascii="仿宋_GB2312" w:hAnsi="仿宋_GB2312" w:eastAsia="仿宋_GB2312" w:cs="仿宋_GB2312"/>
          <w:szCs w:val="32"/>
        </w:rPr>
        <w:t>发挥政府、市场、企业合力，支持行业骨干企业与高校、科研机构共建研发平台和科技创新战略联盟。引导中小企业参与产业技术创新联盟、产业集群协同创新项目，加强产业链企业配套协作。</w:t>
      </w:r>
    </w:p>
    <w:p>
      <w:pPr>
        <w:pStyle w:val="4"/>
        <w:spacing w:before="156" w:after="156"/>
      </w:pPr>
      <w:bookmarkStart w:id="18" w:name="_Toc24804"/>
      <w:r>
        <w:rPr>
          <w:rFonts w:hint="eastAsia"/>
        </w:rPr>
        <w:t>第三节</w:t>
      </w:r>
      <w:r>
        <w:t xml:space="preserve"> </w:t>
      </w:r>
      <w:r>
        <w:rPr>
          <w:rFonts w:hint="eastAsia"/>
        </w:rPr>
        <w:t>加快搭建科技创新平台</w:t>
      </w:r>
      <w:bookmarkEnd w:id="18"/>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加快孵化平台建设。</w:t>
      </w:r>
      <w:r>
        <w:rPr>
          <w:rFonts w:hint="eastAsia" w:ascii="仿宋_GB2312" w:hAnsi="仿宋_GB2312" w:eastAsia="仿宋_GB2312" w:cs="仿宋_GB2312"/>
          <w:szCs w:val="32"/>
        </w:rPr>
        <w:t>加强科技企业孵化器、众创空间和大学科技园等建设布局，完善有机硅创新中心、思科产学研创新院、新经济孵化器、星火电商众创空间等一批创新创业平台服务功能，引进一批科技含量高、创新能力强的企业入驻，推动各类孵化载体高质量发展，提升科技型企业源头培育能力，强化从创业苗圃、孵化器、加速器到园区基地的全程创业创新服务。积极组织符合条件的创客空间申报国家级、省级“企业孵化器”和“众创空间”。继续推进瞪羚企业、众创空间、科技企业孵化器的培育。促进创新与创业相结合、线上与线下相结合、孵化与投资相结合。</w:t>
      </w:r>
    </w:p>
    <w:p>
      <w:pPr>
        <w:ind w:firstLine="31680"/>
        <w:rPr>
          <w:rFonts w:ascii="仿宋_GB2312" w:hAnsi="仿宋_GB2312" w:eastAsia="仿宋_GB2312" w:cs="仿宋_GB2312"/>
        </w:rPr>
      </w:pPr>
      <w:r>
        <w:rPr>
          <w:rFonts w:hint="eastAsia" w:ascii="仿宋_GB2312" w:hAnsi="仿宋_GB2312" w:eastAsia="仿宋_GB2312" w:cs="仿宋_GB2312"/>
          <w:b/>
          <w:bCs/>
        </w:rPr>
        <w:t>布局重大创新平台。</w:t>
      </w:r>
      <w:r>
        <w:rPr>
          <w:rFonts w:hint="eastAsia" w:ascii="仿宋_GB2312" w:hAnsi="仿宋_GB2312" w:eastAsia="仿宋_GB2312" w:cs="仿宋_GB2312"/>
        </w:rPr>
        <w:t>着重围绕全县主导产业和创新优势企业，做好创新平台布局，推进创新链和产业链上各类主体协同创新，重点建设国家级科技创新平台、省级创新平台，积极搭建技术开发、试验、推广及产品设计、加工、检测等公共技术平台，加快盘活老厂房、旧仓库、闲置楼宇等资源，以“互联网</w:t>
      </w:r>
      <w:r>
        <w:rPr>
          <w:rFonts w:ascii="仿宋_GB2312" w:hAnsi="仿宋_GB2312" w:eastAsia="仿宋_GB2312" w:cs="仿宋_GB2312"/>
        </w:rPr>
        <w:t>+</w:t>
      </w:r>
      <w:r>
        <w:rPr>
          <w:rFonts w:hint="eastAsia" w:ascii="仿宋_GB2312" w:hAnsi="仿宋_GB2312" w:eastAsia="仿宋_GB2312" w:cs="仿宋_GB2312"/>
        </w:rPr>
        <w:t>技术市场”为核心，加快建设线上线下相结合的技术交易网络平台，推动一批重点企业完成新一轮高水平技术改造攻坚战。</w:t>
      </w:r>
    </w:p>
    <w:p>
      <w:pPr>
        <w:ind w:firstLine="31680"/>
        <w:rPr>
          <w:rFonts w:ascii="仿宋_GB2312" w:hAnsi="仿宋_GB2312" w:eastAsia="仿宋_GB2312" w:cs="仿宋_GB2312"/>
        </w:rPr>
      </w:pPr>
      <w:r>
        <w:rPr>
          <w:rFonts w:hint="eastAsia" w:ascii="仿宋_GB2312" w:hAnsi="仿宋_GB2312" w:eastAsia="仿宋_GB2312" w:cs="仿宋_GB2312"/>
          <w:b/>
          <w:bCs/>
        </w:rPr>
        <w:t>加快科技成果转化平台建设。</w:t>
      </w:r>
      <w:r>
        <w:rPr>
          <w:rFonts w:hint="eastAsia" w:ascii="仿宋_GB2312" w:hAnsi="仿宋_GB2312" w:eastAsia="仿宋_GB2312" w:cs="仿宋_GB2312"/>
        </w:rPr>
        <w:t>培育和引进一批科技中介机构，加强政府对中介机构的政策引导，促进科技成果转化。依托“互联网</w:t>
      </w:r>
      <w:r>
        <w:rPr>
          <w:rFonts w:ascii="仿宋_GB2312" w:hAnsi="仿宋_GB2312" w:eastAsia="仿宋_GB2312" w:cs="仿宋_GB2312"/>
        </w:rPr>
        <w:t>+</w:t>
      </w:r>
      <w:r>
        <w:rPr>
          <w:rFonts w:hint="eastAsia" w:ascii="仿宋_GB2312" w:hAnsi="仿宋_GB2312" w:eastAsia="仿宋_GB2312" w:cs="仿宋_GB2312"/>
        </w:rPr>
        <w:t>”等新技术新模式，大力发展技术扩散、成果转化、科技评估、创业投资、知识产权、法律咨询等科技中介服务，构建有机硅产品技术研发中心、质量检测中心，推动科技成果就地产业化，重点支持物联网企业加快科技成果转化，实现“线上</w:t>
      </w:r>
      <w:r>
        <w:rPr>
          <w:rFonts w:ascii="仿宋_GB2312" w:hAnsi="仿宋_GB2312" w:eastAsia="仿宋_GB2312" w:cs="仿宋_GB2312"/>
        </w:rPr>
        <w:t>+</w:t>
      </w:r>
      <w:r>
        <w:rPr>
          <w:rFonts w:hint="eastAsia" w:ascii="仿宋_GB2312" w:hAnsi="仿宋_GB2312" w:eastAsia="仿宋_GB2312" w:cs="仿宋_GB2312"/>
        </w:rPr>
        <w:t>线下”的科技成果转移转化交易模式。加强知识产权创造、运用、保护、管理，帮助企业的创新成果加速产业化，加强对科技创新活动和科技成果的法律保护，为科技创新提供有力保障。</w:t>
      </w:r>
    </w:p>
    <w:p>
      <w:pPr>
        <w:pStyle w:val="4"/>
        <w:spacing w:before="156" w:after="156"/>
      </w:pPr>
      <w:bookmarkStart w:id="19" w:name="_Toc5786"/>
      <w:r>
        <w:rPr>
          <w:rFonts w:hint="eastAsia"/>
        </w:rPr>
        <w:t>第四节</w:t>
      </w:r>
      <w:r>
        <w:t xml:space="preserve"> </w:t>
      </w:r>
      <w:r>
        <w:rPr>
          <w:rFonts w:hint="eastAsia"/>
        </w:rPr>
        <w:t>营造良好创新生态环境</w:t>
      </w:r>
      <w:bookmarkEnd w:id="19"/>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加大创新支持力度。</w:t>
      </w:r>
      <w:r>
        <w:rPr>
          <w:rFonts w:hint="eastAsia" w:ascii="仿宋_GB2312" w:hAnsi="仿宋_GB2312" w:eastAsia="仿宋_GB2312" w:cs="仿宋_GB2312"/>
          <w:szCs w:val="32"/>
        </w:rPr>
        <w:t>加快建立“投、保、贷、中介服务”一体化科技金融服务体系，健全多层次贷款风险分担机制。构建中小微科技型企业、高新技术企业、瞪羚企业、独角兽企业的成长培育机制，实施“预见独角兽计划”。加大全社会研发投入力度，健全科技型中小企业“科贷通”融资担保体系，完善中小企业信贷风险补偿制度，建立包容创新的审慎监管制度。创新投融资方式，积极探索多元化、多层次、多渠道科技投融资模式，打造覆盖企业全生命周期的科技金融服务链，对科技型企业实行政策性风险补偿。着力打造一批能够在产学研合作、科技成果转化、知识产权运用和保护等方面提供高效便捷专业化的科技服务机构。</w:t>
      </w:r>
    </w:p>
    <w:p>
      <w:pPr>
        <w:ind w:firstLine="31680"/>
      </w:pPr>
      <w:r>
        <w:rPr>
          <w:rFonts w:hint="eastAsia" w:ascii="仿宋_GB2312" w:hAnsi="仿宋_GB2312" w:eastAsia="仿宋_GB2312" w:cs="仿宋_GB2312"/>
          <w:b/>
          <w:bCs/>
        </w:rPr>
        <w:t>激发“双创”活力。</w:t>
      </w:r>
      <w:r>
        <w:rPr>
          <w:rFonts w:hint="eastAsia" w:ascii="仿宋_GB2312" w:hAnsi="仿宋_GB2312" w:eastAsia="仿宋_GB2312" w:cs="仿宋_GB2312"/>
          <w:szCs w:val="32"/>
        </w:rPr>
        <w:t>全面优化人力、技术、信息、资本等要素配置，实现创新因子有效汇聚，激发创业创新活力。利用赣江新区先行先试权限，用足用活人才科技、功能平台、绿色金</w:t>
      </w:r>
      <w:r>
        <w:rPr>
          <w:rFonts w:hint="eastAsia" w:ascii="仿宋_GB2312" w:hAnsi="仿宋_GB2312" w:eastAsia="仿宋_GB2312" w:cs="仿宋_GB2312"/>
        </w:rPr>
        <w:t>融等政策。着力推进高新技术示范园建设，加大“双创”基金辐射力，培育产业发展新动能，推进创新成果与产业紧密对接，营造科研成果从实验室走向生产线的良好生态环境。</w:t>
      </w:r>
    </w:p>
    <w:p>
      <w:pPr>
        <w:ind w:firstLine="31680"/>
      </w:pPr>
      <w:r>
        <w:br w:type="page"/>
      </w:r>
    </w:p>
    <w:p>
      <w:pPr>
        <w:pStyle w:val="3"/>
        <w:spacing w:before="156" w:after="156"/>
      </w:pPr>
      <w:bookmarkStart w:id="20" w:name="_Toc2135"/>
      <w:r>
        <w:rPr>
          <w:rFonts w:hint="eastAsia"/>
        </w:rPr>
        <w:t>第三章</w:t>
      </w:r>
      <w:r>
        <w:t xml:space="preserve"> </w:t>
      </w:r>
      <w:r>
        <w:rPr>
          <w:rFonts w:hint="eastAsia"/>
        </w:rPr>
        <w:t>构建现代化产业体系，推动县域经济再上新台阶</w:t>
      </w:r>
      <w:bookmarkEnd w:id="2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加快构建现代产业体系，重点抓好有机硅新材料、绿色建材、电子信息和高端装备、数字经济、文化旅游服务等产业，推进产业基础高级化和产业链现代化，切实发挥现代产业发展在县域经济中支撑和带动作用。</w:t>
      </w:r>
    </w:p>
    <w:p>
      <w:pPr>
        <w:pStyle w:val="4"/>
        <w:spacing w:before="156" w:after="156"/>
      </w:pPr>
      <w:bookmarkStart w:id="21" w:name="_Toc16628"/>
      <w:r>
        <w:rPr>
          <w:rFonts w:hint="eastAsia"/>
        </w:rPr>
        <w:t>第一节</w:t>
      </w:r>
      <w:r>
        <w:t xml:space="preserve"> </w:t>
      </w:r>
      <w:r>
        <w:rPr>
          <w:rFonts w:hint="eastAsia"/>
        </w:rPr>
        <w:t>塑造永修制造新优势</w:t>
      </w:r>
      <w:bookmarkEnd w:id="21"/>
    </w:p>
    <w:p>
      <w:pPr>
        <w:ind w:firstLine="31680"/>
        <w:rPr>
          <w:rFonts w:ascii="仿宋_GB2312" w:hAnsi="仿宋_GB2312" w:eastAsia="仿宋_GB2312" w:cs="仿宋_GB2312"/>
          <w:b/>
          <w:bCs/>
          <w:szCs w:val="32"/>
        </w:rPr>
      </w:pPr>
      <w:r>
        <w:rPr>
          <w:rFonts w:hint="eastAsia" w:ascii="仿宋_GB2312" w:hAnsi="仿宋_GB2312" w:eastAsia="仿宋_GB2312" w:cs="仿宋_GB2312"/>
          <w:szCs w:val="32"/>
        </w:rPr>
        <w:t>以有机硅新材料、绿色建材、电子信息和高端装备、数字经济、高端孵化器为重点，</w:t>
      </w:r>
      <w:r>
        <w:rPr>
          <w:rFonts w:hint="eastAsia" w:ascii="仿宋_GB2312" w:hAnsi="仿宋_GB2312" w:eastAsia="仿宋_GB2312" w:cs="仿宋_GB2312"/>
          <w:color w:val="000000"/>
          <w:szCs w:val="32"/>
        </w:rPr>
        <w:t>全面实施“双提升”工程，坚持招大引强、扶优扶强，全面提升制造业发展质量和效益，加快打造现代工业强县。力争</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年全县工业营业收入突破</w:t>
      </w:r>
      <w:r>
        <w:rPr>
          <w:rFonts w:ascii="仿宋_GB2312" w:hAnsi="仿宋_GB2312" w:eastAsia="仿宋_GB2312" w:cs="仿宋_GB2312"/>
          <w:color w:val="000000"/>
          <w:szCs w:val="32"/>
        </w:rPr>
        <w:t>1200</w:t>
      </w:r>
      <w:r>
        <w:rPr>
          <w:rFonts w:hint="eastAsia" w:ascii="仿宋_GB2312" w:hAnsi="仿宋_GB2312" w:eastAsia="仿宋_GB2312" w:cs="仿宋_GB2312"/>
          <w:color w:val="000000"/>
          <w:szCs w:val="32"/>
        </w:rPr>
        <w:t>亿元；工业税收力争达到</w:t>
      </w:r>
      <w:r>
        <w:rPr>
          <w:rFonts w:ascii="仿宋_GB2312" w:hAnsi="仿宋_GB2312" w:eastAsia="仿宋_GB2312" w:cs="仿宋_GB2312"/>
          <w:color w:val="000000"/>
          <w:szCs w:val="32"/>
        </w:rPr>
        <w:t>15</w:t>
      </w:r>
      <w:r>
        <w:rPr>
          <w:rFonts w:hint="eastAsia" w:ascii="仿宋_GB2312" w:hAnsi="仿宋_GB2312" w:eastAsia="仿宋_GB2312" w:cs="仿宋_GB2312"/>
          <w:color w:val="000000"/>
          <w:szCs w:val="32"/>
        </w:rPr>
        <w:t>亿元以上，力争工业总量排位进入全省十强县行列。</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大力提升产业链供应链现代化水平。</w:t>
      </w:r>
      <w:r>
        <w:rPr>
          <w:rFonts w:hint="eastAsia" w:ascii="仿宋_GB2312" w:hAnsi="仿宋_GB2312" w:eastAsia="仿宋_GB2312" w:cs="仿宋_GB2312"/>
          <w:szCs w:val="32"/>
        </w:rPr>
        <w:t>深入实施产业链链长制，推动产业链供应链长板补短板。围绕产业链集群化，积极配合中车发展汽车装备制造、绿色化工等先进特色产业集群，深入实施优质企业梯次培育行动，打造一批百亿级“新星”产业群，改造提升一批既有产业集群。培育“专精特新”中小企业，优化产业链分工协作体系。深入推进传统产业改造提升，提升小微企业园、创新服务综合体，发展智能制造、服务型制造，培育经典时尚产业。围绕供应链系统化，大力实施工业强县之基，搭建产业共性技术平台，加大智能传感器、数字安防等关键领域基础部件强弱项、补短板力度。提升产业链龙头企业核心环节能级，推动产业并购，提高全球供应链协同和配置资源能力。</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延伸拓展有机硅新材料产业。</w:t>
      </w:r>
      <w:r>
        <w:rPr>
          <w:rFonts w:hint="eastAsia" w:ascii="仿宋_GB2312" w:hAnsi="仿宋_GB2312" w:eastAsia="仿宋_GB2312" w:cs="仿宋_GB2312"/>
          <w:szCs w:val="32"/>
        </w:rPr>
        <w:t>以打造有机硅千亿产业、星火百亿企业为目标，依托有机硅产业“国家新型工业化示范基地”建设，通过强化技术工艺创新推动产业升级，做强有机硅产业规模；着力延伸产业链、保证供应链、提升价值链，推动传统产业向高端、终端方向发展，着力引进有机硅下游及终端应用企业，积极引进一批高科技、低污染、安全可靠、投资大、产出多、科技含量高的强链补链延链项目，形成龙头带动明显、协作配套紧密、创新动力强劲、平台支撑有力、生态优势突出的发展格局，实现“资源</w:t>
      </w:r>
      <w:r>
        <w:rPr>
          <w:rFonts w:ascii="仿宋_GB2312" w:hAnsi="仿宋_GB2312" w:eastAsia="仿宋_GB2312" w:cs="仿宋_GB2312"/>
          <w:szCs w:val="32"/>
        </w:rPr>
        <w:t>-</w:t>
      </w:r>
      <w:r>
        <w:rPr>
          <w:rFonts w:hint="eastAsia" w:ascii="仿宋_GB2312" w:hAnsi="仿宋_GB2312" w:eastAsia="仿宋_GB2312" w:cs="仿宋_GB2312"/>
          <w:szCs w:val="32"/>
        </w:rPr>
        <w:t>产品</w:t>
      </w:r>
      <w:r>
        <w:rPr>
          <w:rFonts w:ascii="仿宋_GB2312" w:hAnsi="仿宋_GB2312" w:eastAsia="仿宋_GB2312" w:cs="仿宋_GB2312"/>
          <w:szCs w:val="32"/>
        </w:rPr>
        <w:t>-</w:t>
      </w:r>
      <w:r>
        <w:rPr>
          <w:rFonts w:hint="eastAsia" w:ascii="仿宋_GB2312" w:hAnsi="仿宋_GB2312" w:eastAsia="仿宋_GB2312" w:cs="仿宋_GB2312"/>
          <w:szCs w:val="32"/>
        </w:rPr>
        <w:t>废弃物</w:t>
      </w:r>
      <w:r>
        <w:rPr>
          <w:rFonts w:ascii="仿宋_GB2312" w:hAnsi="仿宋_GB2312" w:eastAsia="仿宋_GB2312" w:cs="仿宋_GB2312"/>
          <w:szCs w:val="32"/>
        </w:rPr>
        <w:t>-</w:t>
      </w:r>
      <w:r>
        <w:rPr>
          <w:rFonts w:hint="eastAsia" w:ascii="仿宋_GB2312" w:hAnsi="仿宋_GB2312" w:eastAsia="仿宋_GB2312" w:cs="仿宋_GB2312"/>
          <w:szCs w:val="32"/>
        </w:rPr>
        <w:t>再生资源”的循环经济模式。重点支持江西蓝星星火有机硅有限公司、卡博特化工（江西）有限公司打造世界级企业，大力支持星火航天、新嘉懿等企业发展，成为新的增长点，打造有机硅产业集群。进一步强化企业创新主导地位，提升企业创新发展能力，积极扶持企业申报国家级检测中心、实验室，吸引国内科研院所来永修设立有机硅科研设计、创业孵化、产品检测等平台进行深度开发，加快有机硅科创园投入使用；持续推进有机硅创新研究院建设，加快机硅科技成果转化，全面开展有机硅区域品牌建设。</w:t>
      </w:r>
      <w:r>
        <w:rPr>
          <w:rFonts w:hint="eastAsia" w:ascii="仿宋_GB2312" w:hAnsi="仿宋_GB2312" w:eastAsia="仿宋_GB2312" w:cs="仿宋_GB2312"/>
          <w:color w:val="000000"/>
          <w:szCs w:val="32"/>
        </w:rPr>
        <w:t>力争把星火有机硅打造成营业收入过</w:t>
      </w:r>
      <w:r>
        <w:rPr>
          <w:rFonts w:ascii="仿宋_GB2312" w:hAnsi="仿宋_GB2312" w:eastAsia="仿宋_GB2312" w:cs="仿宋_GB2312"/>
          <w:color w:val="000000"/>
          <w:szCs w:val="32"/>
        </w:rPr>
        <w:t>100</w:t>
      </w:r>
      <w:r>
        <w:rPr>
          <w:rFonts w:hint="eastAsia" w:ascii="仿宋_GB2312" w:hAnsi="仿宋_GB2312" w:eastAsia="仿宋_GB2312" w:cs="仿宋_GB2312"/>
          <w:color w:val="000000"/>
          <w:szCs w:val="32"/>
        </w:rPr>
        <w:t>亿元、税收过</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亿元的“航母”企业。以星火有机硅科创园和有机硅创新研究院为载体，引进汽车、建筑、医用、日用化工等领域有机硅终端应用项目，打造完整有机硅产业链条。力争</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年有机硅产业规模突破</w:t>
      </w:r>
      <w:r>
        <w:rPr>
          <w:rFonts w:ascii="仿宋_GB2312" w:hAnsi="仿宋_GB2312" w:eastAsia="仿宋_GB2312" w:cs="仿宋_GB2312"/>
          <w:color w:val="000000"/>
          <w:szCs w:val="32"/>
        </w:rPr>
        <w:t>1000</w:t>
      </w:r>
      <w:r>
        <w:rPr>
          <w:rFonts w:hint="eastAsia" w:ascii="仿宋_GB2312" w:hAnsi="仿宋_GB2312" w:eastAsia="仿宋_GB2312" w:cs="仿宋_GB2312"/>
          <w:color w:val="000000"/>
          <w:szCs w:val="32"/>
        </w:rPr>
        <w:t>亿元</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做精做特绿色建材产业。</w:t>
      </w:r>
      <w:r>
        <w:rPr>
          <w:rFonts w:hint="eastAsia" w:ascii="仿宋_GB2312" w:hAnsi="仿宋_GB2312" w:eastAsia="仿宋_GB2312" w:cs="仿宋_GB2312"/>
          <w:szCs w:val="32"/>
        </w:rPr>
        <w:t>推进绿色建材产业园项目建设，加快形成以康佳新材料、立邦新型材料为核心的绿色建材产业集群。以康佳集团并购金凤凰为契机，推动江西康佳新材料科技有限公司裂变扩张，建成国内最大的第三代纳米微晶石材生产企业，重点开发人造大理石建材下游产业链。依托砂资源禀赋，加快完成吴城松门山新设矿权出让和矽沙矿码头岸线调规，形成以资源开采</w:t>
      </w:r>
      <w:r>
        <w:rPr>
          <w:rFonts w:ascii="仿宋_GB2312" w:hAnsi="仿宋_GB2312" w:eastAsia="仿宋_GB2312" w:cs="仿宋_GB2312"/>
          <w:szCs w:val="32"/>
        </w:rPr>
        <w:t>-</w:t>
      </w:r>
      <w:r>
        <w:rPr>
          <w:rFonts w:hint="eastAsia" w:ascii="仿宋_GB2312" w:hAnsi="仿宋_GB2312" w:eastAsia="仿宋_GB2312" w:cs="仿宋_GB2312"/>
          <w:szCs w:val="32"/>
        </w:rPr>
        <w:t>干粉砂浆加工</w:t>
      </w:r>
      <w:r>
        <w:rPr>
          <w:rFonts w:ascii="仿宋_GB2312" w:hAnsi="仿宋_GB2312" w:eastAsia="仿宋_GB2312" w:cs="仿宋_GB2312"/>
          <w:szCs w:val="32"/>
        </w:rPr>
        <w:t>-</w:t>
      </w:r>
      <w:r>
        <w:rPr>
          <w:rFonts w:hint="eastAsia" w:ascii="仿宋_GB2312" w:hAnsi="仿宋_GB2312" w:eastAsia="仿宋_GB2312" w:cs="仿宋_GB2312"/>
          <w:szCs w:val="32"/>
        </w:rPr>
        <w:t>特种砂浆加工</w:t>
      </w:r>
      <w:r>
        <w:rPr>
          <w:rFonts w:ascii="仿宋_GB2312" w:hAnsi="仿宋_GB2312" w:eastAsia="仿宋_GB2312" w:cs="仿宋_GB2312"/>
          <w:szCs w:val="32"/>
        </w:rPr>
        <w:t>-</w:t>
      </w:r>
      <w:r>
        <w:rPr>
          <w:rFonts w:hint="eastAsia" w:ascii="仿宋_GB2312" w:hAnsi="仿宋_GB2312" w:eastAsia="仿宋_GB2312" w:cs="仿宋_GB2312"/>
          <w:szCs w:val="32"/>
        </w:rPr>
        <w:t>产品销售</w:t>
      </w:r>
      <w:r>
        <w:rPr>
          <w:rFonts w:ascii="仿宋_GB2312" w:hAnsi="仿宋_GB2312" w:eastAsia="仿宋_GB2312" w:cs="仿宋_GB2312"/>
          <w:szCs w:val="32"/>
        </w:rPr>
        <w:t>-</w:t>
      </w:r>
      <w:r>
        <w:rPr>
          <w:rFonts w:hint="eastAsia" w:ascii="仿宋_GB2312" w:hAnsi="仿宋_GB2312" w:eastAsia="仿宋_GB2312" w:cs="仿宋_GB2312"/>
          <w:szCs w:val="32"/>
        </w:rPr>
        <w:t>终端应用为路径的特种砂浆新材料产业链，</w:t>
      </w:r>
      <w:r>
        <w:rPr>
          <w:rFonts w:hint="eastAsia" w:ascii="仿宋_GB2312" w:hAnsi="仿宋_GB2312" w:eastAsia="仿宋_GB2312" w:cs="仿宋_GB2312"/>
          <w:color w:val="000000"/>
          <w:szCs w:val="32"/>
        </w:rPr>
        <w:t>加快推进立邦新型材料、雷霞特种砂浆、东方雨虹、亚士创能、圣戈班、牛元防水等一批龙头企业，</w:t>
      </w:r>
      <w:r>
        <w:rPr>
          <w:rFonts w:hint="eastAsia" w:ascii="仿宋_GB2312" w:hAnsi="仿宋_GB2312" w:eastAsia="仿宋_GB2312" w:cs="仿宋_GB2312"/>
          <w:szCs w:val="32"/>
        </w:rPr>
        <w:t>将云山工业园打造成为百亿级绿色建材产业园</w:t>
      </w:r>
      <w:r>
        <w:rPr>
          <w:rFonts w:hint="eastAsia" w:ascii="仿宋_GB2312" w:hAnsi="仿宋_GB2312" w:eastAsia="仿宋_GB2312" w:cs="仿宋_GB2312"/>
          <w:color w:val="000000"/>
          <w:szCs w:val="32"/>
        </w:rPr>
        <w:t>。</w:t>
      </w:r>
      <w:r>
        <w:rPr>
          <w:rFonts w:hint="eastAsia" w:ascii="仿宋_GB2312" w:hAnsi="仿宋_GB2312" w:eastAsia="仿宋_GB2312" w:cs="仿宋_GB2312"/>
          <w:szCs w:val="32"/>
        </w:rPr>
        <w:t>力争到</w:t>
      </w:r>
      <w:r>
        <w:rPr>
          <w:rFonts w:ascii="仿宋_GB2312" w:hAnsi="仿宋_GB2312" w:eastAsia="仿宋_GB2312" w:cs="仿宋_GB2312"/>
          <w:szCs w:val="32"/>
        </w:rPr>
        <w:t>2025</w:t>
      </w:r>
      <w:r>
        <w:rPr>
          <w:rFonts w:hint="eastAsia" w:ascii="仿宋_GB2312" w:hAnsi="仿宋_GB2312" w:eastAsia="仿宋_GB2312" w:cs="仿宋_GB2312"/>
          <w:szCs w:val="32"/>
        </w:rPr>
        <w:t>年打造</w:t>
      </w:r>
      <w:r>
        <w:rPr>
          <w:rFonts w:ascii="仿宋_GB2312" w:hAnsi="仿宋_GB2312" w:eastAsia="仿宋_GB2312" w:cs="仿宋_GB2312"/>
          <w:szCs w:val="32"/>
        </w:rPr>
        <w:t>100</w:t>
      </w:r>
      <w:r>
        <w:rPr>
          <w:rFonts w:hint="eastAsia" w:ascii="仿宋_GB2312" w:hAnsi="仿宋_GB2312" w:eastAsia="仿宋_GB2312" w:cs="仿宋_GB2312"/>
          <w:szCs w:val="32"/>
        </w:rPr>
        <w:t>亿级绿色建材产业链和百亿级绿色建材产业园。</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做大做强电子信息和高端装备产业。</w:t>
      </w:r>
      <w:r>
        <w:rPr>
          <w:rFonts w:hint="eastAsia" w:ascii="仿宋_GB2312" w:hAnsi="仿宋_GB2312" w:eastAsia="仿宋_GB2312" w:cs="仿宋_GB2312"/>
          <w:color w:val="000000"/>
          <w:szCs w:val="32"/>
        </w:rPr>
        <w:t>以银河表计为龙头，拓展国内外市场，加快推进银河表计二期全智能化车间建设，大力引进一批关联项目，打造全省知名的电子信息产业基地。打造以中车、新松机器人为支撑的高端装备产业集群，着力引进汽车精密零部件、机器人微电机、智能终端精密配件等一批配套企业，形成从研发、生产到成品组装的全产业链，力争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年打造</w:t>
      </w:r>
      <w:r>
        <w:rPr>
          <w:rFonts w:ascii="仿宋_GB2312" w:hAnsi="仿宋_GB2312" w:eastAsia="仿宋_GB2312" w:cs="仿宋_GB2312"/>
          <w:color w:val="000000"/>
          <w:szCs w:val="32"/>
        </w:rPr>
        <w:t>100</w:t>
      </w:r>
      <w:r>
        <w:rPr>
          <w:rFonts w:hint="eastAsia" w:ascii="仿宋_GB2312" w:hAnsi="仿宋_GB2312" w:eastAsia="仿宋_GB2312" w:cs="仿宋_GB2312"/>
          <w:color w:val="000000"/>
          <w:szCs w:val="32"/>
        </w:rPr>
        <w:t>亿级的电子信息和装备产业链，打造中车智能交通产业园和新松机器人产业园</w:t>
      </w:r>
      <w:r>
        <w:rPr>
          <w:rFonts w:hint="eastAsia" w:ascii="仿宋_GB2312" w:hAnsi="仿宋_GB2312" w:eastAsia="仿宋_GB2312" w:cs="仿宋_GB231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5" w:type="dxa"/>
          </w:tcPr>
          <w:p>
            <w:pPr>
              <w:pStyle w:val="15"/>
              <w:ind w:firstLine="31680"/>
              <w:jc w:val="center"/>
              <w:rPr>
                <w:rFonts w:cs="黑体"/>
              </w:rPr>
            </w:pPr>
            <w:r>
              <w:rPr>
                <w:rFonts w:hint="eastAsia" w:cs="黑体"/>
                <w:b/>
                <w:bCs/>
              </w:rPr>
              <w:t>专栏</w:t>
            </w:r>
            <w:r>
              <w:rPr>
                <w:rFonts w:cs="黑体"/>
                <w:b/>
                <w:bCs/>
              </w:rPr>
              <w:t xml:space="preserve">3  </w:t>
            </w:r>
            <w:r>
              <w:rPr>
                <w:rFonts w:hint="eastAsia" w:cs="黑体"/>
                <w:b/>
                <w:bCs/>
              </w:rPr>
              <w:t>制造业培育重点项目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5" w:type="dxa"/>
          </w:tcPr>
          <w:p>
            <w:pPr>
              <w:pStyle w:val="15"/>
              <w:numPr>
                <w:ilvl w:val="255"/>
                <w:numId w:val="0"/>
              </w:numPr>
              <w:ind w:firstLine="482"/>
              <w:rPr>
                <w:rFonts w:cs="黑体"/>
                <w:b/>
                <w:bCs/>
              </w:rPr>
            </w:pPr>
            <w:r>
              <w:rPr>
                <w:rFonts w:hint="eastAsia" w:cs="黑体"/>
                <w:b/>
                <w:bCs/>
              </w:rPr>
              <w:t>（一）有机硅产业</w:t>
            </w:r>
          </w:p>
          <w:p>
            <w:pPr>
              <w:pStyle w:val="15"/>
              <w:numPr>
                <w:ilvl w:val="255"/>
                <w:numId w:val="0"/>
              </w:numPr>
              <w:ind w:firstLine="480"/>
              <w:rPr>
                <w:rFonts w:cs="黑体"/>
              </w:rPr>
            </w:pPr>
            <w:r>
              <w:rPr>
                <w:rFonts w:hint="eastAsia" w:cs="黑体"/>
              </w:rPr>
              <w:t>重点项目为江西蓝星星火有机硅公司</w:t>
            </w:r>
            <w:r>
              <w:rPr>
                <w:rFonts w:cs="黑体"/>
              </w:rPr>
              <w:t>20</w:t>
            </w:r>
            <w:r>
              <w:rPr>
                <w:rFonts w:hint="eastAsia" w:cs="黑体"/>
              </w:rPr>
              <w:t>万吨</w:t>
            </w:r>
            <w:r>
              <w:rPr>
                <w:rFonts w:cs="黑体"/>
              </w:rPr>
              <w:t>/</w:t>
            </w:r>
            <w:r>
              <w:rPr>
                <w:rFonts w:hint="eastAsia" w:cs="黑体"/>
              </w:rPr>
              <w:t>年有机硅单体及配套装置项目、</w:t>
            </w:r>
            <w:r>
              <w:rPr>
                <w:rFonts w:hint="eastAsia" w:cs="仿宋_GB2312"/>
                <w:color w:val="000000"/>
                <w:szCs w:val="32"/>
              </w:rPr>
              <w:t>卡博特</w:t>
            </w:r>
            <w:r>
              <w:rPr>
                <w:rFonts w:cs="仿宋_GB2312"/>
                <w:color w:val="000000"/>
                <w:szCs w:val="32"/>
              </w:rPr>
              <w:t>8000</w:t>
            </w:r>
            <w:r>
              <w:rPr>
                <w:rFonts w:hint="eastAsia" w:cs="仿宋_GB2312"/>
                <w:color w:val="000000"/>
                <w:szCs w:val="32"/>
              </w:rPr>
              <w:t>吨气相化二氧化硅扩能项目、</w:t>
            </w:r>
            <w:r>
              <w:rPr>
                <w:rFonts w:hint="eastAsia" w:cs="黑体"/>
              </w:rPr>
              <w:t>九江润禾合成材料有限公司年产</w:t>
            </w:r>
            <w:r>
              <w:rPr>
                <w:rFonts w:cs="黑体"/>
              </w:rPr>
              <w:t>3.5</w:t>
            </w:r>
            <w:r>
              <w:rPr>
                <w:rFonts w:hint="eastAsia" w:cs="黑体"/>
              </w:rPr>
              <w:t>万吨有机硅新材料及其配套产品项目、卡博特蓝星化工</w:t>
            </w:r>
            <w:r>
              <w:rPr>
                <w:rFonts w:cs="黑体"/>
              </w:rPr>
              <w:t>(</w:t>
            </w:r>
            <w:r>
              <w:rPr>
                <w:rFonts w:hint="eastAsia" w:cs="黑体"/>
              </w:rPr>
              <w:t>江西</w:t>
            </w:r>
            <w:r>
              <w:rPr>
                <w:rFonts w:cs="黑体"/>
              </w:rPr>
              <w:t>)</w:t>
            </w:r>
            <w:r>
              <w:rPr>
                <w:rFonts w:hint="eastAsia" w:cs="黑体"/>
              </w:rPr>
              <w:t>有限公司年产</w:t>
            </w:r>
            <w:r>
              <w:rPr>
                <w:rFonts w:cs="黑体"/>
              </w:rPr>
              <w:t>8000</w:t>
            </w:r>
            <w:r>
              <w:rPr>
                <w:rFonts w:hint="eastAsia" w:cs="黑体"/>
              </w:rPr>
              <w:t>吨气相二氧化硅生产装置项目。</w:t>
            </w:r>
          </w:p>
          <w:p>
            <w:pPr>
              <w:pStyle w:val="15"/>
              <w:numPr>
                <w:ilvl w:val="255"/>
                <w:numId w:val="0"/>
              </w:numPr>
              <w:ind w:firstLine="482"/>
              <w:rPr>
                <w:rFonts w:cs="黑体"/>
                <w:b/>
                <w:bCs/>
              </w:rPr>
            </w:pPr>
            <w:r>
              <w:rPr>
                <w:rFonts w:hint="eastAsia" w:cs="黑体"/>
                <w:b/>
                <w:bCs/>
              </w:rPr>
              <w:t>（二）绿色建材产业</w:t>
            </w:r>
          </w:p>
          <w:p>
            <w:pPr>
              <w:pStyle w:val="15"/>
              <w:numPr>
                <w:ilvl w:val="255"/>
                <w:numId w:val="0"/>
              </w:numPr>
              <w:ind w:firstLine="480"/>
              <w:rPr>
                <w:rFonts w:cs="黑体"/>
              </w:rPr>
            </w:pPr>
            <w:r>
              <w:rPr>
                <w:rFonts w:hint="eastAsia" w:cs="黑体"/>
              </w:rPr>
              <w:t>重点项目为立邦新型材料（江西）有限公司年产</w:t>
            </w:r>
            <w:r>
              <w:rPr>
                <w:rFonts w:cs="黑体"/>
              </w:rPr>
              <w:t>10</w:t>
            </w:r>
            <w:r>
              <w:rPr>
                <w:rFonts w:hint="eastAsia" w:cs="黑体"/>
              </w:rPr>
              <w:t>万吨新型环保仿石材涂料系列产品、</w:t>
            </w:r>
            <w:r>
              <w:rPr>
                <w:rFonts w:cs="黑体"/>
              </w:rPr>
              <w:t>150</w:t>
            </w:r>
            <w:r>
              <w:rPr>
                <w:rFonts w:hint="eastAsia" w:cs="黑体"/>
              </w:rPr>
              <w:t>万吨新型环保特种干粉粉料系列产品及以上项目配套公用工程江西非跃新型建材有限公司年产</w:t>
            </w:r>
            <w:r>
              <w:rPr>
                <w:rFonts w:cs="黑体"/>
              </w:rPr>
              <w:t>110</w:t>
            </w:r>
            <w:r>
              <w:rPr>
                <w:rFonts w:hint="eastAsia" w:cs="黑体"/>
              </w:rPr>
              <w:t>万㎡新型绿色建材项目、金幕新型材料有限公司绿色建材铝单板项目、赣江新区城建科技有限公司年产</w:t>
            </w:r>
            <w:r>
              <w:rPr>
                <w:rFonts w:cs="黑体"/>
              </w:rPr>
              <w:t>PC</w:t>
            </w:r>
            <w:r>
              <w:rPr>
                <w:rFonts w:hint="eastAsia" w:cs="黑体"/>
              </w:rPr>
              <w:t>构件</w:t>
            </w:r>
            <w:r>
              <w:rPr>
                <w:rFonts w:cs="黑体"/>
              </w:rPr>
              <w:t>30</w:t>
            </w:r>
            <w:r>
              <w:rPr>
                <w:rFonts w:hint="eastAsia" w:cs="黑体"/>
              </w:rPr>
              <w:t>万</w:t>
            </w:r>
            <w:r>
              <w:rPr>
                <w:rFonts w:cs="黑体"/>
              </w:rPr>
              <w:t>m</w:t>
            </w:r>
            <w:r>
              <w:rPr>
                <w:rFonts w:hint="eastAsia" w:cs="黑体"/>
              </w:rPr>
              <w:t>³项目、江西功诚新科技有限公司年产</w:t>
            </w:r>
            <w:r>
              <w:rPr>
                <w:rFonts w:cs="黑体"/>
              </w:rPr>
              <w:t>600</w:t>
            </w:r>
            <w:r>
              <w:rPr>
                <w:rFonts w:hint="eastAsia" w:cs="黑体"/>
              </w:rPr>
              <w:t>套施工设备、</w:t>
            </w:r>
            <w:r>
              <w:rPr>
                <w:rFonts w:cs="黑体"/>
              </w:rPr>
              <w:t>200</w:t>
            </w:r>
            <w:r>
              <w:rPr>
                <w:rFonts w:hint="eastAsia" w:cs="黑体"/>
              </w:rPr>
              <w:t>万吨地坪材料项目、年产</w:t>
            </w:r>
            <w:r>
              <w:rPr>
                <w:rFonts w:cs="黑体"/>
              </w:rPr>
              <w:t>2</w:t>
            </w:r>
            <w:r>
              <w:rPr>
                <w:rFonts w:hint="eastAsia" w:cs="黑体"/>
              </w:rPr>
              <w:t>亿块新型墙体砖建设项目。</w:t>
            </w:r>
          </w:p>
          <w:p>
            <w:pPr>
              <w:pStyle w:val="15"/>
              <w:numPr>
                <w:ilvl w:val="255"/>
                <w:numId w:val="0"/>
              </w:numPr>
              <w:ind w:firstLine="482"/>
              <w:rPr>
                <w:rFonts w:cs="黑体"/>
                <w:b/>
                <w:bCs/>
              </w:rPr>
            </w:pPr>
            <w:r>
              <w:rPr>
                <w:rFonts w:hint="eastAsia" w:cs="黑体"/>
                <w:b/>
                <w:bCs/>
              </w:rPr>
              <w:t>（三）电子信息和高端装备产业</w:t>
            </w:r>
          </w:p>
          <w:p>
            <w:pPr>
              <w:pStyle w:val="15"/>
              <w:numPr>
                <w:ilvl w:val="255"/>
                <w:numId w:val="0"/>
              </w:numPr>
              <w:rPr>
                <w:rFonts w:cs="黑体"/>
              </w:rPr>
            </w:pPr>
            <w:r>
              <w:rPr>
                <w:rFonts w:cs="黑体"/>
                <w:b/>
                <w:bCs/>
                <w:color w:val="0000FF"/>
              </w:rPr>
              <w:t xml:space="preserve">   </w:t>
            </w:r>
            <w:r>
              <w:rPr>
                <w:rFonts w:cs="黑体"/>
              </w:rPr>
              <w:t xml:space="preserve"> </w:t>
            </w:r>
            <w:r>
              <w:rPr>
                <w:rFonts w:hint="eastAsia" w:cs="黑体"/>
              </w:rPr>
              <w:t>重点项目为中车智能交通产业园项目、江西申航汽车零部件锻造有限公司</w:t>
            </w:r>
            <w:r>
              <w:rPr>
                <w:rFonts w:cs="黑体"/>
              </w:rPr>
              <w:t>150</w:t>
            </w:r>
            <w:r>
              <w:rPr>
                <w:rFonts w:hint="eastAsia" w:cs="黑体"/>
              </w:rPr>
              <w:t>万件花键轴等生产项目、昂展机械设备有限公司汽车配件冲压件、焊装件项目。</w:t>
            </w:r>
          </w:p>
        </w:tc>
      </w:tr>
    </w:tbl>
    <w:p>
      <w:pPr>
        <w:pStyle w:val="4"/>
        <w:spacing w:before="156" w:after="156"/>
      </w:pPr>
      <w:bookmarkStart w:id="22" w:name="_Toc23122"/>
      <w:r>
        <w:rPr>
          <w:rFonts w:hint="eastAsia"/>
        </w:rPr>
        <w:t>第二节</w:t>
      </w:r>
      <w:r>
        <w:t xml:space="preserve"> </w:t>
      </w:r>
      <w:r>
        <w:rPr>
          <w:rFonts w:hint="eastAsia"/>
        </w:rPr>
        <w:t>全面实施数字经济“一号工程”</w:t>
      </w:r>
      <w:bookmarkEnd w:id="22"/>
    </w:p>
    <w:p>
      <w:pPr>
        <w:ind w:firstLine="31680"/>
        <w:rPr>
          <w:rFonts w:ascii="仿宋_GB2312" w:hAnsi="仿宋_GB2312" w:eastAsia="仿宋_GB2312" w:cs="仿宋_GB2312"/>
          <w:bCs/>
          <w:szCs w:val="32"/>
        </w:rPr>
      </w:pPr>
      <w:r>
        <w:rPr>
          <w:rFonts w:hint="eastAsia" w:ascii="仿宋_GB2312" w:hAnsi="仿宋_GB2312" w:eastAsia="仿宋_GB2312" w:cs="仿宋_GB2312"/>
          <w:b/>
          <w:bCs/>
          <w:szCs w:val="32"/>
        </w:rPr>
        <w:t>培育数字产业化。</w:t>
      </w:r>
      <w:r>
        <w:rPr>
          <w:rFonts w:hint="eastAsia" w:ascii="仿宋_GB2312" w:hAnsi="仿宋_GB2312" w:eastAsia="仿宋_GB2312" w:cs="仿宋_GB2312"/>
          <w:bCs/>
          <w:szCs w:val="32"/>
        </w:rPr>
        <w:t>加快永修大数据中心建设，积极争取北斗数据中心江西分中心落户我县。依托思科产学研创新孵化中心、新经济孵化器、星火众创空间、云硅电子商务公司等平台，构建工业互联网服务体系，壮大县域互联网数字经济新动能。统筹推进</w:t>
      </w:r>
      <w:r>
        <w:rPr>
          <w:rFonts w:ascii="仿宋_GB2312" w:hAnsi="仿宋_GB2312" w:eastAsia="仿宋_GB2312" w:cs="仿宋_GB2312"/>
          <w:bCs/>
          <w:szCs w:val="32"/>
        </w:rPr>
        <w:t>5G</w:t>
      </w:r>
      <w:r>
        <w:rPr>
          <w:rFonts w:hint="eastAsia" w:ascii="仿宋_GB2312" w:hAnsi="仿宋_GB2312" w:eastAsia="仿宋_GB2312" w:cs="仿宋_GB2312"/>
          <w:bCs/>
          <w:szCs w:val="32"/>
        </w:rPr>
        <w:t>网络、千兆光纤、大数据中心等新型基础设施建设，推动新一代宽带无线移动通信网国家科技重大专项成果在永修转化，支持思科产学研创新孵化中心建设“江西省物联网公共支撑平台”。提升数字产业能级，全力引进数字经济、智造经济、绿色经济和共享经济等科技型中小微企业，加快布局移动智能终端产业生态，重点发展以大数据、云计算、区块链为先导的软件和信息服务业，大力发展芯片、传感器、无线模组、系统集成、运营服务等物联网核心产业培育发展新动能。加强</w:t>
      </w:r>
      <w:r>
        <w:rPr>
          <w:rFonts w:ascii="仿宋_GB2312" w:hAnsi="仿宋_GB2312" w:eastAsia="仿宋_GB2312" w:cs="仿宋_GB2312"/>
          <w:bCs/>
          <w:szCs w:val="32"/>
        </w:rPr>
        <w:t>VR</w:t>
      </w:r>
      <w:r>
        <w:rPr>
          <w:rFonts w:hint="eastAsia" w:ascii="仿宋_GB2312" w:hAnsi="仿宋_GB2312" w:eastAsia="仿宋_GB2312" w:cs="仿宋_GB2312"/>
          <w:bCs/>
          <w:szCs w:val="32"/>
        </w:rPr>
        <w:t>在文化旅游、教育、智慧工程等领域的应用，培育大数据规划师、算法工程师、程序设计师等队伍，形成大数据产品、解决方案和服务应用，支持高端工业软件、新型工业</w:t>
      </w:r>
      <w:r>
        <w:rPr>
          <w:rFonts w:ascii="仿宋_GB2312" w:hAnsi="仿宋_GB2312" w:eastAsia="仿宋_GB2312" w:cs="仿宋_GB2312"/>
          <w:bCs/>
          <w:szCs w:val="32"/>
        </w:rPr>
        <w:t>APP</w:t>
      </w:r>
      <w:r>
        <w:rPr>
          <w:rFonts w:hint="eastAsia" w:ascii="仿宋_GB2312" w:hAnsi="仿宋_GB2312" w:eastAsia="仿宋_GB2312" w:cs="仿宋_GB2312"/>
          <w:bCs/>
          <w:szCs w:val="32"/>
        </w:rPr>
        <w:t>研发和应用。加快培育基于互联网、物联网、大数据、云计算的在线娱乐、消费、社交、咨询等新兴服务业态，推动信息消费，鼓励数据依法合理有效开发利用和保护。</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6" w:type="dxa"/>
          </w:tcPr>
          <w:p>
            <w:pPr>
              <w:pStyle w:val="15"/>
              <w:ind w:firstLine="0" w:firstLineChars="0"/>
              <w:jc w:val="center"/>
              <w:rPr>
                <w:rFonts w:cs="黑体"/>
              </w:rPr>
            </w:pPr>
            <w:r>
              <w:rPr>
                <w:rFonts w:hint="eastAsia" w:cs="黑体"/>
                <w:b/>
                <w:bCs/>
              </w:rPr>
              <w:t>专栏</w:t>
            </w:r>
            <w:r>
              <w:rPr>
                <w:rFonts w:cs="黑体"/>
                <w:b/>
                <w:bCs/>
              </w:rPr>
              <w:t xml:space="preserve">4  </w:t>
            </w:r>
            <w:r>
              <w:rPr>
                <w:rFonts w:hint="eastAsia" w:cs="黑体"/>
                <w:b/>
                <w:bCs/>
              </w:rPr>
              <w:t>数字产业化培育工程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6" w:type="dxa"/>
          </w:tcPr>
          <w:p>
            <w:pPr>
              <w:pStyle w:val="15"/>
              <w:ind w:firstLine="31680"/>
              <w:rPr>
                <w:rFonts w:cs="黑体"/>
                <w:b/>
                <w:bCs/>
              </w:rPr>
            </w:pPr>
            <w:r>
              <w:rPr>
                <w:rFonts w:hint="eastAsia" w:cs="黑体"/>
                <w:b/>
                <w:bCs/>
              </w:rPr>
              <w:t>（一）人工智能产业培育工程</w:t>
            </w:r>
          </w:p>
          <w:p>
            <w:pPr>
              <w:pStyle w:val="15"/>
              <w:ind w:firstLine="31680"/>
              <w:rPr>
                <w:rFonts w:cs="黑体"/>
              </w:rPr>
            </w:pPr>
            <w:r>
              <w:rPr>
                <w:rFonts w:hint="eastAsia" w:cs="黑体"/>
              </w:rPr>
              <w:t>加快推进新松智能制造产业园项目建设，建设智能制造研发创新公共服务平台、智能制造联合研究院、机器人应用研发创新基地、机器人应用示范基地一期、机器人装备生产基地一期以及智能制造产业基地一期。到</w:t>
            </w:r>
            <w:r>
              <w:rPr>
                <w:rFonts w:cs="黑体"/>
              </w:rPr>
              <w:t>2025</w:t>
            </w:r>
            <w:r>
              <w:rPr>
                <w:rFonts w:hint="eastAsia" w:cs="黑体"/>
              </w:rPr>
              <w:t>年底，引进关联企业</w:t>
            </w:r>
            <w:r>
              <w:rPr>
                <w:rFonts w:cs="黑体"/>
              </w:rPr>
              <w:t>5</w:t>
            </w:r>
            <w:r>
              <w:rPr>
                <w:rFonts w:hint="eastAsia" w:cs="黑体"/>
              </w:rPr>
              <w:t>家，全县人工智能相关产业营业收入突破</w:t>
            </w:r>
            <w:r>
              <w:rPr>
                <w:rFonts w:cs="黑体"/>
              </w:rPr>
              <w:t>50</w:t>
            </w:r>
            <w:r>
              <w:rPr>
                <w:rFonts w:hint="eastAsia" w:cs="黑体"/>
              </w:rPr>
              <w:t>亿元。</w:t>
            </w:r>
          </w:p>
          <w:p>
            <w:pPr>
              <w:pStyle w:val="15"/>
              <w:ind w:firstLine="31680"/>
              <w:rPr>
                <w:rFonts w:cs="黑体"/>
                <w:b/>
                <w:bCs/>
              </w:rPr>
            </w:pPr>
            <w:r>
              <w:rPr>
                <w:rFonts w:hint="eastAsia" w:cs="黑体"/>
                <w:b/>
                <w:bCs/>
              </w:rPr>
              <w:t>（二）大数据与物联网产业培育工程</w:t>
            </w:r>
          </w:p>
          <w:p>
            <w:pPr>
              <w:pStyle w:val="15"/>
              <w:ind w:firstLine="31680"/>
              <w:rPr>
                <w:rFonts w:cs="黑体"/>
              </w:rPr>
            </w:pPr>
            <w:r>
              <w:rPr>
                <w:rFonts w:hint="eastAsia" w:cs="黑体"/>
              </w:rPr>
              <w:t>支持构建</w:t>
            </w:r>
            <w:r>
              <w:rPr>
                <w:rFonts w:cs="黑体"/>
              </w:rPr>
              <w:t>5G</w:t>
            </w:r>
            <w:r>
              <w:rPr>
                <w:rFonts w:hint="eastAsia" w:cs="黑体"/>
              </w:rPr>
              <w:t>产业孵化器，依托现有条件引导企业发展分享经济，打造分享经济新模式，坚持培育和引进相结合，着力打造大数据和物联网在智能物流、智慧旅游、生态环保、交通出行、健康教育等领域的应用。到</w:t>
            </w:r>
            <w:r>
              <w:rPr>
                <w:rFonts w:cs="黑体"/>
              </w:rPr>
              <w:t>2025</w:t>
            </w:r>
            <w:r>
              <w:rPr>
                <w:rFonts w:hint="eastAsia" w:cs="黑体"/>
              </w:rPr>
              <w:t>年底，引进优质</w:t>
            </w:r>
            <w:r>
              <w:rPr>
                <w:rFonts w:cs="黑体"/>
              </w:rPr>
              <w:t>5G</w:t>
            </w:r>
            <w:r>
              <w:rPr>
                <w:rFonts w:hint="eastAsia" w:cs="黑体"/>
              </w:rPr>
              <w:t>企业</w:t>
            </w:r>
            <w:r>
              <w:rPr>
                <w:rFonts w:cs="黑体"/>
              </w:rPr>
              <w:t>10</w:t>
            </w:r>
            <w:r>
              <w:rPr>
                <w:rFonts w:hint="eastAsia" w:cs="黑体"/>
              </w:rPr>
              <w:t>家以上。</w:t>
            </w:r>
          </w:p>
          <w:p>
            <w:pPr>
              <w:pStyle w:val="15"/>
              <w:ind w:firstLine="31680"/>
              <w:rPr>
                <w:rFonts w:cs="黑体"/>
                <w:b/>
                <w:bCs/>
              </w:rPr>
            </w:pPr>
            <w:r>
              <w:rPr>
                <w:rFonts w:hint="eastAsia" w:cs="黑体"/>
                <w:b/>
                <w:bCs/>
              </w:rPr>
              <w:t>（三）电子信息制造产业培育工程</w:t>
            </w:r>
          </w:p>
          <w:p>
            <w:pPr>
              <w:pStyle w:val="15"/>
              <w:ind w:firstLine="31680"/>
              <w:rPr>
                <w:rFonts w:cs="黑体"/>
              </w:rPr>
            </w:pPr>
            <w:r>
              <w:rPr>
                <w:rFonts w:hint="eastAsia" w:cs="黑体"/>
              </w:rPr>
              <w:t>着力引进汽车零部件、机器人微电机、智能电表等一批配套企业，致力扶持中车智能交通产业园。以银河表计为龙头，拓展国内外市场，推进中城通达新能源物流车、银河表计智能化电表生产线等项目建设，培育县域经济增长新动力，打造全省知名的电子信息产业基地。到</w:t>
            </w:r>
            <w:r>
              <w:rPr>
                <w:rFonts w:cs="黑体"/>
              </w:rPr>
              <w:t>2025</w:t>
            </w:r>
            <w:r>
              <w:rPr>
                <w:rFonts w:hint="eastAsia" w:cs="黑体"/>
              </w:rPr>
              <w:t>年底，电子信息制造产业及相关营业收入突破</w:t>
            </w:r>
            <w:r>
              <w:rPr>
                <w:rFonts w:cs="黑体"/>
              </w:rPr>
              <w:t>100</w:t>
            </w:r>
            <w:r>
              <w:rPr>
                <w:rFonts w:hint="eastAsia" w:cs="黑体"/>
              </w:rPr>
              <w:t>亿元。</w:t>
            </w:r>
          </w:p>
          <w:p>
            <w:pPr>
              <w:pStyle w:val="15"/>
              <w:ind w:firstLine="31680"/>
              <w:rPr>
                <w:rFonts w:cs="黑体"/>
                <w:b/>
                <w:bCs/>
              </w:rPr>
            </w:pPr>
            <w:r>
              <w:rPr>
                <w:rFonts w:hint="eastAsia" w:cs="黑体"/>
                <w:b/>
                <w:bCs/>
              </w:rPr>
              <w:t>（五）软件服务业培育工程</w:t>
            </w:r>
          </w:p>
          <w:p>
            <w:pPr>
              <w:pStyle w:val="15"/>
              <w:ind w:firstLine="31680"/>
              <w:rPr>
                <w:rFonts w:cs="黑体"/>
              </w:rPr>
            </w:pPr>
            <w:r>
              <w:rPr>
                <w:rFonts w:hint="eastAsia" w:cs="黑体"/>
              </w:rPr>
              <w:t>加快研发基础软件、应用软件、工业软件等软件产品，强化高端软件服务供给能力，大力发展信息系统集成，提高信息技术咨询应用、开发设计等增值服务。</w:t>
            </w:r>
          </w:p>
          <w:p>
            <w:pPr>
              <w:pStyle w:val="15"/>
              <w:ind w:firstLine="31680"/>
              <w:rPr>
                <w:rFonts w:cs="黑体"/>
                <w:b/>
                <w:bCs/>
              </w:rPr>
            </w:pPr>
            <w:r>
              <w:rPr>
                <w:rFonts w:hint="eastAsia" w:cs="黑体"/>
                <w:b/>
                <w:bCs/>
              </w:rPr>
              <w:t>（六）区块链产业培育工程</w:t>
            </w:r>
          </w:p>
          <w:p>
            <w:pPr>
              <w:pStyle w:val="15"/>
              <w:ind w:firstLine="31680"/>
              <w:rPr>
                <w:rFonts w:cs="黑体"/>
              </w:rPr>
            </w:pPr>
            <w:r>
              <w:rPr>
                <w:rFonts w:hint="eastAsia" w:cs="黑体"/>
              </w:rPr>
              <w:t>推动吴城候鸟小镇项目、中华农禅第一山等区块链产业园试点，推进区块链技术在金融、教育、医疗、农业、社区、公共服务等领域的应用，加强与国内区块链领先企业合作。到</w:t>
            </w:r>
            <w:r>
              <w:rPr>
                <w:rFonts w:cs="黑体"/>
              </w:rPr>
              <w:t>2025</w:t>
            </w:r>
            <w:r>
              <w:rPr>
                <w:rFonts w:hint="eastAsia" w:cs="黑体"/>
              </w:rPr>
              <w:t>年底，打造若干公共服务领域的区块链应用场景。</w:t>
            </w:r>
          </w:p>
        </w:tc>
      </w:tr>
    </w:tbl>
    <w:p>
      <w:pPr>
        <w:ind w:firstLine="31680"/>
        <w:rPr>
          <w:rFonts w:ascii="仿宋_GB2312" w:hAnsi="仿宋_GB2312" w:eastAsia="仿宋_GB2312" w:cs="仿宋_GB2312"/>
          <w:bCs/>
          <w:szCs w:val="32"/>
        </w:rPr>
      </w:pPr>
      <w:r>
        <w:rPr>
          <w:rFonts w:hint="eastAsia" w:ascii="仿宋_GB2312" w:hAnsi="仿宋_GB2312" w:eastAsia="仿宋_GB2312" w:cs="仿宋_GB2312"/>
          <w:b/>
          <w:bCs/>
          <w:szCs w:val="32"/>
        </w:rPr>
        <w:t>推进产业数字化。</w:t>
      </w:r>
      <w:r>
        <w:rPr>
          <w:rFonts w:hint="eastAsia" w:ascii="仿宋_GB2312" w:hAnsi="仿宋_GB2312" w:eastAsia="仿宋_GB2312" w:cs="仿宋_GB2312"/>
          <w:bCs/>
          <w:szCs w:val="32"/>
        </w:rPr>
        <w:t>深化“互联网</w:t>
      </w:r>
      <w:r>
        <w:rPr>
          <w:rFonts w:ascii="仿宋_GB2312" w:hAnsi="仿宋_GB2312" w:eastAsia="仿宋_GB2312" w:cs="仿宋_GB2312"/>
          <w:bCs/>
          <w:szCs w:val="32"/>
        </w:rPr>
        <w:t>+</w:t>
      </w:r>
      <w:r>
        <w:rPr>
          <w:rFonts w:hint="eastAsia" w:ascii="仿宋_GB2312" w:hAnsi="仿宋_GB2312" w:eastAsia="仿宋_GB2312" w:cs="仿宋_GB2312"/>
          <w:bCs/>
          <w:szCs w:val="32"/>
        </w:rPr>
        <w:t>制造业”，大力推进物联网、大数据、人工智能、区块链等数字技术与制造技术深度融合应用，建设一批智能制造单元、智能生产线、数字化车间、智能工厂，推动永修有机硅、绿色建材、电子信息和装备等制造业加速向数字化、网络化、智能化转型。积极推进电子商务进农村示范县项目，将我县打造成电子商务产业强县。加快实施“互联网</w:t>
      </w:r>
      <w:r>
        <w:rPr>
          <w:rFonts w:ascii="仿宋_GB2312" w:hAnsi="仿宋_GB2312" w:eastAsia="仿宋_GB2312" w:cs="仿宋_GB2312"/>
          <w:bCs/>
          <w:szCs w:val="32"/>
        </w:rPr>
        <w:t>+</w:t>
      </w:r>
      <w:r>
        <w:rPr>
          <w:rFonts w:hint="eastAsia" w:ascii="仿宋_GB2312" w:hAnsi="仿宋_GB2312" w:eastAsia="仿宋_GB2312" w:cs="仿宋_GB2312"/>
          <w:bCs/>
          <w:szCs w:val="32"/>
        </w:rPr>
        <w:t>”现代农业行动，加快推动大数据、云计算、物联网、移动互联、遥感等数字技术在农业中应用，加快发展设施农业、精准农业和智慧农业。推进服务业与数字技术深度融合，推动传统商贸企业实现数字化升级，建立电子商务产业集聚区，大力推进新零售、跨境电子商务新业态发展。深化新一代信息技术在各类产业园区、孵化基地、小微园区中的应用，提升园区管理数字化水平和公共服务能力。依托魅丝蔻、拜尔、亮朵等电商产业园项目，推动电子商务服务体系建设及平台建设，积极培育“网红经济”“流量经济”。力争到</w:t>
      </w:r>
      <w:r>
        <w:rPr>
          <w:rFonts w:ascii="仿宋_GB2312" w:hAnsi="仿宋_GB2312" w:eastAsia="仿宋_GB2312" w:cs="仿宋_GB2312"/>
          <w:bCs/>
          <w:szCs w:val="32"/>
        </w:rPr>
        <w:t>2025</w:t>
      </w:r>
      <w:r>
        <w:rPr>
          <w:rFonts w:hint="eastAsia" w:ascii="仿宋_GB2312" w:hAnsi="仿宋_GB2312" w:eastAsia="仿宋_GB2312" w:cs="仿宋_GB2312"/>
          <w:bCs/>
          <w:szCs w:val="32"/>
        </w:rPr>
        <w:t>年引进大数据、电子商务、物联网、</w:t>
      </w:r>
      <w:r>
        <w:rPr>
          <w:rFonts w:ascii="仿宋_GB2312" w:hAnsi="仿宋_GB2312" w:eastAsia="仿宋_GB2312" w:cs="仿宋_GB2312"/>
          <w:bCs/>
          <w:szCs w:val="32"/>
        </w:rPr>
        <w:t>5G</w:t>
      </w:r>
      <w:r>
        <w:rPr>
          <w:rFonts w:hint="eastAsia" w:ascii="仿宋_GB2312" w:hAnsi="仿宋_GB2312" w:eastAsia="仿宋_GB2312" w:cs="仿宋_GB2312"/>
          <w:bCs/>
          <w:szCs w:val="32"/>
        </w:rPr>
        <w:t>、人工智能等数字产业项目</w:t>
      </w:r>
      <w:r>
        <w:rPr>
          <w:rFonts w:ascii="仿宋_GB2312" w:hAnsi="仿宋_GB2312" w:eastAsia="仿宋_GB2312" w:cs="仿宋_GB2312"/>
          <w:bCs/>
          <w:szCs w:val="32"/>
        </w:rPr>
        <w:t>20</w:t>
      </w:r>
      <w:r>
        <w:rPr>
          <w:rFonts w:hint="eastAsia" w:ascii="仿宋_GB2312" w:hAnsi="仿宋_GB2312" w:eastAsia="仿宋_GB2312" w:cs="仿宋_GB2312"/>
          <w:bCs/>
          <w:szCs w:val="32"/>
        </w:rPr>
        <w:t>家以上，打造</w:t>
      </w:r>
      <w:r>
        <w:rPr>
          <w:rFonts w:ascii="仿宋_GB2312" w:hAnsi="仿宋_GB2312" w:eastAsia="仿宋_GB2312" w:cs="仿宋_GB2312"/>
          <w:bCs/>
          <w:szCs w:val="32"/>
        </w:rPr>
        <w:t>100</w:t>
      </w:r>
      <w:r>
        <w:rPr>
          <w:rFonts w:hint="eastAsia" w:ascii="仿宋_GB2312" w:hAnsi="仿宋_GB2312" w:eastAsia="仿宋_GB2312" w:cs="仿宋_GB2312"/>
          <w:bCs/>
          <w:szCs w:val="32"/>
        </w:rPr>
        <w:t>亿级的数字化经济产业链。</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Pr>
          <w:p>
            <w:pPr>
              <w:pStyle w:val="15"/>
              <w:ind w:firstLine="0" w:firstLineChars="0"/>
              <w:jc w:val="center"/>
              <w:rPr>
                <w:rFonts w:cs="黑体"/>
              </w:rPr>
            </w:pPr>
            <w:r>
              <w:rPr>
                <w:rFonts w:hint="eastAsia" w:cs="黑体"/>
                <w:b/>
                <w:bCs/>
              </w:rPr>
              <w:t>专栏</w:t>
            </w:r>
            <w:r>
              <w:rPr>
                <w:rFonts w:cs="黑体"/>
                <w:b/>
                <w:bCs/>
              </w:rPr>
              <w:t xml:space="preserve">5  </w:t>
            </w:r>
            <w:r>
              <w:rPr>
                <w:rFonts w:hint="eastAsia" w:cs="黑体"/>
                <w:b/>
                <w:bCs/>
              </w:rPr>
              <w:t>产业数字化转型工程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Pr>
          <w:p>
            <w:pPr>
              <w:pStyle w:val="15"/>
              <w:ind w:firstLine="31680"/>
              <w:rPr>
                <w:rFonts w:cs="黑体"/>
                <w:b/>
                <w:bCs/>
              </w:rPr>
            </w:pPr>
            <w:r>
              <w:rPr>
                <w:rFonts w:hint="eastAsia" w:cs="黑体"/>
                <w:b/>
                <w:bCs/>
              </w:rPr>
              <w:t>（一）智能制造升级工程</w:t>
            </w:r>
          </w:p>
          <w:p>
            <w:pPr>
              <w:pStyle w:val="15"/>
              <w:ind w:firstLine="31680"/>
              <w:rPr>
                <w:rFonts w:cs="黑体"/>
              </w:rPr>
            </w:pPr>
            <w:r>
              <w:rPr>
                <w:rFonts w:hint="eastAsia" w:cs="黑体"/>
              </w:rPr>
              <w:t>依托千亿级星火有机硅产业，引进一批高科技、低污染、安全可靠的上下游企业，实施智能制造升级工程，积极推广应用智能制造新模式，促进人工智能、大数据与制造业的深度融合，积极培育一批智能制造标杆企业，建设一批智能车间，引进一批装备制造企业，打造高水平智能制造产业园。到</w:t>
            </w:r>
            <w:r>
              <w:rPr>
                <w:rFonts w:cs="黑体"/>
              </w:rPr>
              <w:t>2025</w:t>
            </w:r>
            <w:r>
              <w:rPr>
                <w:rFonts w:hint="eastAsia" w:cs="黑体"/>
              </w:rPr>
              <w:t>年，培育国家智能制造示范企业</w:t>
            </w:r>
            <w:r>
              <w:rPr>
                <w:rFonts w:cs="黑体"/>
              </w:rPr>
              <w:t>2</w:t>
            </w:r>
            <w:r>
              <w:rPr>
                <w:rFonts w:hint="eastAsia" w:cs="黑体"/>
              </w:rPr>
              <w:t>户以上，省级智能制造示范企业达</w:t>
            </w:r>
            <w:r>
              <w:rPr>
                <w:rFonts w:cs="黑体"/>
              </w:rPr>
              <w:t>8</w:t>
            </w:r>
            <w:r>
              <w:rPr>
                <w:rFonts w:hint="eastAsia" w:cs="黑体"/>
              </w:rPr>
              <w:t>户以上；国家级“两化融合”贯标企业</w:t>
            </w:r>
            <w:r>
              <w:rPr>
                <w:rFonts w:cs="黑体"/>
              </w:rPr>
              <w:t>5</w:t>
            </w:r>
            <w:r>
              <w:rPr>
                <w:rFonts w:hint="eastAsia" w:cs="黑体"/>
              </w:rPr>
              <w:t>户以上，省级“两化融合”示范企业达</w:t>
            </w:r>
            <w:r>
              <w:rPr>
                <w:rFonts w:cs="黑体"/>
              </w:rPr>
              <w:t>10</w:t>
            </w:r>
            <w:r>
              <w:rPr>
                <w:rFonts w:hint="eastAsia" w:cs="黑体"/>
              </w:rPr>
              <w:t>户以上；规模以上工业企业全部上云。</w:t>
            </w:r>
          </w:p>
          <w:p>
            <w:pPr>
              <w:pStyle w:val="15"/>
              <w:ind w:firstLine="31680"/>
              <w:rPr>
                <w:rFonts w:cs="黑体"/>
                <w:b/>
                <w:bCs/>
              </w:rPr>
            </w:pPr>
            <w:r>
              <w:rPr>
                <w:rFonts w:hint="eastAsia" w:cs="黑体"/>
                <w:b/>
                <w:bCs/>
              </w:rPr>
              <w:t>（二）数字农业示范工程</w:t>
            </w:r>
          </w:p>
          <w:p>
            <w:pPr>
              <w:pStyle w:val="15"/>
              <w:ind w:firstLine="31680"/>
              <w:rPr>
                <w:rFonts w:cs="黑体"/>
              </w:rPr>
            </w:pPr>
            <w:r>
              <w:rPr>
                <w:rFonts w:hint="eastAsia" w:cs="黑体"/>
              </w:rPr>
              <w:t>发展数字田园、智慧种殖、智能农机，开展农业物联网应用示范村和农业物联网应用示范基地建设，全面推进村级益农信息社建设，加强智慧农业技术与装备研发，建设基于卫星遥感、航空无人机、田间观测一体化的农业遥感应用体系。推动云山国家现代农业产业园建设项目、恒丰现代农业产业园项目、云山集团果林公司罗殿农场现代农业示范园项目建设，到</w:t>
            </w:r>
            <w:r>
              <w:rPr>
                <w:rFonts w:cs="黑体"/>
              </w:rPr>
              <w:t>2025</w:t>
            </w:r>
            <w:r>
              <w:rPr>
                <w:rFonts w:hint="eastAsia" w:cs="黑体"/>
              </w:rPr>
              <w:t>年，建成服务全县“三农”的智慧农业服务体系。</w:t>
            </w:r>
          </w:p>
          <w:p>
            <w:pPr>
              <w:pStyle w:val="15"/>
              <w:ind w:firstLine="31680"/>
              <w:rPr>
                <w:rFonts w:cs="黑体"/>
                <w:b/>
                <w:bCs/>
              </w:rPr>
            </w:pPr>
            <w:r>
              <w:rPr>
                <w:rFonts w:hint="eastAsia" w:cs="黑体"/>
                <w:b/>
                <w:bCs/>
              </w:rPr>
              <w:t>（三）智能物流工程</w:t>
            </w:r>
          </w:p>
          <w:p>
            <w:pPr>
              <w:pStyle w:val="15"/>
              <w:ind w:firstLine="31680"/>
              <w:rPr>
                <w:rFonts w:cs="黑体"/>
              </w:rPr>
            </w:pPr>
            <w:r>
              <w:rPr>
                <w:rFonts w:hint="eastAsia" w:cs="黑体"/>
              </w:rPr>
              <w:t>建设物流大数据中心、推动跨运输方式、跨部门、跨区域信息共享。推进智慧物流、无人机物流等试点示范建设，加快构建智能仓储、智能物流建设，深化乡村邮政和快递网点普及，加快建成一批智慧物流配送中心。</w:t>
            </w:r>
          </w:p>
          <w:p>
            <w:pPr>
              <w:pStyle w:val="15"/>
              <w:ind w:firstLine="31680"/>
              <w:rPr>
                <w:rFonts w:cs="黑体"/>
                <w:b/>
                <w:bCs/>
              </w:rPr>
            </w:pPr>
            <w:r>
              <w:rPr>
                <w:rFonts w:hint="eastAsia" w:cs="黑体"/>
                <w:b/>
                <w:bCs/>
              </w:rPr>
              <w:t>（四）智慧旅游工程</w:t>
            </w:r>
          </w:p>
          <w:p>
            <w:pPr>
              <w:pStyle w:val="15"/>
              <w:ind w:firstLine="31680"/>
              <w:rPr>
                <w:rFonts w:cs="黑体"/>
              </w:rPr>
            </w:pPr>
            <w:r>
              <w:rPr>
                <w:rFonts w:hint="eastAsia" w:cs="黑体"/>
              </w:rPr>
              <w:t>推动商业、文化、旅游公共资源整合共享和应用，完成“一部手机游永修”运营平台建设，推广智能化应用，实现景区数字化管理。到</w:t>
            </w:r>
            <w:r>
              <w:rPr>
                <w:rFonts w:cs="黑体"/>
              </w:rPr>
              <w:t>2025</w:t>
            </w:r>
            <w:r>
              <w:rPr>
                <w:rFonts w:hint="eastAsia" w:cs="黑体"/>
              </w:rPr>
              <w:t>年，力争创建</w:t>
            </w:r>
            <w:r>
              <w:rPr>
                <w:rFonts w:cs="黑体"/>
              </w:rPr>
              <w:t>3A</w:t>
            </w:r>
            <w:r>
              <w:rPr>
                <w:rFonts w:hint="eastAsia" w:cs="黑体"/>
              </w:rPr>
              <w:t>级乡村旅游示范点</w:t>
            </w:r>
            <w:r>
              <w:rPr>
                <w:rFonts w:cs="黑体"/>
              </w:rPr>
              <w:t>10</w:t>
            </w:r>
            <w:r>
              <w:rPr>
                <w:rFonts w:hint="eastAsia" w:cs="黑体"/>
              </w:rPr>
              <w:t>家、</w:t>
            </w:r>
            <w:r>
              <w:rPr>
                <w:rFonts w:cs="黑体"/>
              </w:rPr>
              <w:t>4A</w:t>
            </w:r>
            <w:r>
              <w:rPr>
                <w:rFonts w:hint="eastAsia" w:cs="黑体"/>
              </w:rPr>
              <w:t>级乡村旅游示范点</w:t>
            </w:r>
            <w:r>
              <w:rPr>
                <w:rFonts w:cs="黑体"/>
              </w:rPr>
              <w:t>3</w:t>
            </w:r>
            <w:r>
              <w:rPr>
                <w:rFonts w:hint="eastAsia" w:cs="黑体"/>
              </w:rPr>
              <w:t>家，实现全县所有乡镇乡村旅游点全覆盖。</w:t>
            </w:r>
          </w:p>
          <w:p>
            <w:pPr>
              <w:pStyle w:val="15"/>
              <w:ind w:firstLine="31680"/>
              <w:rPr>
                <w:rFonts w:cs="黑体"/>
                <w:b/>
                <w:bCs/>
              </w:rPr>
            </w:pPr>
            <w:r>
              <w:rPr>
                <w:rFonts w:hint="eastAsia" w:cs="黑体"/>
                <w:b/>
                <w:bCs/>
              </w:rPr>
              <w:t>（五）电子商务工程</w:t>
            </w:r>
          </w:p>
          <w:p>
            <w:pPr>
              <w:pStyle w:val="15"/>
              <w:ind w:firstLine="31680"/>
              <w:rPr>
                <w:rFonts w:cs="黑体"/>
              </w:rPr>
            </w:pPr>
            <w:r>
              <w:rPr>
                <w:rFonts w:hint="eastAsia" w:cs="黑体"/>
              </w:rPr>
              <w:t>推动传统商贸企业、特色街区商圈实现数字化升级，以拜尔电商产业园、亮朵智能家居、日用百货数字电商产业园为载体，推进有机硅、绿色建材等优势领域电子商务应用。推进构建电子商务农村综合示范，利用互联网推动农产品出村进城。</w:t>
            </w:r>
          </w:p>
          <w:p>
            <w:pPr>
              <w:pStyle w:val="15"/>
              <w:ind w:firstLine="31680"/>
              <w:rPr>
                <w:rFonts w:cs="黑体"/>
                <w:b/>
                <w:bCs/>
              </w:rPr>
            </w:pPr>
            <w:r>
              <w:rPr>
                <w:rFonts w:hint="eastAsia" w:cs="黑体"/>
                <w:b/>
                <w:bCs/>
              </w:rPr>
              <w:t>（六）数字金融工程</w:t>
            </w:r>
          </w:p>
          <w:p>
            <w:pPr>
              <w:pStyle w:val="15"/>
              <w:ind w:firstLine="31680"/>
              <w:rPr>
                <w:rFonts w:cs="黑体"/>
              </w:rPr>
            </w:pPr>
            <w:r>
              <w:rPr>
                <w:rFonts w:hint="eastAsia" w:cs="黑体"/>
              </w:rPr>
              <w:t>依托“财园信贷通”“科贷通”“惠农信贷”等融资平台，为各类金融机构和企业提供投融资等信息发布、金融资源对接等服务。搭建银企交流平台，加深银企合作，积极支持引导我县优质企业上市。到</w:t>
            </w:r>
            <w:r>
              <w:rPr>
                <w:rFonts w:cs="黑体"/>
              </w:rPr>
              <w:t>2025</w:t>
            </w:r>
            <w:r>
              <w:rPr>
                <w:rFonts w:hint="eastAsia" w:cs="黑体"/>
              </w:rPr>
              <w:t>年，力争本土企业在主板（创业板、中小板、科创板）或海外上市企业</w:t>
            </w:r>
            <w:r>
              <w:rPr>
                <w:rFonts w:cs="黑体"/>
              </w:rPr>
              <w:t>2</w:t>
            </w:r>
            <w:r>
              <w:rPr>
                <w:rFonts w:hint="eastAsia" w:cs="黑体"/>
              </w:rPr>
              <w:t>家，新三板挂牌</w:t>
            </w:r>
            <w:r>
              <w:rPr>
                <w:rFonts w:cs="黑体"/>
              </w:rPr>
              <w:t>5</w:t>
            </w:r>
            <w:r>
              <w:rPr>
                <w:rFonts w:hint="eastAsia" w:cs="黑体"/>
              </w:rPr>
              <w:t>家。</w:t>
            </w:r>
          </w:p>
          <w:p>
            <w:pPr>
              <w:pStyle w:val="15"/>
              <w:ind w:firstLine="31680"/>
              <w:rPr>
                <w:rFonts w:cs="黑体"/>
                <w:b/>
                <w:bCs/>
              </w:rPr>
            </w:pPr>
            <w:r>
              <w:rPr>
                <w:rFonts w:hint="eastAsia" w:cs="黑体"/>
                <w:b/>
                <w:bCs/>
              </w:rPr>
              <w:t>（七）自动化环境监测工程</w:t>
            </w:r>
          </w:p>
          <w:p>
            <w:pPr>
              <w:pStyle w:val="15"/>
              <w:ind w:firstLine="31680"/>
              <w:rPr>
                <w:rFonts w:cs="黑体"/>
              </w:rPr>
            </w:pPr>
            <w:r>
              <w:rPr>
                <w:rFonts w:hint="eastAsia" w:cs="黑体"/>
              </w:rPr>
              <w:t>打造星火园区环境监测中心为江西省实力领先检测平台，实现水和废水、环境空气和废气、土壤、噪声等多方面不少于</w:t>
            </w:r>
            <w:r>
              <w:rPr>
                <w:rFonts w:cs="黑体"/>
              </w:rPr>
              <w:t>100</w:t>
            </w:r>
            <w:r>
              <w:rPr>
                <w:rFonts w:hint="eastAsia" w:cs="黑体"/>
              </w:rPr>
              <w:t>个检测指标的检测标准。县城建设</w:t>
            </w:r>
            <w:r>
              <w:rPr>
                <w:rFonts w:cs="黑体"/>
              </w:rPr>
              <w:t>1</w:t>
            </w:r>
            <w:r>
              <w:rPr>
                <w:rFonts w:hint="eastAsia" w:cs="黑体"/>
              </w:rPr>
              <w:t>个大气监测站点并试运行，全县乡镇范围内建设</w:t>
            </w:r>
            <w:r>
              <w:rPr>
                <w:rFonts w:cs="黑体"/>
              </w:rPr>
              <w:t>16</w:t>
            </w:r>
            <w:r>
              <w:rPr>
                <w:rFonts w:hint="eastAsia" w:cs="黑体"/>
              </w:rPr>
              <w:t>个大气自动监测站点并试运行，督促全县大气环境质量改善。到</w:t>
            </w:r>
            <w:r>
              <w:rPr>
                <w:rFonts w:cs="黑体"/>
              </w:rPr>
              <w:t>2025</w:t>
            </w:r>
            <w:r>
              <w:rPr>
                <w:rFonts w:hint="eastAsia" w:cs="黑体"/>
              </w:rPr>
              <w:t>年底，县域生态环境各项指标优化值翻番。</w:t>
            </w:r>
          </w:p>
        </w:tc>
      </w:tr>
    </w:tbl>
    <w:p>
      <w:pPr>
        <w:pStyle w:val="4"/>
        <w:spacing w:before="156" w:after="156"/>
      </w:pPr>
      <w:bookmarkStart w:id="23" w:name="_Toc16008"/>
      <w:r>
        <w:rPr>
          <w:rFonts w:hint="eastAsia"/>
        </w:rPr>
        <w:t>第三节</w:t>
      </w:r>
      <w:r>
        <w:t xml:space="preserve"> </w:t>
      </w:r>
      <w:r>
        <w:rPr>
          <w:rFonts w:hint="eastAsia"/>
        </w:rPr>
        <w:t>擦亮永修全域旅游新名片</w:t>
      </w:r>
      <w:bookmarkEnd w:id="23"/>
    </w:p>
    <w:p>
      <w:pPr>
        <w:spacing w:line="590" w:lineRule="exact"/>
        <w:ind w:firstLine="31680"/>
        <w:contextualSpacing/>
        <w:rPr>
          <w:rFonts w:ascii="仿宋_GB2312" w:hAnsi="仿宋_GB2312" w:eastAsia="仿宋_GB2312" w:cs="仿宋_GB2312"/>
          <w:szCs w:val="32"/>
        </w:rPr>
      </w:pPr>
      <w:r>
        <w:rPr>
          <w:rFonts w:hint="eastAsia" w:ascii="仿宋_GB2312" w:hAnsi="仿宋_GB2312" w:eastAsia="仿宋_GB2312" w:cs="仿宋_GB2312"/>
          <w:szCs w:val="32"/>
        </w:rPr>
        <w:t>制定完善全县全域旅游发展规划，以成功创建的“江西旅游强县”为基础，以高质量建设吴城候鸟小镇和环云居山旅游为重心，串连吴城、云山、西海等景区，打造旅游金三角，打通县城至云居山、县城至海昏侯墓遗址公园路网，整合资源，完善配套，提升品位，做好“山、水、镇”三篇文章，推动永修“一日游”向“多日游”转变。以打造“永不落幕的国际观鸟胜地”为目标，紧扣“国家生态文明样板区，江西赣鄱文化展示区”的功能定位，建设集国际观鸟、湿地观光、文化展示、休闲体验为一体的生态旅游综合体，创建国家</w:t>
      </w:r>
      <w:r>
        <w:rPr>
          <w:rFonts w:ascii="仿宋_GB2312" w:hAnsi="仿宋_GB2312" w:eastAsia="仿宋_GB2312" w:cs="仿宋_GB2312"/>
          <w:szCs w:val="32"/>
        </w:rPr>
        <w:t>5A</w:t>
      </w:r>
      <w:r>
        <w:rPr>
          <w:rFonts w:hint="eastAsia" w:ascii="仿宋_GB2312" w:hAnsi="仿宋_GB2312" w:eastAsia="仿宋_GB2312" w:cs="仿宋_GB2312"/>
          <w:szCs w:val="32"/>
        </w:rPr>
        <w:t>级景区和国家级旅游度假区。以打造“中华农禅第一山”为目标，加快推进环云居山旅游开发。加快发展乡村旅游，继续办好凤凰山桃花节、艾城艾草文化节、江上登山赏花节、虬津荷花节等节庆活动，着力培育一批具有永修特色的食品系列、工艺品系列、日用品系列等特色旅游商品。加快推进村组景观化工程，进一步提升深山蜂谷、凤凰山桃花园、三溪桥杨垅村等村组旅游点品质，实现全县所有乡镇</w:t>
      </w:r>
      <w:r>
        <w:rPr>
          <w:rFonts w:ascii="仿宋_GB2312" w:hAnsi="仿宋_GB2312" w:eastAsia="仿宋_GB2312" w:cs="仿宋_GB2312"/>
          <w:szCs w:val="32"/>
        </w:rPr>
        <w:t>A</w:t>
      </w:r>
      <w:r>
        <w:rPr>
          <w:rFonts w:hint="eastAsia" w:ascii="仿宋_GB2312" w:hAnsi="仿宋_GB2312" w:eastAsia="仿宋_GB2312" w:cs="仿宋_GB2312"/>
          <w:szCs w:val="32"/>
        </w:rPr>
        <w:t>级乡村旅游点全覆盖。进一步丰富旅游业态，培育文旅融合、工旅融合、商旅融合、农旅融合等特色旅游热点，实施“互联网</w:t>
      </w:r>
      <w:r>
        <w:rPr>
          <w:rFonts w:ascii="仿宋_GB2312" w:hAnsi="仿宋_GB2312" w:eastAsia="仿宋_GB2312" w:cs="仿宋_GB2312"/>
          <w:szCs w:val="32"/>
        </w:rPr>
        <w:t>+</w:t>
      </w:r>
      <w:r>
        <w:rPr>
          <w:rFonts w:hint="eastAsia" w:ascii="仿宋_GB2312" w:hAnsi="仿宋_GB2312" w:eastAsia="仿宋_GB2312" w:cs="仿宋_GB2312"/>
          <w:szCs w:val="32"/>
        </w:rPr>
        <w:t>旅游”融合工程，完善旅游产业链，提升智慧旅游建设，加快完成“一部手机游永修”运营平台建设，推进永修景城融合、全域发展，打造成旅游、文化、教育、康养四业融合的旅游胜地，创建国家级全域旅游示范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4" w:type="dxa"/>
          </w:tcPr>
          <w:p>
            <w:pPr>
              <w:pStyle w:val="15"/>
              <w:ind w:firstLine="0" w:firstLineChars="0"/>
              <w:jc w:val="center"/>
              <w:rPr>
                <w:rFonts w:cs="黑体"/>
              </w:rPr>
            </w:pPr>
            <w:r>
              <w:rPr>
                <w:rFonts w:hint="eastAsia" w:cs="黑体"/>
                <w:b/>
                <w:bCs/>
              </w:rPr>
              <w:t>专栏</w:t>
            </w:r>
            <w:r>
              <w:rPr>
                <w:rFonts w:cs="黑体"/>
                <w:b/>
                <w:bCs/>
              </w:rPr>
              <w:t xml:space="preserve">6  </w:t>
            </w:r>
            <w:r>
              <w:rPr>
                <w:rFonts w:hint="eastAsia" w:cs="黑体"/>
                <w:b/>
                <w:bCs/>
              </w:rPr>
              <w:t>全域旅游重大项目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4" w:type="dxa"/>
          </w:tcPr>
          <w:p>
            <w:pPr>
              <w:pStyle w:val="15"/>
              <w:numPr>
                <w:ilvl w:val="255"/>
                <w:numId w:val="0"/>
              </w:numPr>
              <w:ind w:firstLine="482"/>
              <w:rPr>
                <w:rFonts w:cs="黑体"/>
                <w:b/>
                <w:bCs/>
              </w:rPr>
            </w:pPr>
            <w:r>
              <w:rPr>
                <w:rFonts w:hint="eastAsia" w:cs="黑体"/>
                <w:b/>
                <w:bCs/>
              </w:rPr>
              <w:t>（一）特色旅游小镇项目</w:t>
            </w:r>
          </w:p>
          <w:p>
            <w:pPr>
              <w:pStyle w:val="15"/>
              <w:numPr>
                <w:ilvl w:val="255"/>
                <w:numId w:val="0"/>
              </w:numPr>
              <w:ind w:firstLine="480" w:firstLineChars="200"/>
              <w:rPr>
                <w:rFonts w:cs="黑体"/>
              </w:rPr>
            </w:pPr>
            <w:r>
              <w:rPr>
                <w:rFonts w:hint="eastAsia" w:cs="黑体"/>
              </w:rPr>
              <w:t>老星火片区文创小镇项目以老星火片区为依托，全面建设以文创为主的特色小镇。</w:t>
            </w:r>
          </w:p>
          <w:p>
            <w:pPr>
              <w:pStyle w:val="15"/>
              <w:numPr>
                <w:ilvl w:val="255"/>
                <w:numId w:val="0"/>
              </w:numPr>
              <w:ind w:firstLine="480" w:firstLineChars="200"/>
              <w:rPr>
                <w:rFonts w:cs="黑体"/>
              </w:rPr>
            </w:pPr>
            <w:r>
              <w:rPr>
                <w:rFonts w:hint="eastAsia" w:cs="黑体"/>
              </w:rPr>
              <w:t>开展占地面积约为</w:t>
            </w:r>
            <w:r>
              <w:rPr>
                <w:rFonts w:cs="黑体"/>
              </w:rPr>
              <w:t>2000</w:t>
            </w:r>
            <w:r>
              <w:rPr>
                <w:rFonts w:hint="eastAsia" w:cs="黑体"/>
              </w:rPr>
              <w:t>亩、集商业、旅游、休闲、居住于一体的湖东特色小镇项目建设。建设拟占地</w:t>
            </w:r>
            <w:r>
              <w:rPr>
                <w:rFonts w:cs="黑体"/>
              </w:rPr>
              <w:t>300</w:t>
            </w:r>
            <w:r>
              <w:rPr>
                <w:rFonts w:hint="eastAsia" w:cs="黑体"/>
              </w:rPr>
              <w:t>亩的江上特色民俗村项目，计划建设成为民俗特色村。。</w:t>
            </w:r>
          </w:p>
          <w:p>
            <w:pPr>
              <w:pStyle w:val="15"/>
              <w:numPr>
                <w:ilvl w:val="255"/>
                <w:numId w:val="0"/>
              </w:numPr>
              <w:ind w:firstLine="480" w:firstLineChars="200"/>
              <w:rPr>
                <w:rFonts w:cs="黑体"/>
              </w:rPr>
            </w:pPr>
            <w:r>
              <w:rPr>
                <w:rFonts w:hint="eastAsia" w:cs="黑体"/>
              </w:rPr>
              <w:t>云山集团农垦特色小镇建设项目承接云居山旅游发展张力及禅宗文化影响力，依托资源、文化、产业基础优势，建设周田集镇区周边“果园花海”，建设一批具有思想内涵的园林、文化景观，改造提升环集镇公路、商业街、特色餐饮区，建设星级饭店、疗养中心、文化休闲广场，完善基础设施及旅游功能配套，打造成为现代农业和文化旅游相结合的农垦特色小镇。</w:t>
            </w:r>
          </w:p>
          <w:p>
            <w:pPr>
              <w:pStyle w:val="15"/>
              <w:numPr>
                <w:ilvl w:val="255"/>
                <w:numId w:val="0"/>
              </w:numPr>
              <w:ind w:firstLine="480" w:firstLineChars="200"/>
              <w:rPr>
                <w:rFonts w:cs="黑体"/>
              </w:rPr>
            </w:pPr>
            <w:r>
              <w:rPr>
                <w:rFonts w:hint="eastAsia" w:cs="黑体"/>
              </w:rPr>
              <w:t>云山集团燕山旅游风情小镇建设项目全面整合燕山各旅游景区、景点，优化资源配置，改造提升景区、景点主干道、游步道，建设餐饮、住宿、购物、休闲、娱乐等功能服务区，完善基础设施及旅游功能配套，提升集镇及景区、景点面貌，打造集龙源峡、玫瑰园、深山蜂谷、庆云禅寺、燕山青茶业生态观光、娱乐休闲、文化体验、养生度假旅游为一体的旅游风情小镇。</w:t>
            </w:r>
          </w:p>
          <w:p>
            <w:pPr>
              <w:pStyle w:val="15"/>
              <w:numPr>
                <w:ilvl w:val="255"/>
                <w:numId w:val="0"/>
              </w:numPr>
              <w:ind w:firstLine="480"/>
              <w:rPr>
                <w:rFonts w:cs="黑体"/>
                <w:b/>
                <w:bCs/>
              </w:rPr>
            </w:pPr>
            <w:r>
              <w:rPr>
                <w:rFonts w:hint="eastAsia" w:cs="黑体"/>
              </w:rPr>
              <w:t>永修云山航空文旅基地项目建设成为航空文化教育基地，开展航空文化旅游产业基地和园区配套工程建设。</w:t>
            </w:r>
          </w:p>
          <w:p>
            <w:pPr>
              <w:pStyle w:val="15"/>
              <w:numPr>
                <w:ilvl w:val="255"/>
                <w:numId w:val="0"/>
              </w:numPr>
              <w:ind w:firstLine="482"/>
              <w:rPr>
                <w:rFonts w:cs="黑体"/>
                <w:b/>
                <w:bCs/>
              </w:rPr>
            </w:pPr>
            <w:r>
              <w:rPr>
                <w:rFonts w:hint="eastAsia" w:cs="黑体"/>
                <w:b/>
                <w:bCs/>
              </w:rPr>
              <w:t>（二）休闲养老旅游项目</w:t>
            </w:r>
          </w:p>
          <w:p>
            <w:pPr>
              <w:pStyle w:val="15"/>
              <w:numPr>
                <w:ilvl w:val="255"/>
                <w:numId w:val="0"/>
              </w:numPr>
              <w:ind w:firstLine="480"/>
              <w:rPr>
                <w:rFonts w:cs="黑体"/>
              </w:rPr>
            </w:pPr>
            <w:r>
              <w:rPr>
                <w:rFonts w:hint="eastAsia" w:cs="黑体"/>
              </w:rPr>
              <w:t>开展永修县三溪桥二附坝森林康养基地项目建设，依托三溪桥二附坝的资源，建设以森林康养，休闲娱乐为一体的基地。完善永修县美丽耕源建设项目、华天休闲示范园提升改造项目。</w:t>
            </w:r>
          </w:p>
          <w:p>
            <w:pPr>
              <w:pStyle w:val="15"/>
              <w:numPr>
                <w:ilvl w:val="255"/>
                <w:numId w:val="0"/>
              </w:numPr>
              <w:ind w:firstLine="482"/>
              <w:rPr>
                <w:rFonts w:cs="黑体"/>
                <w:b/>
                <w:bCs/>
              </w:rPr>
            </w:pPr>
            <w:r>
              <w:rPr>
                <w:rFonts w:hint="eastAsia" w:cs="黑体"/>
                <w:b/>
                <w:bCs/>
              </w:rPr>
              <w:t>（三）乡村湿地旅游项目</w:t>
            </w:r>
          </w:p>
          <w:p>
            <w:pPr>
              <w:pStyle w:val="15"/>
              <w:numPr>
                <w:ilvl w:val="255"/>
                <w:numId w:val="0"/>
              </w:numPr>
              <w:ind w:firstLine="480" w:firstLineChars="200"/>
              <w:rPr>
                <w:rFonts w:cs="黑体"/>
              </w:rPr>
            </w:pPr>
            <w:r>
              <w:rPr>
                <w:rFonts w:hint="eastAsia" w:cs="黑体"/>
              </w:rPr>
              <w:t>打造</w:t>
            </w:r>
            <w:r>
              <w:rPr>
                <w:rFonts w:cs="黑体"/>
              </w:rPr>
              <w:t>5A</w:t>
            </w:r>
            <w:r>
              <w:rPr>
                <w:rFonts w:hint="eastAsia" w:cs="黑体"/>
              </w:rPr>
              <w:t>级乡村旅游示范点，建设天泽生态园文化旅游、虬津镇荷天下乡村旅游点、三溪桥镇杨垅村旅游开发、三溪桥镇磨刀李旅游小镇、恒丰龟山湖湿地公园等项目建设。培育</w:t>
            </w:r>
            <w:r>
              <w:rPr>
                <w:rFonts w:cs="黑体"/>
              </w:rPr>
              <w:t>800</w:t>
            </w:r>
            <w:r>
              <w:rPr>
                <w:rFonts w:hint="eastAsia" w:cs="黑体"/>
              </w:rPr>
              <w:t>亩太空水果莲、</w:t>
            </w:r>
            <w:r>
              <w:rPr>
                <w:rFonts w:cs="黑体"/>
              </w:rPr>
              <w:t>300</w:t>
            </w:r>
            <w:r>
              <w:rPr>
                <w:rFonts w:hint="eastAsia" w:cs="黑体"/>
              </w:rPr>
              <w:t>亩绿色有机果蔬园，修葺</w:t>
            </w:r>
            <w:r>
              <w:rPr>
                <w:rFonts w:cs="黑体"/>
              </w:rPr>
              <w:t>2000m</w:t>
            </w:r>
            <w:r>
              <w:rPr>
                <w:rFonts w:hint="eastAsia" w:cs="黑体"/>
              </w:rPr>
              <w:t>荷塘栈道，养殖</w:t>
            </w:r>
            <w:r>
              <w:rPr>
                <w:rFonts w:cs="黑体"/>
              </w:rPr>
              <w:t>200</w:t>
            </w:r>
            <w:r>
              <w:rPr>
                <w:rFonts w:hint="eastAsia" w:cs="黑体"/>
              </w:rPr>
              <w:t>亩龙虾鱼，实现乡村景区全面多元开发。</w:t>
            </w:r>
          </w:p>
          <w:p>
            <w:pPr>
              <w:pStyle w:val="15"/>
              <w:numPr>
                <w:ilvl w:val="0"/>
                <w:numId w:val="1"/>
              </w:numPr>
              <w:ind w:firstLine="31680"/>
              <w:rPr>
                <w:rFonts w:cs="黑体"/>
                <w:b/>
                <w:bCs/>
              </w:rPr>
            </w:pPr>
            <w:r>
              <w:rPr>
                <w:rFonts w:hint="eastAsia" w:cs="黑体"/>
                <w:b/>
                <w:bCs/>
              </w:rPr>
              <w:t>旅游景区基础设施建设项目</w:t>
            </w:r>
          </w:p>
          <w:p>
            <w:pPr>
              <w:pStyle w:val="15"/>
              <w:numPr>
                <w:ilvl w:val="255"/>
                <w:numId w:val="0"/>
              </w:numPr>
              <w:ind w:firstLine="480" w:firstLineChars="200"/>
              <w:rPr>
                <w:rFonts w:cs="黑体"/>
              </w:rPr>
            </w:pPr>
            <w:r>
              <w:rPr>
                <w:rFonts w:hint="eastAsia" w:cs="黑体"/>
              </w:rPr>
              <w:t>建设永修县城市游客集散中心，包括停车场、旅游厕所、标识标牌等。合理规划、布局云居山游客集散中心建设项目，完善与游客承载量相适应的游客集散中心建设，聚合换乘、自驾车停车加油、信息咨询、票务、购物、餐饮、休憩等综合服务配套，统筹旅游公共服务产品供给。</w:t>
            </w:r>
          </w:p>
        </w:tc>
      </w:tr>
    </w:tbl>
    <w:p>
      <w:pPr>
        <w:pStyle w:val="4"/>
        <w:spacing w:before="156" w:after="156"/>
      </w:pPr>
      <w:bookmarkStart w:id="24" w:name="_Toc21287"/>
      <w:r>
        <w:rPr>
          <w:rFonts w:hint="eastAsia"/>
        </w:rPr>
        <w:t>第四节</w:t>
      </w:r>
      <w:r>
        <w:t xml:space="preserve"> </w:t>
      </w:r>
      <w:r>
        <w:rPr>
          <w:rFonts w:hint="eastAsia"/>
        </w:rPr>
        <w:t>做大做优现代服务业</w:t>
      </w:r>
      <w:bookmarkEnd w:id="24"/>
    </w:p>
    <w:p>
      <w:pPr>
        <w:spacing w:line="590" w:lineRule="exact"/>
        <w:ind w:firstLine="31680"/>
        <w:contextualSpacing/>
        <w:rPr>
          <w:rFonts w:ascii="仿宋_GB2312" w:hAnsi="仿宋_GB2312" w:eastAsia="仿宋_GB2312" w:cs="仿宋_GB2312"/>
          <w:color w:val="000000"/>
          <w:szCs w:val="32"/>
        </w:rPr>
      </w:pPr>
      <w:r>
        <w:rPr>
          <w:rFonts w:hint="eastAsia" w:ascii="仿宋_GB2312" w:hAnsi="仿宋_GB2312" w:eastAsia="仿宋_GB2312" w:cs="仿宋_GB2312"/>
          <w:b/>
          <w:bCs/>
          <w:szCs w:val="32"/>
        </w:rPr>
        <w:t>推进生产性服务业融合化发展。现代物流。</w:t>
      </w:r>
      <w:r>
        <w:rPr>
          <w:rFonts w:hint="eastAsia" w:ascii="仿宋_GB2312" w:hAnsi="仿宋_GB2312" w:eastAsia="仿宋_GB2312" w:cs="仿宋_GB2312"/>
          <w:color w:val="000000"/>
          <w:szCs w:val="32"/>
        </w:rPr>
        <w:t>以城市物流和工业物流为主攻方向，打造湖东商业物流区域，大力发展以城市配送为主的商贸物流，策应南昌空港经济和昌九经济带发展，打造马口临空物流区域，提供空港物流、农副产品物流、工业物流及工业原材料、产成品集散地，构建以城市生活物资和工业物资为主的物流配送体系。依托园区产业基础和区位交通优势，积极培育供应链管理、冷链物流、快递物流、电子商务物流、跨境物流、供应链金融等物流新业态，上下延伸，做大做强物流产业链，加快建设县、乡、村综合物流体系建设，将永修建成为辐射昌九的九江南大门现代化区域性物流中心。</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绿色金融。</w:t>
      </w:r>
      <w:r>
        <w:rPr>
          <w:rFonts w:hint="eastAsia" w:ascii="仿宋_GB2312" w:hAnsi="仿宋_GB2312" w:eastAsia="仿宋_GB2312" w:cs="仿宋_GB2312"/>
          <w:szCs w:val="32"/>
        </w:rPr>
        <w:t>以赣江新区建设绿色金融改革创新试验区为契机，成立金融担保机构，推动供应链金融、科技金融、绿色金融、农业金融等新业态发展，注重培育引进金融资本等高端服务业，创新投融资模式，支撑赣江新区永修组团产业发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tcPr>
          <w:p>
            <w:pPr>
              <w:pStyle w:val="15"/>
              <w:ind w:firstLine="0" w:firstLineChars="0"/>
              <w:jc w:val="center"/>
              <w:rPr>
                <w:rFonts w:cs="黑体"/>
              </w:rPr>
            </w:pPr>
            <w:r>
              <w:rPr>
                <w:rFonts w:hint="eastAsia" w:cs="黑体"/>
                <w:b/>
                <w:bCs/>
              </w:rPr>
              <w:t>专栏</w:t>
            </w:r>
            <w:r>
              <w:rPr>
                <w:rFonts w:cs="黑体"/>
                <w:b/>
                <w:bCs/>
              </w:rPr>
              <w:t xml:space="preserve">7  </w:t>
            </w:r>
            <w:r>
              <w:rPr>
                <w:rFonts w:hint="eastAsia" w:cs="黑体"/>
                <w:b/>
                <w:bCs/>
              </w:rPr>
              <w:t>生产性服务业发展导向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tcPr>
          <w:p>
            <w:pPr>
              <w:numPr>
                <w:ilvl w:val="0"/>
                <w:numId w:val="2"/>
              </w:numPr>
              <w:ind w:firstLine="31680"/>
              <w:rPr>
                <w:rFonts w:ascii="宋体" w:hAnsi="宋体" w:eastAsia="宋体" w:cs="黑体"/>
                <w:b/>
                <w:bCs/>
                <w:sz w:val="24"/>
              </w:rPr>
            </w:pPr>
            <w:r>
              <w:rPr>
                <w:rFonts w:hint="eastAsia" w:ascii="宋体" w:hAnsi="宋体" w:eastAsia="宋体" w:cs="黑体"/>
                <w:b/>
                <w:bCs/>
                <w:sz w:val="24"/>
              </w:rPr>
              <w:t>现代物流</w:t>
            </w:r>
          </w:p>
          <w:p>
            <w:pPr>
              <w:numPr>
                <w:ilvl w:val="255"/>
                <w:numId w:val="0"/>
              </w:numPr>
              <w:ind w:firstLine="480"/>
              <w:rPr>
                <w:rFonts w:ascii="宋体" w:hAnsi="宋体" w:eastAsia="宋体" w:cs="黑体"/>
                <w:sz w:val="24"/>
              </w:rPr>
            </w:pPr>
            <w:r>
              <w:rPr>
                <w:rFonts w:hint="eastAsia" w:ascii="宋体" w:hAnsi="宋体" w:eastAsia="宋体" w:cs="黑体"/>
                <w:sz w:val="24"/>
              </w:rPr>
              <w:t>以赣江新区为主阵地，加快招引重点物流企业在永修设立区域总部、采购中心、分拨中心、配送中心，适时启动物流产业园项目建设。力争到</w:t>
            </w:r>
            <w:r>
              <w:rPr>
                <w:rFonts w:ascii="宋体" w:hAnsi="宋体" w:eastAsia="宋体" w:cs="黑体"/>
                <w:sz w:val="24"/>
              </w:rPr>
              <w:t>2023</w:t>
            </w:r>
            <w:r>
              <w:rPr>
                <w:rFonts w:hint="eastAsia" w:ascii="宋体" w:hAnsi="宋体" w:eastAsia="宋体" w:cs="黑体"/>
                <w:sz w:val="24"/>
              </w:rPr>
              <w:t>年，引进现代物流项目</w:t>
            </w:r>
            <w:r>
              <w:rPr>
                <w:rFonts w:ascii="宋体" w:hAnsi="宋体" w:eastAsia="宋体" w:cs="黑体"/>
                <w:sz w:val="24"/>
              </w:rPr>
              <w:t>2</w:t>
            </w:r>
            <w:r>
              <w:rPr>
                <w:rFonts w:hint="eastAsia" w:ascii="宋体" w:hAnsi="宋体" w:eastAsia="宋体" w:cs="黑体"/>
                <w:sz w:val="24"/>
              </w:rPr>
              <w:t>个以上；到</w:t>
            </w:r>
            <w:r>
              <w:rPr>
                <w:rFonts w:ascii="宋体" w:hAnsi="宋体" w:eastAsia="宋体" w:cs="黑体"/>
                <w:sz w:val="24"/>
              </w:rPr>
              <w:t>2025</w:t>
            </w:r>
            <w:r>
              <w:rPr>
                <w:rFonts w:hint="eastAsia" w:ascii="宋体" w:hAnsi="宋体" w:eastAsia="宋体" w:cs="黑体"/>
                <w:sz w:val="24"/>
              </w:rPr>
              <w:t>年打造成功一批</w:t>
            </w:r>
            <w:r>
              <w:rPr>
                <w:rFonts w:ascii="宋体" w:hAnsi="宋体" w:eastAsia="宋体" w:cs="黑体"/>
                <w:sz w:val="24"/>
              </w:rPr>
              <w:t>3A</w:t>
            </w:r>
            <w:r>
              <w:rPr>
                <w:rFonts w:hint="eastAsia" w:ascii="宋体" w:hAnsi="宋体" w:eastAsia="宋体" w:cs="黑体"/>
                <w:sz w:val="24"/>
              </w:rPr>
              <w:t>级以上物流企业。</w:t>
            </w:r>
          </w:p>
          <w:p>
            <w:pPr>
              <w:numPr>
                <w:ilvl w:val="0"/>
                <w:numId w:val="2"/>
              </w:numPr>
              <w:spacing w:line="240" w:lineRule="auto"/>
              <w:ind w:firstLine="643" w:firstLineChars="0"/>
              <w:rPr>
                <w:rFonts w:ascii="宋体" w:hAnsi="宋体" w:eastAsia="宋体" w:cs="黑体"/>
                <w:b/>
                <w:bCs/>
                <w:sz w:val="24"/>
              </w:rPr>
            </w:pPr>
            <w:r>
              <w:rPr>
                <w:rFonts w:hint="eastAsia" w:ascii="宋体" w:hAnsi="宋体" w:eastAsia="宋体" w:cs="黑体"/>
                <w:b/>
                <w:bCs/>
                <w:sz w:val="24"/>
              </w:rPr>
              <w:t>金融服务</w:t>
            </w:r>
          </w:p>
          <w:p>
            <w:pPr>
              <w:numPr>
                <w:ilvl w:val="255"/>
                <w:numId w:val="0"/>
              </w:numPr>
              <w:ind w:firstLine="480" w:firstLineChars="200"/>
              <w:rPr>
                <w:rFonts w:ascii="宋体" w:hAnsi="宋体" w:eastAsia="宋体" w:cs="黑体"/>
                <w:sz w:val="24"/>
              </w:rPr>
            </w:pPr>
            <w:r>
              <w:rPr>
                <w:rFonts w:hint="eastAsia" w:ascii="宋体" w:hAnsi="宋体" w:eastAsia="宋体" w:cs="黑体"/>
                <w:sz w:val="24"/>
              </w:rPr>
              <w:t>推动绿色产业和绿色经济快速健康发展，加快绿色金融中心建设，鼓励金融机构增加有效信贷投入，引导保险机构做大做强，推动保费收入稳定增长。注重培育引进金融资本等高端服务业，创新投融资模式，全力实施“预见独角兽计划”，深挖培育优质企业，支撑赣江新区永修组团产业发展。力争到</w:t>
            </w:r>
            <w:r>
              <w:rPr>
                <w:rFonts w:ascii="宋体" w:hAnsi="宋体" w:eastAsia="宋体" w:cs="黑体"/>
                <w:sz w:val="24"/>
              </w:rPr>
              <w:t>2023</w:t>
            </w:r>
            <w:r>
              <w:rPr>
                <w:rFonts w:hint="eastAsia" w:ascii="宋体" w:hAnsi="宋体" w:eastAsia="宋体" w:cs="黑体"/>
                <w:sz w:val="24"/>
              </w:rPr>
              <w:t>全县绿色项目累计达到</w:t>
            </w:r>
            <w:r>
              <w:rPr>
                <w:rFonts w:ascii="宋体" w:hAnsi="宋体" w:eastAsia="宋体" w:cs="黑体"/>
                <w:sz w:val="24"/>
              </w:rPr>
              <w:t>40</w:t>
            </w:r>
            <w:r>
              <w:rPr>
                <w:rFonts w:hint="eastAsia" w:ascii="宋体" w:hAnsi="宋体" w:eastAsia="宋体" w:cs="黑体"/>
                <w:sz w:val="24"/>
              </w:rPr>
              <w:t>个，绿色信贷余额达到</w:t>
            </w:r>
            <w:r>
              <w:rPr>
                <w:rFonts w:ascii="宋体" w:hAnsi="宋体" w:eastAsia="宋体" w:cs="黑体"/>
                <w:sz w:val="24"/>
              </w:rPr>
              <w:t>15</w:t>
            </w:r>
            <w:r>
              <w:rPr>
                <w:rFonts w:hint="eastAsia" w:ascii="宋体" w:hAnsi="宋体" w:eastAsia="宋体" w:cs="黑体"/>
                <w:sz w:val="24"/>
              </w:rPr>
              <w:t>亿元，年存贷款余额分别突破</w:t>
            </w:r>
            <w:r>
              <w:rPr>
                <w:rFonts w:ascii="宋体" w:hAnsi="宋体" w:eastAsia="宋体" w:cs="黑体"/>
                <w:sz w:val="24"/>
              </w:rPr>
              <w:t>300</w:t>
            </w:r>
            <w:r>
              <w:rPr>
                <w:rFonts w:hint="eastAsia" w:ascii="宋体" w:hAnsi="宋体" w:eastAsia="宋体" w:cs="黑体"/>
                <w:sz w:val="24"/>
              </w:rPr>
              <w:t>亿和</w:t>
            </w:r>
            <w:r>
              <w:rPr>
                <w:rFonts w:ascii="宋体" w:hAnsi="宋体" w:eastAsia="宋体" w:cs="黑体"/>
                <w:sz w:val="24"/>
              </w:rPr>
              <w:t>200</w:t>
            </w:r>
            <w:r>
              <w:rPr>
                <w:rFonts w:hint="eastAsia" w:ascii="宋体" w:hAnsi="宋体" w:eastAsia="宋体" w:cs="黑体"/>
                <w:sz w:val="24"/>
              </w:rPr>
              <w:t>亿元；引导保险机构做大做强，推动保费收入稳定增长，年平均增长率保持</w:t>
            </w:r>
            <w:r>
              <w:rPr>
                <w:rFonts w:ascii="宋体" w:hAnsi="宋体" w:eastAsia="宋体" w:cs="黑体"/>
                <w:sz w:val="24"/>
              </w:rPr>
              <w:t>8%</w:t>
            </w:r>
            <w:r>
              <w:rPr>
                <w:rFonts w:hint="eastAsia" w:ascii="宋体" w:hAnsi="宋体" w:eastAsia="宋体" w:cs="黑体"/>
                <w:sz w:val="24"/>
              </w:rPr>
              <w:t>以上，到</w:t>
            </w:r>
            <w:r>
              <w:rPr>
                <w:rFonts w:ascii="宋体" w:hAnsi="宋体" w:eastAsia="宋体" w:cs="黑体"/>
                <w:sz w:val="24"/>
              </w:rPr>
              <w:t>2023</w:t>
            </w:r>
            <w:r>
              <w:rPr>
                <w:rFonts w:hint="eastAsia" w:ascii="宋体" w:hAnsi="宋体" w:eastAsia="宋体" w:cs="黑体"/>
                <w:sz w:val="24"/>
              </w:rPr>
              <w:t>年保费余额突破</w:t>
            </w:r>
            <w:r>
              <w:rPr>
                <w:rFonts w:ascii="宋体" w:hAnsi="宋体" w:eastAsia="宋体" w:cs="黑体"/>
                <w:sz w:val="24"/>
              </w:rPr>
              <w:t>4.5</w:t>
            </w:r>
            <w:r>
              <w:rPr>
                <w:rFonts w:hint="eastAsia" w:ascii="宋体" w:hAnsi="宋体" w:eastAsia="宋体" w:cs="黑体"/>
                <w:sz w:val="24"/>
              </w:rPr>
              <w:t>亿元，全县股改、挂牌企业达到</w:t>
            </w:r>
            <w:r>
              <w:rPr>
                <w:rFonts w:ascii="宋体" w:hAnsi="宋体" w:eastAsia="宋体" w:cs="黑体"/>
                <w:sz w:val="24"/>
              </w:rPr>
              <w:t>10</w:t>
            </w:r>
            <w:r>
              <w:rPr>
                <w:rFonts w:hint="eastAsia" w:ascii="宋体" w:hAnsi="宋体" w:eastAsia="宋体" w:cs="黑体"/>
                <w:sz w:val="24"/>
              </w:rPr>
              <w:t>家，新三板上市</w:t>
            </w:r>
            <w:r>
              <w:rPr>
                <w:rFonts w:ascii="宋体" w:hAnsi="宋体" w:eastAsia="宋体" w:cs="黑体"/>
                <w:sz w:val="24"/>
              </w:rPr>
              <w:t>1</w:t>
            </w:r>
            <w:r>
              <w:rPr>
                <w:rFonts w:hint="eastAsia" w:ascii="宋体" w:hAnsi="宋体" w:eastAsia="宋体" w:cs="黑体"/>
                <w:sz w:val="24"/>
              </w:rPr>
              <w:t>家，主板上市</w:t>
            </w:r>
            <w:r>
              <w:rPr>
                <w:rFonts w:ascii="宋体" w:hAnsi="宋体" w:eastAsia="宋体" w:cs="黑体"/>
                <w:sz w:val="24"/>
              </w:rPr>
              <w:t>1</w:t>
            </w:r>
            <w:r>
              <w:rPr>
                <w:rFonts w:hint="eastAsia" w:ascii="宋体" w:hAnsi="宋体" w:eastAsia="宋体" w:cs="黑体"/>
                <w:sz w:val="24"/>
              </w:rPr>
              <w:t>家，直接融资规模突破</w:t>
            </w:r>
            <w:r>
              <w:rPr>
                <w:rFonts w:ascii="宋体" w:hAnsi="宋体" w:eastAsia="宋体" w:cs="黑体"/>
                <w:sz w:val="24"/>
              </w:rPr>
              <w:t>50</w:t>
            </w:r>
            <w:r>
              <w:rPr>
                <w:rFonts w:hint="eastAsia" w:ascii="宋体" w:hAnsi="宋体" w:eastAsia="宋体" w:cs="黑体"/>
                <w:sz w:val="24"/>
              </w:rPr>
              <w:t>亿元。到</w:t>
            </w:r>
            <w:r>
              <w:rPr>
                <w:rFonts w:ascii="宋体" w:hAnsi="宋体" w:eastAsia="宋体" w:cs="黑体"/>
                <w:sz w:val="24"/>
              </w:rPr>
              <w:t>2025</w:t>
            </w:r>
            <w:r>
              <w:rPr>
                <w:rFonts w:hint="eastAsia" w:ascii="宋体" w:hAnsi="宋体" w:eastAsia="宋体" w:cs="黑体"/>
                <w:sz w:val="24"/>
              </w:rPr>
              <w:t>年，全面实现绿色产业快速稳健发展。</w:t>
            </w:r>
          </w:p>
          <w:p>
            <w:pPr>
              <w:numPr>
                <w:ilvl w:val="255"/>
                <w:numId w:val="0"/>
              </w:numPr>
              <w:spacing w:line="240" w:lineRule="auto"/>
              <w:ind w:firstLine="482" w:firstLineChars="200"/>
              <w:rPr>
                <w:rFonts w:ascii="宋体" w:hAnsi="宋体" w:eastAsia="宋体" w:cs="黑体"/>
                <w:b/>
                <w:bCs/>
                <w:sz w:val="24"/>
              </w:rPr>
            </w:pPr>
            <w:r>
              <w:rPr>
                <w:rFonts w:hint="eastAsia" w:ascii="宋体" w:hAnsi="宋体" w:eastAsia="宋体" w:cs="黑体"/>
                <w:b/>
                <w:bCs/>
                <w:sz w:val="24"/>
              </w:rPr>
              <w:t>（三）电子商务</w:t>
            </w:r>
          </w:p>
          <w:p>
            <w:pPr>
              <w:numPr>
                <w:ilvl w:val="255"/>
                <w:numId w:val="0"/>
              </w:numPr>
              <w:ind w:firstLine="480" w:firstLineChars="200"/>
            </w:pPr>
            <w:r>
              <w:rPr>
                <w:rFonts w:hint="eastAsia" w:ascii="宋体" w:hAnsi="宋体" w:eastAsia="宋体" w:cs="黑体"/>
                <w:sz w:val="24"/>
              </w:rPr>
              <w:t>依托已签约落户的电商企业，积极引进培育跨境电商龙头企业，积极扶持电子商务服务提供商（专业平台）、实体专业市场的配套网站（配套平台）、独立品牌宣传网站（品牌平台）等电子商务服务体系建设及平台建设，为永修的各类商贸客户提供产品展示、信息交流、贸易配对、国际推广、市场拓展等专业化的电子商务服务，打造“电商</w:t>
            </w:r>
            <w:r>
              <w:rPr>
                <w:rFonts w:ascii="宋体" w:hAnsi="宋体" w:eastAsia="宋体" w:cs="黑体"/>
                <w:sz w:val="24"/>
              </w:rPr>
              <w:t>+</w:t>
            </w:r>
            <w:r>
              <w:rPr>
                <w:rFonts w:hint="eastAsia" w:ascii="宋体" w:hAnsi="宋体" w:eastAsia="宋体" w:cs="黑体"/>
                <w:sz w:val="24"/>
              </w:rPr>
              <w:t>直播”为新业态的产业集群。积极推动“电子商务进农村”，加快完善农村电子商务平台，引导电子商务与会展、旅游、文化等等领域融合发展。</w:t>
            </w:r>
          </w:p>
        </w:tc>
      </w:tr>
    </w:tbl>
    <w:p>
      <w:pPr>
        <w:spacing w:line="590" w:lineRule="exact"/>
        <w:ind w:firstLine="31680"/>
        <w:contextualSpacing/>
      </w:pPr>
      <w:r>
        <w:rPr>
          <w:rFonts w:hint="eastAsia" w:ascii="仿宋_GB2312" w:hAnsi="仿宋_GB2312" w:eastAsia="仿宋_GB2312" w:cs="仿宋_GB2312"/>
          <w:b/>
          <w:bCs/>
        </w:rPr>
        <w:t>推动生活性服务业品质化发展。</w:t>
      </w:r>
      <w:r>
        <w:rPr>
          <w:rFonts w:hint="eastAsia" w:ascii="仿宋_GB2312" w:hAnsi="仿宋_GB2312" w:eastAsia="仿宋_GB2312" w:cs="仿宋_GB2312"/>
          <w:b/>
          <w:bCs/>
          <w:szCs w:val="32"/>
        </w:rPr>
        <w:t>商贸服务。</w:t>
      </w:r>
      <w:r>
        <w:rPr>
          <w:rFonts w:hint="eastAsia" w:ascii="仿宋_GB2312" w:hAnsi="仿宋_GB2312" w:eastAsia="仿宋_GB2312" w:cs="仿宋_GB2312"/>
          <w:szCs w:val="32"/>
        </w:rPr>
        <w:t>深入对接大南昌都市圈及赣江新区直管区，促进商贸生活转型升级，实施传统商贸和特色商圈提升工程，加快打造一批高品质新地标。有序布局夜经济，积极培育具有本地特色的夜间经济，在湖东区、城南区、老城区建设涵盖购物、餐饮、文化、休闲等具有情怀及规模的夜间经济示范区，形成规划合理、设施完善、业态多元、管理规范的夜间经济发展格局。</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健康养老。</w:t>
      </w:r>
      <w:r>
        <w:rPr>
          <w:rFonts w:hint="eastAsia" w:ascii="仿宋_GB2312" w:hAnsi="仿宋_GB2312" w:eastAsia="仿宋_GB2312" w:cs="仿宋_GB2312"/>
          <w:color w:val="000000"/>
          <w:szCs w:val="32"/>
        </w:rPr>
        <w:t>积极探索公建民营和“医养结合”健康养老新模式，创新居家健康养老、个性化健康管理、生活照护、养老机构信息化</w:t>
      </w:r>
      <w:r>
        <w:rPr>
          <w:rFonts w:hint="eastAsia" w:ascii="仿宋_GB2312" w:hAnsi="仿宋_GB2312" w:eastAsia="仿宋_GB2312" w:cs="仿宋_GB2312"/>
          <w:szCs w:val="32"/>
        </w:rPr>
        <w:t>服务等健康养老服务。探索建立养老</w:t>
      </w:r>
      <w:r>
        <w:rPr>
          <w:rFonts w:ascii="仿宋_GB2312" w:hAnsi="仿宋_GB2312" w:eastAsia="仿宋_GB2312" w:cs="仿宋_GB2312"/>
          <w:szCs w:val="32"/>
        </w:rPr>
        <w:t>+</w:t>
      </w:r>
      <w:r>
        <w:rPr>
          <w:rFonts w:hint="eastAsia" w:ascii="仿宋_GB2312" w:hAnsi="仿宋_GB2312" w:eastAsia="仿宋_GB2312" w:cs="仿宋_GB2312"/>
          <w:szCs w:val="32"/>
        </w:rPr>
        <w:t>旅游、养老</w:t>
      </w:r>
      <w:r>
        <w:rPr>
          <w:rFonts w:ascii="仿宋_GB2312" w:hAnsi="仿宋_GB2312" w:eastAsia="仿宋_GB2312" w:cs="仿宋_GB2312"/>
          <w:szCs w:val="32"/>
        </w:rPr>
        <w:t>+</w:t>
      </w:r>
      <w:r>
        <w:rPr>
          <w:rFonts w:hint="eastAsia" w:ascii="仿宋_GB2312" w:hAnsi="仿宋_GB2312" w:eastAsia="仿宋_GB2312" w:cs="仿宋_GB2312"/>
          <w:szCs w:val="32"/>
        </w:rPr>
        <w:t>康养等养老新模式新业态，推动乡村振兴、康养疗养、休闲旅游融合发展，</w:t>
      </w:r>
      <w:r>
        <w:rPr>
          <w:rFonts w:hint="eastAsia" w:ascii="仿宋_GB2312" w:hAnsi="仿宋_GB2312" w:eastAsia="仿宋_GB2312" w:cs="仿宋_GB2312"/>
          <w:color w:val="000000"/>
          <w:szCs w:val="32"/>
        </w:rPr>
        <w:t>实现生态效益、社会效益、经济效益全面提升，助力永修打造“江西康养样板城市”。</w:t>
      </w:r>
    </w:p>
    <w:p>
      <w:pPr>
        <w:pStyle w:val="2"/>
        <w:ind w:firstLine="0" w:firstLineChars="0"/>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72" w:type="dxa"/>
          </w:tcPr>
          <w:p>
            <w:pPr>
              <w:pStyle w:val="15"/>
              <w:ind w:firstLine="31680"/>
              <w:jc w:val="center"/>
              <w:rPr>
                <w:rFonts w:cs="黑体"/>
              </w:rPr>
            </w:pPr>
            <w:r>
              <w:rPr>
                <w:rFonts w:hint="eastAsia" w:cs="黑体"/>
                <w:b/>
                <w:bCs/>
              </w:rPr>
              <w:t>专栏</w:t>
            </w:r>
            <w:r>
              <w:rPr>
                <w:rFonts w:cs="黑体"/>
                <w:b/>
                <w:bCs/>
              </w:rPr>
              <w:t xml:space="preserve">8  </w:t>
            </w:r>
            <w:r>
              <w:rPr>
                <w:rFonts w:hint="eastAsia" w:cs="黑体"/>
                <w:b/>
                <w:bCs/>
              </w:rPr>
              <w:t>生活性服务业发展导向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2" w:type="dxa"/>
          </w:tcPr>
          <w:p>
            <w:pPr>
              <w:pStyle w:val="15"/>
              <w:ind w:firstLine="31680"/>
              <w:rPr>
                <w:rFonts w:cs="黑体"/>
                <w:b/>
                <w:bCs/>
              </w:rPr>
            </w:pPr>
            <w:r>
              <w:rPr>
                <w:rFonts w:hint="eastAsia" w:cs="黑体"/>
                <w:b/>
                <w:bCs/>
              </w:rPr>
              <w:t>（一）商贸服务业</w:t>
            </w:r>
          </w:p>
          <w:p>
            <w:pPr>
              <w:pStyle w:val="15"/>
              <w:ind w:firstLine="31680"/>
              <w:rPr>
                <w:rFonts w:cs="黑体"/>
              </w:rPr>
            </w:pPr>
            <w:r>
              <w:rPr>
                <w:rFonts w:hint="eastAsia" w:cs="黑体"/>
              </w:rPr>
              <w:t>加快建设辐射全县的城市商圈，打造产业特色明显、业态创新持续、服务配套全面的商业片区，推动商务数字化、网络化和智能化发展，加快企业上云，推动线上线下双向融合，加快培育和引进一批综合性电商、第三方电商、垂直电商平台，普及移动电子商务</w:t>
            </w:r>
            <w:r>
              <w:rPr>
                <w:rFonts w:cs="黑体"/>
              </w:rPr>
              <w:t>,</w:t>
            </w:r>
            <w:r>
              <w:rPr>
                <w:rFonts w:hint="eastAsia" w:cs="黑体"/>
              </w:rPr>
              <w:t>引进无人超市等新兴业态，完善商务商贸发展生态系统，构建商贸发展新优势。</w:t>
            </w:r>
          </w:p>
          <w:p>
            <w:pPr>
              <w:pStyle w:val="15"/>
              <w:ind w:firstLine="31680"/>
              <w:rPr>
                <w:rFonts w:cs="黑体"/>
                <w:b/>
                <w:bCs/>
              </w:rPr>
            </w:pPr>
            <w:r>
              <w:rPr>
                <w:rFonts w:hint="eastAsia" w:cs="黑体"/>
                <w:b/>
                <w:bCs/>
              </w:rPr>
              <w:t>（二）健康养老</w:t>
            </w:r>
          </w:p>
          <w:p>
            <w:pPr>
              <w:pStyle w:val="15"/>
              <w:ind w:firstLine="31680"/>
              <w:rPr>
                <w:rFonts w:ascii="仿宋_GB2312" w:hAnsi="仿宋_GB2312" w:eastAsia="仿宋_GB2312" w:cs="仿宋_GB2312"/>
                <w:sz w:val="32"/>
                <w:szCs w:val="32"/>
              </w:rPr>
            </w:pPr>
            <w:r>
              <w:rPr>
                <w:rFonts w:hint="eastAsia" w:cs="黑体"/>
              </w:rPr>
              <w:t>积极探索“医养结合”健康养老新模式，推进老年公寓、医养中心、光荣敬老院等一批养老服务基础设施建设，新建一批颐养之家，鼓励社会资金以独资、合资、合作、联营、参股等方式发展养老服务业。</w:t>
            </w:r>
          </w:p>
        </w:tc>
      </w:tr>
    </w:tbl>
    <w:p>
      <w:pPr>
        <w:pStyle w:val="4"/>
        <w:spacing w:before="156" w:after="156"/>
      </w:pPr>
      <w:bookmarkStart w:id="25" w:name="_Toc6896"/>
      <w:r>
        <w:rPr>
          <w:rFonts w:hint="eastAsia"/>
        </w:rPr>
        <w:t>第五节</w:t>
      </w:r>
      <w:r>
        <w:t xml:space="preserve"> </w:t>
      </w:r>
      <w:r>
        <w:rPr>
          <w:rFonts w:hint="eastAsia"/>
        </w:rPr>
        <w:t>打造高水平现代化产业发展平台</w:t>
      </w:r>
      <w:bookmarkEnd w:id="25"/>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推动园区提质扩容。</w:t>
      </w:r>
      <w:r>
        <w:rPr>
          <w:rFonts w:hint="eastAsia" w:ascii="仿宋_GB2312" w:hAnsi="仿宋_GB2312" w:eastAsia="仿宋_GB2312" w:cs="仿宋_GB2312"/>
          <w:szCs w:val="32"/>
        </w:rPr>
        <w:t>完善园区基础设施建设，合理优化园区规划布局，加快建成一批标准厂房，打造一批示范企业，清理一批闲置企业，建成现代化优质园区。深入实施集群式项目满园扩园行动，开展新一轮调区扩区。按照“一区三园”空间格局，打造升级版新“星火工业园”、新“马口产业园”和单独成园的恒丰工业新区。加大园区基础设施建设投入及生产生活配套功能完善，扎实推进“五化”园区建设，实施“节地增效”行动，推进“标准地”建设，强化“亩产论英雄”导向，积极推进“腾笼换鸟”，做强产业发展“主战场”。</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优化园区体制机制。</w:t>
      </w:r>
      <w:r>
        <w:rPr>
          <w:rFonts w:hint="eastAsia" w:ascii="仿宋_GB2312" w:hAnsi="仿宋_GB2312" w:eastAsia="仿宋_GB2312" w:cs="仿宋_GB2312"/>
          <w:szCs w:val="32"/>
        </w:rPr>
        <w:t>加快推进园区综合服务体制机制改革，推动园区向创新型、生态型、专业型、服务型、贡献型方向发展。创办园区中介服务机构，为入园企业提供环安评、金融、研究、设计、法律等方面的服务，真正做到“企业办事不出园区”。加强开发区与行政区统筹协调，赋予开发区更大的改革创新自主权。加快开发区建设、管理、运营市场化改革，全面推行“园区平台</w:t>
      </w:r>
      <w:r>
        <w:rPr>
          <w:rFonts w:ascii="仿宋_GB2312" w:hAnsi="仿宋_GB2312" w:eastAsia="仿宋_GB2312" w:cs="仿宋_GB2312"/>
          <w:szCs w:val="32"/>
        </w:rPr>
        <w:t>+</w:t>
      </w:r>
      <w:r>
        <w:rPr>
          <w:rFonts w:hint="eastAsia" w:ascii="仿宋_GB2312" w:hAnsi="仿宋_GB2312" w:eastAsia="仿宋_GB2312" w:cs="仿宋_GB2312"/>
          <w:szCs w:val="32"/>
        </w:rPr>
        <w:t>特色产业</w:t>
      </w:r>
      <w:r>
        <w:rPr>
          <w:rFonts w:ascii="仿宋_GB2312" w:hAnsi="仿宋_GB2312" w:eastAsia="仿宋_GB2312" w:cs="仿宋_GB2312"/>
          <w:szCs w:val="32"/>
        </w:rPr>
        <w:t>+</w:t>
      </w:r>
      <w:r>
        <w:rPr>
          <w:rFonts w:hint="eastAsia" w:ascii="仿宋_GB2312" w:hAnsi="仿宋_GB2312" w:eastAsia="仿宋_GB2312" w:cs="仿宋_GB2312"/>
          <w:szCs w:val="32"/>
        </w:rPr>
        <w:t>标准厂房”建设模式，大力推进以全员聘任制和绩效工资制为核心的人事薪酬制度改革。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6" w:type="dxa"/>
          </w:tcPr>
          <w:p>
            <w:pPr>
              <w:pStyle w:val="15"/>
              <w:ind w:firstLine="0" w:firstLineChars="0"/>
              <w:jc w:val="center"/>
              <w:rPr>
                <w:rFonts w:cs="黑体"/>
              </w:rPr>
            </w:pPr>
            <w:r>
              <w:rPr>
                <w:rFonts w:hint="eastAsia" w:cs="黑体"/>
                <w:b/>
                <w:bCs/>
              </w:rPr>
              <w:t>专栏</w:t>
            </w:r>
            <w:r>
              <w:rPr>
                <w:rFonts w:cs="黑体"/>
                <w:b/>
                <w:bCs/>
              </w:rPr>
              <w:t xml:space="preserve">9  </w:t>
            </w:r>
            <w:r>
              <w:rPr>
                <w:rFonts w:hint="eastAsia" w:cs="黑体"/>
                <w:b/>
                <w:bCs/>
              </w:rPr>
              <w:t>现代化产业平台建设重点项目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6" w:type="dxa"/>
          </w:tcPr>
          <w:p>
            <w:pPr>
              <w:pStyle w:val="15"/>
              <w:ind w:firstLine="31680"/>
              <w:rPr>
                <w:rFonts w:cs="黑体"/>
                <w:b/>
                <w:bCs/>
              </w:rPr>
            </w:pPr>
            <w:r>
              <w:rPr>
                <w:rFonts w:hint="eastAsia" w:cs="黑体"/>
                <w:b/>
                <w:bCs/>
              </w:rPr>
              <w:t>（一）厂房建设项目</w:t>
            </w:r>
          </w:p>
          <w:p>
            <w:pPr>
              <w:pStyle w:val="15"/>
              <w:ind w:firstLine="31680"/>
              <w:rPr>
                <w:rFonts w:cs="黑体"/>
              </w:rPr>
            </w:pPr>
            <w:r>
              <w:rPr>
                <w:rFonts w:hint="eastAsia" w:cs="黑体"/>
              </w:rPr>
              <w:t>重点建设马口产业园</w:t>
            </w:r>
            <w:r>
              <w:rPr>
                <w:rFonts w:cs="黑体"/>
              </w:rPr>
              <w:t>30</w:t>
            </w:r>
            <w:r>
              <w:rPr>
                <w:rFonts w:hint="eastAsia" w:cs="黑体"/>
              </w:rPr>
              <w:t>万㎡标准厂房项目、云山工业园</w:t>
            </w:r>
            <w:r>
              <w:rPr>
                <w:rFonts w:cs="黑体"/>
              </w:rPr>
              <w:t>12</w:t>
            </w:r>
            <w:r>
              <w:rPr>
                <w:rFonts w:hint="eastAsia" w:cs="黑体"/>
              </w:rPr>
              <w:t>万㎡标准厂房项目、恒丰产业园</w:t>
            </w:r>
            <w:r>
              <w:rPr>
                <w:rFonts w:cs="黑体"/>
              </w:rPr>
              <w:t>20</w:t>
            </w:r>
            <w:r>
              <w:rPr>
                <w:rFonts w:hint="eastAsia" w:cs="黑体"/>
              </w:rPr>
              <w:t>万㎡标准厂房项目。</w:t>
            </w:r>
          </w:p>
          <w:p>
            <w:pPr>
              <w:pStyle w:val="15"/>
              <w:ind w:firstLine="31680"/>
              <w:rPr>
                <w:rFonts w:cs="黑体"/>
                <w:b/>
                <w:bCs/>
              </w:rPr>
            </w:pPr>
            <w:r>
              <w:rPr>
                <w:rFonts w:hint="eastAsia" w:cs="黑体"/>
                <w:b/>
                <w:bCs/>
              </w:rPr>
              <w:t>（二）新区建设项目</w:t>
            </w:r>
          </w:p>
          <w:p>
            <w:pPr>
              <w:pStyle w:val="15"/>
              <w:ind w:firstLine="31680"/>
              <w:rPr>
                <w:rFonts w:cs="黑体"/>
              </w:rPr>
            </w:pPr>
            <w:r>
              <w:rPr>
                <w:rFonts w:hint="eastAsia" w:cs="黑体"/>
              </w:rPr>
              <w:t>重点建设恒丰工业新区起步区土地征迁项目、恒丰工业新区起步区路网及土方平整工程项目。</w:t>
            </w:r>
          </w:p>
          <w:p>
            <w:pPr>
              <w:pStyle w:val="15"/>
              <w:ind w:firstLine="31680"/>
              <w:rPr>
                <w:rFonts w:cs="黑体"/>
                <w:b/>
                <w:bCs/>
              </w:rPr>
            </w:pPr>
            <w:r>
              <w:rPr>
                <w:rFonts w:hint="eastAsia" w:cs="黑体"/>
                <w:b/>
                <w:bCs/>
              </w:rPr>
              <w:t>（三）提质扩容项目</w:t>
            </w:r>
          </w:p>
          <w:p>
            <w:pPr>
              <w:pStyle w:val="15"/>
              <w:ind w:firstLine="31680"/>
              <w:rPr>
                <w:rFonts w:cs="黑体"/>
              </w:rPr>
            </w:pPr>
            <w:r>
              <w:rPr>
                <w:rFonts w:hint="eastAsia" w:cs="黑体"/>
              </w:rPr>
              <w:t>重点建设星火工业园品质提升工程项目、城南工业园品质提升工程项目、马口工业园品质提升工程项目、云山工业园品质提升工程项目、星火园区集中供热项目、马口产业园三四板块路网建设及土方平整工程项目。</w:t>
            </w:r>
          </w:p>
        </w:tc>
      </w:tr>
    </w:tbl>
    <w:p>
      <w:pPr>
        <w:ind w:firstLine="31680"/>
      </w:pPr>
      <w:r>
        <w:br w:type="page"/>
      </w:r>
    </w:p>
    <w:p>
      <w:pPr>
        <w:pStyle w:val="3"/>
        <w:spacing w:before="156" w:after="156"/>
        <w:rPr>
          <w:szCs w:val="36"/>
        </w:rPr>
      </w:pPr>
      <w:bookmarkStart w:id="26" w:name="_Toc5719"/>
      <w:r>
        <w:rPr>
          <w:rFonts w:hint="eastAsia"/>
          <w:szCs w:val="36"/>
        </w:rPr>
        <w:t>第四章</w:t>
      </w:r>
      <w:r>
        <w:rPr>
          <w:szCs w:val="36"/>
        </w:rPr>
        <w:t xml:space="preserve"> </w:t>
      </w:r>
      <w:r>
        <w:rPr>
          <w:rFonts w:hint="eastAsia"/>
          <w:szCs w:val="36"/>
        </w:rPr>
        <w:t>坚定实施扩大内需战略，主动融入发展新格局</w:t>
      </w:r>
      <w:bookmarkEnd w:id="2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坚持扩大规模与提升效益并重相结合的原则，以江西内陆开放型经济试验区建设为契机，积极融入区域重大发展战略，建立区域合作新机制，持续释放县域消费潜力，全面拓宽永修开放发展新空间。</w:t>
      </w:r>
    </w:p>
    <w:p>
      <w:pPr>
        <w:pStyle w:val="4"/>
        <w:spacing w:before="156" w:after="156"/>
        <w:rPr>
          <w:rFonts w:ascii="楷体" w:cs="楷体"/>
          <w:szCs w:val="32"/>
        </w:rPr>
      </w:pPr>
      <w:bookmarkStart w:id="27" w:name="_Toc16591"/>
      <w:r>
        <w:rPr>
          <w:rFonts w:hint="eastAsia" w:ascii="楷体" w:hAnsi="楷体" w:cs="楷体"/>
          <w:szCs w:val="32"/>
        </w:rPr>
        <w:t>第一节</w:t>
      </w:r>
      <w:r>
        <w:rPr>
          <w:rFonts w:ascii="楷体" w:hAnsi="楷体" w:cs="楷体"/>
          <w:szCs w:val="32"/>
        </w:rPr>
        <w:t xml:space="preserve"> </w:t>
      </w:r>
      <w:r>
        <w:rPr>
          <w:rFonts w:hint="eastAsia" w:ascii="楷体" w:hAnsi="楷体" w:cs="楷体"/>
          <w:szCs w:val="32"/>
        </w:rPr>
        <w:t>积极对接融入国家战略</w:t>
      </w:r>
      <w:bookmarkEnd w:id="27"/>
    </w:p>
    <w:p>
      <w:pPr>
        <w:ind w:firstLine="31680"/>
        <w:rPr>
          <w:rFonts w:ascii="仿宋_GB2312" w:hAnsi="仿宋_GB2312" w:eastAsia="仿宋_GB2312" w:cs="仿宋_GB2312"/>
          <w:szCs w:val="32"/>
        </w:rPr>
      </w:pPr>
      <w:r>
        <w:rPr>
          <w:rFonts w:hint="eastAsia"/>
          <w:b/>
          <w:bCs/>
        </w:rPr>
        <w:t>全面对接区域合作大格局。</w:t>
      </w:r>
      <w:r>
        <w:rPr>
          <w:rFonts w:hint="eastAsia" w:ascii="仿宋_GB2312" w:hAnsi="仿宋_GB2312" w:eastAsia="仿宋_GB2312" w:cs="仿宋_GB2312"/>
          <w:szCs w:val="32"/>
        </w:rPr>
        <w:t>积极参与长江经济带发展、中部地区崛起，主动对接长三角一体化、粤港澳大湾区建设、武汉都市圈、大南昌都市圈建设，构建开放大通道，在旅游、产业、文化、生态、教育、卫生等领域深化跨区域合作交流，创新园区共建、园区托管、异地孵化、飞地经济等合作模式，探索与沿海地区建立产业协作利益分享、异地流转项目利益共享机制。组织引导龙头企业积极开拓“一带一路”沿线地区的市场，支持企业在沿线地区建设国际营销网络和售后服务体系，提升对外贸易水平。</w:t>
      </w:r>
    </w:p>
    <w:p>
      <w:pPr>
        <w:ind w:firstLine="31680"/>
        <w:rPr>
          <w:rFonts w:ascii="仿宋_GB2312" w:hAnsi="仿宋_GB2312" w:eastAsia="仿宋_GB2312" w:cs="仿宋_GB2312"/>
          <w:szCs w:val="32"/>
        </w:rPr>
      </w:pPr>
      <w:r>
        <w:rPr>
          <w:rFonts w:hint="eastAsia"/>
          <w:b/>
          <w:bCs/>
        </w:rPr>
        <w:t>主动融入赣江新区一体化。</w:t>
      </w:r>
      <w:r>
        <w:rPr>
          <w:rFonts w:hint="eastAsia" w:ascii="仿宋_GB2312" w:hAnsi="仿宋_GB2312" w:eastAsia="仿宋_GB2312" w:cs="仿宋_GB2312"/>
          <w:szCs w:val="32"/>
        </w:rPr>
        <w:t>永修组团以“制造基地、‘双创’平台、物流枢纽、城市中心、生态腹地”自身定位，主动对接赣江新区建设，在城市建设与产业发展统筹推进、生态环境联防联治、基础设施互联互通、市场要素对接对流、公共服务共建共享等领域深入推进，积极探索区域合作新机制体制，优化开放合作交流工作机制。</w:t>
      </w:r>
    </w:p>
    <w:p>
      <w:pPr>
        <w:pStyle w:val="4"/>
        <w:spacing w:before="156" w:after="156"/>
        <w:rPr>
          <w:rFonts w:ascii="楷体" w:cs="楷体"/>
        </w:rPr>
      </w:pPr>
      <w:bookmarkStart w:id="28" w:name="_Toc27787"/>
      <w:r>
        <w:rPr>
          <w:rFonts w:hint="eastAsia" w:ascii="楷体" w:hAnsi="楷体" w:cs="楷体"/>
        </w:rPr>
        <w:t>第二节</w:t>
      </w:r>
      <w:r>
        <w:rPr>
          <w:rFonts w:ascii="楷体" w:hAnsi="楷体" w:cs="楷体"/>
        </w:rPr>
        <w:t xml:space="preserve"> </w:t>
      </w:r>
      <w:r>
        <w:rPr>
          <w:rFonts w:hint="eastAsia" w:ascii="楷体" w:hAnsi="楷体" w:cs="楷体"/>
        </w:rPr>
        <w:t>全力拓展有效投资空间</w:t>
      </w:r>
      <w:bookmarkEnd w:id="28"/>
    </w:p>
    <w:p>
      <w:pPr>
        <w:ind w:firstLine="31680"/>
        <w:rPr>
          <w:rFonts w:ascii="仿宋_GB2312" w:hAnsi="仿宋_GB2312" w:eastAsia="仿宋_GB2312" w:cs="仿宋_GB2312"/>
          <w:szCs w:val="32"/>
        </w:rPr>
      </w:pPr>
      <w:r>
        <w:rPr>
          <w:rFonts w:hint="eastAsia"/>
          <w:b/>
          <w:bCs/>
        </w:rPr>
        <w:t>合理引导资本流向。</w:t>
      </w:r>
      <w:r>
        <w:rPr>
          <w:rFonts w:hint="eastAsia" w:ascii="仿宋_GB2312" w:hAnsi="仿宋_GB2312" w:eastAsia="仿宋_GB2312" w:cs="仿宋_GB2312"/>
          <w:szCs w:val="32"/>
        </w:rPr>
        <w:t>依靠基础设施网络，瞄准公共服务、环境卫生、产业培育、农村建设等领域，加快引导资本流入。持续加大社会保障、公共卫生、就业创业、生态环保、防灾减灾、物资储备等民生和社会领域投入</w:t>
      </w:r>
      <w:r>
        <w:rPr>
          <w:rFonts w:ascii="仿宋_GB2312" w:hAnsi="仿宋_GB2312" w:eastAsia="仿宋_GB2312" w:cs="仿宋_GB2312"/>
          <w:szCs w:val="32"/>
        </w:rPr>
        <w:t>,</w:t>
      </w:r>
      <w:r>
        <w:rPr>
          <w:rFonts w:hint="eastAsia" w:ascii="仿宋_GB2312" w:hAnsi="仿宋_GB2312" w:eastAsia="仿宋_GB2312" w:cs="仿宋_GB2312"/>
          <w:szCs w:val="32"/>
        </w:rPr>
        <w:t>加快补齐民生服务短板。着力扩大实体经济投资，支持传统产业改造升级</w:t>
      </w:r>
      <w:r>
        <w:rPr>
          <w:rFonts w:ascii="仿宋_GB2312" w:hAnsi="仿宋_GB2312" w:eastAsia="仿宋_GB2312" w:cs="仿宋_GB2312"/>
          <w:szCs w:val="32"/>
        </w:rPr>
        <w:t>,</w:t>
      </w:r>
      <w:r>
        <w:rPr>
          <w:rFonts w:hint="eastAsia" w:ascii="仿宋_GB2312" w:hAnsi="仿宋_GB2312" w:eastAsia="仿宋_GB2312" w:cs="仿宋_GB2312"/>
          <w:szCs w:val="32"/>
        </w:rPr>
        <w:t>扩大对服务业新业态、新模式的投资，支持企业设备更新和技术改造投资，推进现代服务业快速发展。持续加大电子信息、新能源新材料、智能制造、绿色旅游、大健康等新技术新产业领域投资力度。进一步加大农业农村有效投资规模，着力补上农村基础设施短板。</w:t>
      </w:r>
    </w:p>
    <w:p>
      <w:pPr>
        <w:ind w:firstLine="31680"/>
        <w:rPr>
          <w:rFonts w:ascii="仿宋_GB2312" w:hAnsi="仿宋_GB2312" w:eastAsia="仿宋_GB2312" w:cs="仿宋_GB2312"/>
          <w:szCs w:val="32"/>
        </w:rPr>
      </w:pPr>
      <w:r>
        <w:rPr>
          <w:rFonts w:hint="eastAsia"/>
          <w:b/>
          <w:bCs/>
        </w:rPr>
        <w:t>建立健全投资内生增长机制。</w:t>
      </w:r>
      <w:r>
        <w:rPr>
          <w:rFonts w:hint="eastAsia" w:ascii="仿宋_GB2312" w:hAnsi="仿宋_GB2312" w:eastAsia="仿宋_GB2312" w:cs="仿宋_GB2312"/>
          <w:szCs w:val="32"/>
        </w:rPr>
        <w:t>推动政府投资由财政拨款向财政投资转型，完善投资决策、管理与监督机制。推进国有控股平台整合，提升资本市场化运作水平，力争打造资产规模千亿的“巨无霸”平台。加快建立企业投资市场主导、融资渠道丰富畅通、政府服务灵活高效、监管适度科学的新型企业投资管理体制。创新政府投融资方式，完善政府和社会资本合作模式，引导和鼓励民间投资进入基础设施和公共服务领城，进一步激发民间投资活力，形成市场主导的投资内生型增长机制。</w:t>
      </w:r>
    </w:p>
    <w:p>
      <w:pPr>
        <w:pStyle w:val="4"/>
        <w:spacing w:before="156" w:after="156"/>
        <w:rPr>
          <w:rFonts w:ascii="楷体" w:cs="楷体"/>
        </w:rPr>
      </w:pPr>
      <w:bookmarkStart w:id="29" w:name="_Toc9308"/>
      <w:r>
        <w:rPr>
          <w:rFonts w:hint="eastAsia" w:ascii="楷体" w:hAnsi="楷体" w:cs="楷体"/>
        </w:rPr>
        <w:t>第三节</w:t>
      </w:r>
      <w:r>
        <w:rPr>
          <w:rFonts w:ascii="楷体" w:hAnsi="楷体" w:cs="楷体"/>
        </w:rPr>
        <w:t xml:space="preserve"> </w:t>
      </w:r>
      <w:r>
        <w:rPr>
          <w:rFonts w:hint="eastAsia" w:ascii="楷体" w:hAnsi="楷体" w:cs="楷体"/>
        </w:rPr>
        <w:t>持续释放消费潜力</w:t>
      </w:r>
      <w:bookmarkEnd w:id="29"/>
    </w:p>
    <w:p>
      <w:pPr>
        <w:ind w:firstLine="31680"/>
        <w:rPr>
          <w:b/>
          <w:bCs/>
        </w:rPr>
      </w:pPr>
      <w:r>
        <w:rPr>
          <w:rFonts w:hint="eastAsia"/>
          <w:b/>
          <w:bCs/>
        </w:rPr>
        <w:t>提升消费供给质量。</w:t>
      </w:r>
      <w:r>
        <w:rPr>
          <w:rFonts w:hint="eastAsia" w:ascii="仿宋_GB2312" w:hAnsi="仿宋_GB2312" w:eastAsia="仿宋_GB2312" w:cs="仿宋_GB2312"/>
          <w:szCs w:val="32"/>
        </w:rPr>
        <w:t>大力实施质量提升工程，推进消费品由普通产品向优质产品领域拓展，建立覆盖产品全生命周期的质量管理体系。完善质量监督管理体系，健全产业和服务业标准体系，推进服务业标准准入制试点，以标准化引领质量提升，深入实施消费品农业增品种、提品质、创品牌战略，全面开展品牌宣传推广行动，积极利用网络平台开展永修特色农产品品牌活动，打响永修农产品品牌知名度和美誉度。</w:t>
      </w:r>
    </w:p>
    <w:p>
      <w:pPr>
        <w:ind w:firstLine="31680"/>
        <w:rPr>
          <w:rFonts w:ascii="仿宋_GB2312" w:hAnsi="仿宋_GB2312" w:eastAsia="仿宋_GB2312" w:cs="仿宋_GB2312"/>
          <w:szCs w:val="32"/>
        </w:rPr>
      </w:pPr>
      <w:r>
        <w:rPr>
          <w:rFonts w:hint="eastAsia"/>
          <w:b/>
          <w:bCs/>
        </w:rPr>
        <w:t>激发消费需求。</w:t>
      </w:r>
      <w:r>
        <w:rPr>
          <w:rFonts w:hint="eastAsia" w:ascii="仿宋_GB2312" w:hAnsi="仿宋_GB2312" w:eastAsia="仿宋_GB2312" w:cs="仿宋_GB2312"/>
          <w:szCs w:val="32"/>
        </w:rPr>
        <w:t>加快推进特色街区改造提档，实施重点商圈品质提升行动，引进一批优质特色品牌联动，扩大城市时尚消费的辐射力、影响力。鼓励商贸流通企业渠道下沉乡村，引导优质商品和服务向农村延伸，挖掘农村消费潜力，促进消费更新迭代。完善城乡商业网点布局，构建高效配送网络体系，降低流通成本。建立健全有利于促进消费的城市管理等配套政策体系，规范发展“地摊经济”。扩大城市时尚消费的辐射力和影响力，引导社会力量扩容旅游、文化、体育、健康、托育、养老、家政等服务消费领域。强化消费者权益保护，畅通维权渠道，健全特定消费领域规章制度，加强消费领域信用建设，完善快捷消费纠纷调解援助机制，健全个人信息保护、消费后评价等制度。</w:t>
      </w:r>
    </w:p>
    <w:p>
      <w:pPr>
        <w:pStyle w:val="2"/>
        <w:ind w:firstLine="31680"/>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0" w:type="dxa"/>
          </w:tcPr>
          <w:p>
            <w:pPr>
              <w:pStyle w:val="15"/>
              <w:ind w:firstLine="0" w:firstLineChars="0"/>
              <w:jc w:val="center"/>
              <w:rPr>
                <w:rFonts w:cs="黑体"/>
              </w:rPr>
            </w:pPr>
            <w:r>
              <w:rPr>
                <w:rFonts w:hint="eastAsia" w:cs="黑体"/>
                <w:b/>
                <w:bCs/>
              </w:rPr>
              <w:t>专栏</w:t>
            </w:r>
            <w:r>
              <w:rPr>
                <w:rFonts w:cs="黑体"/>
                <w:b/>
                <w:bCs/>
              </w:rPr>
              <w:t xml:space="preserve">10  </w:t>
            </w:r>
            <w:r>
              <w:rPr>
                <w:rFonts w:hint="eastAsia" w:cs="黑体"/>
                <w:b/>
                <w:bCs/>
              </w:rPr>
              <w:t>促进商品消费升级行动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0" w:type="dxa"/>
          </w:tcPr>
          <w:p>
            <w:pPr>
              <w:pStyle w:val="15"/>
              <w:ind w:firstLine="31680"/>
              <w:rPr>
                <w:rFonts w:cs="黑体"/>
                <w:b/>
                <w:bCs/>
              </w:rPr>
            </w:pPr>
            <w:r>
              <w:rPr>
                <w:rFonts w:hint="eastAsia" w:cs="黑体"/>
                <w:b/>
                <w:bCs/>
              </w:rPr>
              <w:t>（一）商品质量保障行动</w:t>
            </w:r>
          </w:p>
          <w:p>
            <w:pPr>
              <w:pStyle w:val="15"/>
              <w:ind w:firstLine="31680"/>
              <w:rPr>
                <w:rFonts w:cs="黑体"/>
              </w:rPr>
            </w:pPr>
            <w:r>
              <w:rPr>
                <w:rFonts w:hint="eastAsia" w:cs="黑体"/>
              </w:rPr>
              <w:t>提升永修本地商品品质，增加优质农产品供给力度，不断满足永修人民对消费品质提升的需求，实现“永修生产”成为优质的代名词。</w:t>
            </w:r>
          </w:p>
          <w:p>
            <w:pPr>
              <w:pStyle w:val="15"/>
              <w:ind w:firstLine="31680"/>
              <w:rPr>
                <w:rFonts w:cs="黑体"/>
                <w:b/>
                <w:bCs/>
              </w:rPr>
            </w:pPr>
            <w:r>
              <w:rPr>
                <w:rFonts w:hint="eastAsia" w:cs="黑体"/>
                <w:b/>
                <w:bCs/>
              </w:rPr>
              <w:t>（二）消费市场提升行动</w:t>
            </w:r>
            <w:r>
              <w:rPr>
                <w:rFonts w:cs="黑体"/>
                <w:b/>
                <w:bCs/>
              </w:rPr>
              <w:t xml:space="preserve"> </w:t>
            </w:r>
          </w:p>
          <w:p>
            <w:pPr>
              <w:pStyle w:val="15"/>
              <w:ind w:firstLine="31680"/>
              <w:rPr>
                <w:rFonts w:cs="黑体"/>
              </w:rPr>
            </w:pPr>
            <w:r>
              <w:rPr>
                <w:rFonts w:hint="eastAsia" w:cs="黑体"/>
              </w:rPr>
              <w:t>建设特色商业街区，打造集旅游、休闲、消费等一体化园区，繁荣社区便民消费圈，推动市场交易升级。提高消费环境建设，进一步加大生产卫生和消费环境干净整洁，促进消费市场繁荣振兴。</w:t>
            </w:r>
          </w:p>
          <w:p>
            <w:pPr>
              <w:pStyle w:val="15"/>
              <w:ind w:firstLine="31680"/>
              <w:rPr>
                <w:rFonts w:cs="黑体"/>
                <w:b/>
                <w:bCs/>
              </w:rPr>
            </w:pPr>
            <w:r>
              <w:rPr>
                <w:rFonts w:hint="eastAsia" w:cs="黑体"/>
                <w:b/>
                <w:bCs/>
              </w:rPr>
              <w:t>（三）消费场景塑造行动</w:t>
            </w:r>
            <w:r>
              <w:rPr>
                <w:rFonts w:cs="黑体"/>
                <w:b/>
                <w:bCs/>
              </w:rPr>
              <w:t xml:space="preserve">  </w:t>
            </w:r>
          </w:p>
          <w:p>
            <w:pPr>
              <w:pStyle w:val="15"/>
              <w:ind w:firstLine="31680"/>
              <w:rPr>
                <w:rFonts w:cs="黑体"/>
              </w:rPr>
            </w:pPr>
            <w:r>
              <w:rPr>
                <w:rFonts w:hint="eastAsia" w:cs="黑体"/>
              </w:rPr>
              <w:t>做大做活商旅文体融合，打造风情小镇、农垦小镇、特色民俗村、生态文化园等主题活动，吸引县外人群来永修旅游，扩大本地客源，激发当地消费潜力，形成强大消费量。</w:t>
            </w:r>
          </w:p>
          <w:p>
            <w:pPr>
              <w:pStyle w:val="15"/>
              <w:ind w:firstLine="31680"/>
              <w:rPr>
                <w:rFonts w:cs="黑体"/>
              </w:rPr>
            </w:pPr>
            <w:r>
              <w:rPr>
                <w:rFonts w:hint="eastAsia" w:cs="黑体"/>
                <w:b/>
                <w:bCs/>
              </w:rPr>
              <w:t>（四）农村消费升级行动</w:t>
            </w:r>
            <w:r>
              <w:rPr>
                <w:rFonts w:cs="黑体"/>
                <w:b/>
                <w:bCs/>
              </w:rPr>
              <w:t xml:space="preserve">  </w:t>
            </w:r>
          </w:p>
          <w:p>
            <w:pPr>
              <w:pStyle w:val="15"/>
              <w:ind w:firstLine="31680"/>
              <w:rPr>
                <w:rFonts w:cs="黑体"/>
              </w:rPr>
            </w:pPr>
            <w:r>
              <w:rPr>
                <w:rFonts w:hint="eastAsia" w:cs="黑体"/>
              </w:rPr>
              <w:t>开展汽车、家电下乡等转型行动，采取企业让利、政府补贴方式激发农村消费潜力。促进农产品消费线上线下融合发展，扩大“永修香米”“永修蜜桔”、油茶艾叶等电商平台销售渠道，提升永修农产品知名度。</w:t>
            </w:r>
          </w:p>
        </w:tc>
      </w:tr>
    </w:tbl>
    <w:p>
      <w:pPr>
        <w:pStyle w:val="4"/>
        <w:spacing w:before="156" w:after="156"/>
      </w:pPr>
      <w:bookmarkStart w:id="30" w:name="_Toc22159"/>
      <w:r>
        <w:rPr>
          <w:rFonts w:hint="eastAsia"/>
        </w:rPr>
        <w:t>第四节</w:t>
      </w:r>
      <w:r>
        <w:t xml:space="preserve"> </w:t>
      </w:r>
      <w:r>
        <w:rPr>
          <w:rFonts w:hint="eastAsia"/>
        </w:rPr>
        <w:t>全面融入国内国际双循环体系</w:t>
      </w:r>
      <w:bookmarkEnd w:id="3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积极探索有利于促进构建全国新发展格局的有效路径，畅通生产、分配、流通、消费各环节，促进经济良性循环。畅通产业要素循环，主动承接沿海发达地区产业转移，加快从中低端产业为主向中高端产业为主转变，提升产业创新力和竞争力；畅通市场要素循环，加快从有形市场为主向线上线下市场为主转变，促进内需和外需、进口和出口、引进外资和对外投资协调发展；畅通人才要素循环，加快从依靠中低端人才为主向中高端人才为主转变，优化人才结构；畅通技术要素循环，加快从技术引进应用为主向自主研发运用为主转变；畅通资本要素循环，加快从主要依靠间接融资向多元化融资方式转变。持续深化供给侧结构性改革，提高供需适配性，着力释放投资消费潜力。</w:t>
      </w:r>
    </w:p>
    <w:p>
      <w:pPr>
        <w:ind w:firstLine="31680"/>
      </w:pPr>
      <w:r>
        <w:br w:type="page"/>
      </w:r>
    </w:p>
    <w:p>
      <w:pPr>
        <w:pStyle w:val="3"/>
        <w:spacing w:before="156" w:after="156"/>
      </w:pPr>
      <w:bookmarkStart w:id="31" w:name="_Toc21232"/>
      <w:r>
        <w:rPr>
          <w:rFonts w:hint="eastAsia"/>
          <w:szCs w:val="36"/>
        </w:rPr>
        <w:t>第五章</w:t>
      </w:r>
      <w:r>
        <w:rPr>
          <w:szCs w:val="36"/>
        </w:rPr>
        <w:t xml:space="preserve"> </w:t>
      </w:r>
      <w:r>
        <w:rPr>
          <w:rFonts w:hint="eastAsia"/>
          <w:szCs w:val="36"/>
        </w:rPr>
        <w:t>推进改革开放走深走实，全力打造营商环境新高地</w:t>
      </w:r>
      <w:bookmarkEnd w:id="3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定不移继续推进“放管服”改革，推动有效市场和有为政府更好结合，以重点领域和关键环节改革为突破口，全力打造“四最”营商环境，整体协同推进改革开放，以改革红利塑造发展优势，增加发展内生动力。</w:t>
      </w:r>
    </w:p>
    <w:p>
      <w:pPr>
        <w:pStyle w:val="4"/>
        <w:spacing w:before="156" w:after="156"/>
        <w:rPr>
          <w:rFonts w:ascii="楷体" w:cs="楷体"/>
        </w:rPr>
      </w:pPr>
      <w:bookmarkStart w:id="32" w:name="_Toc1294"/>
      <w:r>
        <w:rPr>
          <w:rFonts w:hint="eastAsia" w:ascii="楷体" w:hAnsi="楷体" w:cs="楷体"/>
        </w:rPr>
        <w:t>第一节</w:t>
      </w:r>
      <w:r>
        <w:rPr>
          <w:rFonts w:ascii="楷体" w:hAnsi="楷体" w:cs="楷体"/>
        </w:rPr>
        <w:t xml:space="preserve"> </w:t>
      </w:r>
      <w:r>
        <w:rPr>
          <w:rFonts w:hint="eastAsia" w:ascii="楷体" w:hAnsi="楷体" w:cs="楷体"/>
        </w:rPr>
        <w:t>激发各类市场主体活力</w:t>
      </w:r>
      <w:bookmarkEnd w:id="32"/>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深化国资国企改革。</w:t>
      </w:r>
      <w:r>
        <w:rPr>
          <w:rFonts w:hint="eastAsia" w:ascii="仿宋_GB2312" w:hAnsi="仿宋_GB2312" w:eastAsia="仿宋_GB2312" w:cs="仿宋_GB2312"/>
          <w:szCs w:val="32"/>
        </w:rPr>
        <w:t>激发投资集团、云山企业集团、恒丰企业集团等国有企业活力，维护国有资本安全，提高国有资本运营效率。加快国有经济布局优化和结构调整，更好地发挥国有企业在畅通产业循环、市场循环、经济社会循环等方面的引领带动作用，培育一批新经济新动能领域成长型企业。健全企业国有资产监管制度，支持国企带动民营企业、中小企业协同发展，推动国有资本向重要行业和关键领域集中。加快国有企业战略重组，进一步健全完善现代企业制度。加快完善国有企业法人治理结构，分层分类推进混合所有制改革，注重党的领导和公司治理完善相统一。</w:t>
      </w:r>
    </w:p>
    <w:p>
      <w:pPr>
        <w:ind w:firstLine="31680"/>
        <w:rPr>
          <w:rFonts w:ascii="仿宋_GB2312" w:hAnsi="仿宋_GB2312" w:eastAsia="仿宋_GB2312" w:cs="仿宋_GB2312"/>
        </w:rPr>
      </w:pPr>
      <w:r>
        <w:rPr>
          <w:rFonts w:hint="eastAsia" w:ascii="仿宋_GB2312" w:hAnsi="仿宋_GB2312" w:eastAsia="仿宋_GB2312" w:cs="仿宋_GB2312"/>
          <w:b/>
          <w:bCs/>
        </w:rPr>
        <w:t>支持非公有制经济高质量发展。</w:t>
      </w:r>
      <w:r>
        <w:rPr>
          <w:rFonts w:hint="eastAsia" w:ascii="仿宋_GB2312" w:hAnsi="仿宋_GB2312" w:eastAsia="仿宋_GB2312" w:cs="仿宋_GB2312"/>
        </w:rPr>
        <w:t>破除制约公有制经济发展的各类障碍和隐形壁垒，在要素获取、准入许可、经营运行、政府采购和招标投标等方面对各类所有制企业依法平等对待。支持符合条件的民营企业可获得项目控制权。完善涉企业政策制定和执行机制，健全执法司法对民营企业的平等保护机制，优化民营企业融资增信支持体系，落实好民营企业和国有企业在贷款方面的公平政策。支持优质民营企业上市和并购重组，更加精准化解民营企业流动性风险。加大中小微企业和个体工商户税费、信贷等政策优惠力度。建立健全民营企业救助纾困机制，帮助民营企业债务风险。</w:t>
      </w:r>
    </w:p>
    <w:p>
      <w:pPr>
        <w:ind w:firstLine="31680"/>
        <w:rPr>
          <w:rFonts w:ascii="仿宋_GB2312" w:hAnsi="仿宋_GB2312" w:eastAsia="仿宋_GB2312" w:cs="仿宋_GB2312"/>
        </w:rPr>
      </w:pPr>
      <w:r>
        <w:rPr>
          <w:rFonts w:hint="eastAsia" w:ascii="仿宋_GB2312" w:hAnsi="仿宋_GB2312" w:eastAsia="仿宋_GB2312" w:cs="仿宋_GB2312"/>
          <w:b/>
          <w:bCs/>
        </w:rPr>
        <w:t>推进新型市场主体健康有序发展。</w:t>
      </w:r>
      <w:r>
        <w:rPr>
          <w:rFonts w:hint="eastAsia" w:ascii="仿宋_GB2312" w:hAnsi="仿宋_GB2312" w:eastAsia="仿宋_GB2312" w:cs="仿宋_GB2312"/>
        </w:rPr>
        <w:t>加大对电子商务等新型市场主体的政策引导、支持和保障力度。进一步简化互联网平台企业设立手续，放宽电子商务类平台住所登记条件。清理和规范制约新型市场主体健康发展的行政许可、资质资格等事项，优化完善准入条件，审批流程和服务，加快平台经济参与者合规化进程。创新监管理念和方式，落实和完善包容监管要求，探索适应新业态特点、有利于公平竞争的监管办法。建立健全跨部门协同监管机制，构建多元共治的监管格局。</w:t>
      </w:r>
    </w:p>
    <w:p>
      <w:pPr>
        <w:pStyle w:val="4"/>
        <w:spacing w:before="156" w:after="156"/>
        <w:rPr>
          <w:rFonts w:ascii="楷体" w:cs="楷体"/>
        </w:rPr>
      </w:pPr>
      <w:bookmarkStart w:id="33" w:name="_Toc6242"/>
      <w:r>
        <w:rPr>
          <w:rFonts w:hint="eastAsia" w:ascii="楷体" w:hAnsi="楷体" w:cs="楷体"/>
        </w:rPr>
        <w:t>第二节</w:t>
      </w:r>
      <w:r>
        <w:rPr>
          <w:rFonts w:ascii="楷体" w:hAnsi="楷体" w:cs="楷体"/>
        </w:rPr>
        <w:t xml:space="preserve"> </w:t>
      </w:r>
      <w:r>
        <w:rPr>
          <w:rFonts w:hint="eastAsia" w:ascii="楷体" w:hAnsi="楷体" w:cs="楷体"/>
        </w:rPr>
        <w:t>推动要素市场化改革</w:t>
      </w:r>
      <w:bookmarkEnd w:id="33"/>
    </w:p>
    <w:p>
      <w:pPr>
        <w:ind w:firstLine="31680"/>
        <w:rPr>
          <w:rFonts w:ascii="仿宋_GB2312" w:hAnsi="仿宋_GB2312" w:eastAsia="仿宋_GB2312" w:cs="仿宋_GB2312"/>
        </w:rPr>
      </w:pPr>
      <w:r>
        <w:rPr>
          <w:rFonts w:hint="eastAsia" w:ascii="仿宋_GB2312" w:hAnsi="仿宋_GB2312" w:eastAsia="仿宋_GB2312" w:cs="仿宋_GB2312"/>
          <w:b/>
          <w:bCs/>
        </w:rPr>
        <w:t>依法保障市场公平竞争。</w:t>
      </w:r>
      <w:r>
        <w:rPr>
          <w:rFonts w:hint="eastAsia" w:ascii="仿宋_GB2312" w:hAnsi="仿宋_GB2312" w:eastAsia="仿宋_GB2312" w:cs="仿宋_GB2312"/>
        </w:rPr>
        <w:t>坚持以市场化改革为方向，建立完善公平开放透明的市场规则，完善主要由市场决定价格的机制，加快建立统一开放竞争有序的市场体系。深化商事制度改革，实行统一的市场准入制度，探索对外商投资实行准入前国民待遇加负面清单的管理模式。实行统一的市场监管，清理和废除妨碍市场统一和公平竞争的优惠政策、补贴措施和规章制度，反对垄断和不正当竞争。全面放开竞争性环节价格，完善价格信息发布制度，健全市场价格实时监测预警体系，加大反价格垄断、反价格欺诈执法力度。</w:t>
      </w:r>
    </w:p>
    <w:p>
      <w:pPr>
        <w:ind w:firstLine="31680"/>
        <w:rPr>
          <w:rFonts w:ascii="仿宋_GB2312" w:hAnsi="仿宋_GB2312" w:eastAsia="仿宋_GB2312" w:cs="仿宋_GB2312"/>
        </w:rPr>
      </w:pPr>
      <w:r>
        <w:rPr>
          <w:rFonts w:hint="eastAsia" w:ascii="仿宋_GB2312" w:hAnsi="仿宋_GB2312" w:eastAsia="仿宋_GB2312" w:cs="仿宋_GB2312"/>
          <w:b/>
          <w:bCs/>
        </w:rPr>
        <w:t>建设高标准市场体系。</w:t>
      </w:r>
      <w:r>
        <w:rPr>
          <w:rFonts w:hint="eastAsia" w:ascii="仿宋_GB2312" w:hAnsi="仿宋_GB2312" w:eastAsia="仿宋_GB2312" w:cs="仿宋_GB2312"/>
        </w:rPr>
        <w:t>打破生产要素流动壁垒，扩大要素市场化配置范围，社会土地、劳动力、技术、数据等市场化配置改革，加快培育技术和数据要素市场，建设统一开放、竞争有序的市场体系。健全以公平为原则的产权保护制度，依法有效保护各种所有制经济组织和公民财产权。完善自然资源有偿使用、农村集体产权确权、财产征收征用等制度，建立健全产权流转交易平台体系。完善产权纠纷多元化化解机制。健全更加严格的知识产权保护制度，实施知识产权侵权惩罚性赔偿制度，加大新业态、新领域知识产权保护力度。</w:t>
      </w:r>
    </w:p>
    <w:p>
      <w:pPr>
        <w:pStyle w:val="4"/>
        <w:spacing w:before="156" w:after="156"/>
        <w:rPr>
          <w:rFonts w:ascii="楷体" w:cs="楷体"/>
        </w:rPr>
      </w:pPr>
      <w:bookmarkStart w:id="34" w:name="_Toc17166"/>
      <w:r>
        <w:rPr>
          <w:rFonts w:hint="eastAsia" w:ascii="楷体" w:hAnsi="楷体" w:cs="楷体"/>
        </w:rPr>
        <w:t>第三节</w:t>
      </w:r>
      <w:r>
        <w:rPr>
          <w:rFonts w:ascii="楷体" w:hAnsi="楷体" w:cs="楷体"/>
        </w:rPr>
        <w:t xml:space="preserve"> </w:t>
      </w:r>
      <w:r>
        <w:rPr>
          <w:rFonts w:hint="eastAsia" w:ascii="楷体" w:hAnsi="楷体" w:cs="楷体"/>
        </w:rPr>
        <w:t>进一步优化营商环境</w:t>
      </w:r>
      <w:bookmarkEnd w:id="34"/>
    </w:p>
    <w:p>
      <w:pPr>
        <w:ind w:firstLine="31680"/>
        <w:rPr>
          <w:rFonts w:ascii="仿宋_GB2312" w:hAnsi="仿宋_GB2312" w:eastAsia="仿宋_GB2312" w:cs="仿宋_GB2312"/>
        </w:rPr>
      </w:pPr>
      <w:r>
        <w:rPr>
          <w:rFonts w:hint="eastAsia" w:ascii="仿宋_GB2312" w:hAnsi="仿宋_GB2312" w:eastAsia="仿宋_GB2312" w:cs="仿宋_GB2312"/>
          <w:b/>
          <w:bCs/>
        </w:rPr>
        <w:t>加快政府职能转变。</w:t>
      </w:r>
      <w:r>
        <w:rPr>
          <w:rFonts w:hint="eastAsia" w:ascii="仿宋_GB2312" w:hAnsi="仿宋_GB2312" w:eastAsia="仿宋_GB2312" w:cs="仿宋_GB2312"/>
        </w:rPr>
        <w:t>深入推进“五型”政府建设，全面提高政府服务效能。优化行政管理和服务方式，全面实施政府权责清单制度，加强和改进政务公开，健全信息实施推送和对外发布制度。继续深化“放管服”改革，精减准入审批手续，深化投资审批制度改革，积极融入完善全省一体化在线政务服务平台功能，加大赣服通、赣政通推广使用建设，</w:t>
      </w:r>
      <w:r>
        <w:rPr>
          <w:rFonts w:hint="eastAsia" w:ascii="仿宋_GB2312" w:hAnsi="仿宋_GB2312" w:eastAsia="仿宋_GB2312" w:cs="仿宋_GB2312"/>
          <w:szCs w:val="32"/>
        </w:rPr>
        <w:t>统筹建设“</w:t>
      </w:r>
      <w:r>
        <w:rPr>
          <w:rFonts w:ascii="仿宋_GB2312" w:hAnsi="仿宋_GB2312" w:eastAsia="仿宋_GB2312" w:cs="仿宋_GB2312"/>
          <w:szCs w:val="32"/>
        </w:rPr>
        <w:t>12345</w:t>
      </w:r>
      <w:r>
        <w:rPr>
          <w:rFonts w:hint="eastAsia" w:ascii="仿宋_GB2312" w:hAnsi="仿宋_GB2312" w:eastAsia="仿宋_GB2312" w:cs="仿宋_GB2312"/>
          <w:szCs w:val="32"/>
        </w:rPr>
        <w:t>”政务服务热线平台和政务服务“好差评”制度</w:t>
      </w:r>
      <w:r>
        <w:rPr>
          <w:rFonts w:hint="eastAsia" w:ascii="仿宋_GB2312" w:hAnsi="仿宋_GB2312" w:eastAsia="仿宋_GB2312" w:cs="仿宋_GB2312"/>
        </w:rPr>
        <w:t>。推进“数字政府”建设，实施全程电子化登记和电子营业执照管理，建立“一口受理、同步审批”的“一站式”高效服务模式。推进产业资本运营体系改革，以更高标准满足产业项目全生命周期资本需求。支持符合条件的企业发行债券，合理整合政府性融资担保资源。</w:t>
      </w:r>
    </w:p>
    <w:p>
      <w:pPr>
        <w:ind w:firstLine="31680"/>
        <w:rPr>
          <w:rFonts w:ascii="仿宋_GB2312" w:hAnsi="仿宋_GB2312" w:eastAsia="仿宋_GB2312" w:cs="仿宋_GB2312"/>
        </w:rPr>
      </w:pPr>
      <w:r>
        <w:rPr>
          <w:rFonts w:hint="eastAsia" w:ascii="仿宋_GB2312" w:hAnsi="仿宋_GB2312" w:eastAsia="仿宋_GB2312" w:cs="仿宋_GB2312"/>
          <w:b/>
          <w:bCs/>
        </w:rPr>
        <w:t>构建亲清政商关系。</w:t>
      </w:r>
      <w:r>
        <w:rPr>
          <w:rFonts w:hint="eastAsia" w:ascii="仿宋_GB2312" w:hAnsi="仿宋_GB2312" w:eastAsia="仿宋_GB2312" w:cs="仿宋_GB2312"/>
        </w:rPr>
        <w:t>加快推进政府信息公开，提高政府在重大投资项目、政府采购、产业引导基金分配、财政补贴等领域的透明度。建立制度化、常态化政企沟通渠道，健全企业家参与涉企政策制定机制，完善企业诉求收集、处理、反馈制度，全面提升政务服务质量。健全重大政策事前评估和事后评价制度，畅通参与政策制定渠道，建立健全责任追究制度，切实解决政府管理缺位、不作为和乱作为的问题。营造公平竞争市场监管环境，严格落实企业信息公示、经营异常名录、严重违法企业名单等制度，实现“双随机、一公开”监管全覆盖、常态化，加大网络市场监管力度，强化线上线下一体化监管。</w:t>
      </w:r>
    </w:p>
    <w:p>
      <w:pPr>
        <w:pStyle w:val="15"/>
        <w:ind w:firstLine="31680"/>
        <w:rPr>
          <w:rFonts w:ascii="仿宋_GB2312" w:hAnsi="仿宋_GB2312" w:eastAsia="仿宋_GB2312" w:cs="仿宋_GB2312"/>
          <w:sz w:val="32"/>
        </w:rPr>
      </w:pPr>
      <w:r>
        <w:rPr>
          <w:rFonts w:hint="eastAsia" w:ascii="仿宋_GB2312" w:hAnsi="仿宋_GB2312" w:eastAsia="仿宋_GB2312" w:cs="仿宋_GB2312"/>
          <w:b/>
          <w:bCs/>
          <w:sz w:val="32"/>
        </w:rPr>
        <w:t>进一步降低企业成本。</w:t>
      </w:r>
      <w:r>
        <w:rPr>
          <w:rFonts w:hint="eastAsia" w:ascii="仿宋_GB2312" w:hAnsi="仿宋_GB2312" w:eastAsia="仿宋_GB2312" w:cs="仿宋_GB2312"/>
          <w:sz w:val="32"/>
          <w:szCs w:val="32"/>
        </w:rPr>
        <w:t>对标国际一流，打造“四最”营商环境，推动“降成本优环境”各项政策措施落到实处，千方百计降低企业用工、融资、物流等方面成本。</w:t>
      </w:r>
      <w:r>
        <w:rPr>
          <w:rFonts w:hint="eastAsia" w:ascii="仿宋_GB2312" w:hAnsi="仿宋_GB2312" w:eastAsia="仿宋_GB2312" w:cs="仿宋_GB2312"/>
          <w:sz w:val="32"/>
        </w:rPr>
        <w:t>进一步减轻企业水费负担，探索水电气接入项目“零上门、零审批、零投资”服务，整顿规范水电气输配企业收费行为，严格落实国家、省市减税降费政策。加大金融对实体经济支持力度，扩大企业债券发行规模，规范金融机构融资服务收费制度，加快政府性融资担保体系建设。构建公共服务政绩评估机制，引入多元化的评估主体进行定期评估，深化行业协会、商会和中介机构改革。</w:t>
      </w:r>
    </w:p>
    <w:p>
      <w:pPr>
        <w:pStyle w:val="4"/>
        <w:spacing w:before="156" w:after="156"/>
        <w:rPr>
          <w:rFonts w:ascii="楷体" w:cs="楷体"/>
        </w:rPr>
      </w:pPr>
      <w:bookmarkStart w:id="35" w:name="_Toc12285"/>
      <w:r>
        <w:rPr>
          <w:rFonts w:hint="eastAsia" w:ascii="楷体" w:hAnsi="楷体" w:cs="楷体"/>
        </w:rPr>
        <w:t>第四节</w:t>
      </w:r>
      <w:r>
        <w:rPr>
          <w:rFonts w:ascii="楷体" w:hAnsi="楷体" w:cs="楷体"/>
        </w:rPr>
        <w:t xml:space="preserve"> </w:t>
      </w:r>
      <w:r>
        <w:rPr>
          <w:rFonts w:hint="eastAsia" w:ascii="楷体" w:hAnsi="楷体" w:cs="楷体"/>
        </w:rPr>
        <w:t>坚持“引进来”和“走出去”</w:t>
      </w:r>
      <w:bookmarkEnd w:id="35"/>
    </w:p>
    <w:p>
      <w:pPr>
        <w:ind w:firstLine="31680"/>
        <w:rPr>
          <w:rFonts w:ascii="仿宋_GB2312" w:hAnsi="仿宋_GB2312" w:eastAsia="仿宋_GB2312" w:cs="仿宋_GB2312"/>
          <w:szCs w:val="32"/>
        </w:rPr>
      </w:pPr>
      <w:r>
        <w:rPr>
          <w:rFonts w:hint="eastAsia"/>
          <w:b/>
          <w:bCs/>
        </w:rPr>
        <w:t>提高招商引资水平。</w:t>
      </w:r>
      <w:r>
        <w:rPr>
          <w:rFonts w:hint="eastAsia" w:ascii="仿宋_GB2312" w:hAnsi="仿宋_GB2312" w:eastAsia="仿宋_GB2312" w:cs="仿宋_GB2312"/>
          <w:szCs w:val="32"/>
        </w:rPr>
        <w:t>以有机硅新材料为首位产业，电子信息和装备制造、绿色建材为主导产业，数字经济、新服务经济、现代农业、文化旅游服务为新兴产业的主攻方向，锁定三个方面的清单开展招商，引进上下游关联配套项目，瞄准产业“链条”缺口和技术缺口，利用好中博会、赣商大会、</w:t>
      </w:r>
      <w:r>
        <w:rPr>
          <w:rFonts w:ascii="仿宋_GB2312" w:hAnsi="仿宋_GB2312" w:eastAsia="仿宋_GB2312" w:cs="仿宋_GB2312"/>
          <w:szCs w:val="32"/>
        </w:rPr>
        <w:t xml:space="preserve"> </w:t>
      </w:r>
      <w:r>
        <w:rPr>
          <w:rFonts w:hint="eastAsia" w:ascii="仿宋_GB2312" w:hAnsi="仿宋_GB2312" w:eastAsia="仿宋_GB2312" w:cs="仿宋_GB2312"/>
          <w:szCs w:val="32"/>
        </w:rPr>
        <w:t>“三请三回”对接会、长江经济带投资洽谈会、赣港赣深会等各类招商平台活动，锁定央企、国企、</w:t>
      </w:r>
      <w:r>
        <w:rPr>
          <w:rFonts w:ascii="仿宋_GB2312" w:hAnsi="仿宋_GB2312" w:eastAsia="仿宋_GB2312" w:cs="仿宋_GB2312"/>
          <w:szCs w:val="32"/>
        </w:rPr>
        <w:t>500</w:t>
      </w:r>
      <w:r>
        <w:rPr>
          <w:rFonts w:hint="eastAsia" w:ascii="仿宋_GB2312" w:hAnsi="仿宋_GB2312" w:eastAsia="仿宋_GB2312" w:cs="仿宋_GB2312"/>
          <w:szCs w:val="32"/>
        </w:rPr>
        <w:t>强企业、行业龙头企业、上市公司等，通过招商靶向对接，力争引进更多重大项目。</w:t>
      </w:r>
    </w:p>
    <w:p>
      <w:pPr>
        <w:ind w:firstLine="31680"/>
        <w:rPr>
          <w:rFonts w:ascii="仿宋_GB2312" w:hAnsi="仿宋_GB2312" w:eastAsia="仿宋_GB2312" w:cs="仿宋_GB2312"/>
          <w:szCs w:val="32"/>
        </w:rPr>
      </w:pPr>
      <w:r>
        <w:rPr>
          <w:rFonts w:hint="eastAsia"/>
          <w:b/>
          <w:bCs/>
        </w:rPr>
        <w:t>进一步扩大对外开放。</w:t>
      </w:r>
      <w:r>
        <w:rPr>
          <w:rFonts w:hint="eastAsia" w:ascii="仿宋_GB2312" w:hAnsi="仿宋_GB2312" w:eastAsia="仿宋_GB2312" w:cs="仿宋_GB2312"/>
          <w:szCs w:val="32"/>
        </w:rPr>
        <w:t>充分利用国内外大型经贸合作活动平台，推动有机硅产业走向国际，支持实体企业参与国际产能合作，支持建设国际合作产业园和海外仓，力争利用外资领域有新突破。积极培育跨境电商、供应链出口、外贸综合服务企业等新型贸易业态，创新对外投资合作模式，组织引导龙头企业积极开拓“一带一路”沿线地区的市场，支持企业在沿线地区建设国际营销网络和售后服务体系，提升外贸出口规模和水平。</w:t>
      </w:r>
    </w:p>
    <w:p>
      <w:pPr>
        <w:pStyle w:val="15"/>
        <w:ind w:firstLine="31680"/>
        <w:rPr>
          <w:rFonts w:ascii="Calibri" w:hAnsi="Calibri" w:eastAsia="仿宋"/>
          <w:sz w:val="32"/>
        </w:rPr>
      </w:pPr>
    </w:p>
    <w:p>
      <w:pPr>
        <w:ind w:firstLine="0" w:firstLineChars="0"/>
      </w:pPr>
      <w:r>
        <w:br w:type="page"/>
      </w:r>
    </w:p>
    <w:p>
      <w:pPr>
        <w:pStyle w:val="3"/>
        <w:spacing w:before="156" w:after="156"/>
        <w:rPr>
          <w:szCs w:val="36"/>
        </w:rPr>
      </w:pPr>
      <w:bookmarkStart w:id="36" w:name="_Toc4489"/>
      <w:r>
        <w:rPr>
          <w:rFonts w:hint="eastAsia"/>
          <w:szCs w:val="36"/>
        </w:rPr>
        <w:t>第六章</w:t>
      </w:r>
      <w:r>
        <w:rPr>
          <w:szCs w:val="36"/>
        </w:rPr>
        <w:t xml:space="preserve"> </w:t>
      </w:r>
      <w:r>
        <w:rPr>
          <w:rFonts w:hint="eastAsia"/>
          <w:szCs w:val="36"/>
        </w:rPr>
        <w:t>深入实施城乡一体化，探索城乡融合发展新路径</w:t>
      </w:r>
      <w:bookmarkEnd w:id="3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以打造大南昌都市圈重要节点城市为目标，提升城市功能和品质为抓手，统筹城乡空间资源配置利用，双轮驱动新型城镇化与乡村振兴，全面构建城乡融合发展新格局。</w:t>
      </w:r>
    </w:p>
    <w:p>
      <w:pPr>
        <w:pStyle w:val="4"/>
        <w:spacing w:before="156" w:after="156"/>
        <w:rPr>
          <w:rFonts w:ascii="楷体" w:cs="楷体"/>
        </w:rPr>
      </w:pPr>
      <w:bookmarkStart w:id="37" w:name="_Toc26183"/>
      <w:r>
        <w:rPr>
          <w:rFonts w:hint="eastAsia" w:ascii="楷体" w:hAnsi="楷体" w:cs="楷体"/>
        </w:rPr>
        <w:t>第一节</w:t>
      </w:r>
      <w:r>
        <w:rPr>
          <w:rFonts w:ascii="楷体" w:hAnsi="楷体" w:cs="楷体"/>
        </w:rPr>
        <w:t xml:space="preserve"> </w:t>
      </w:r>
      <w:r>
        <w:rPr>
          <w:rFonts w:hint="eastAsia" w:ascii="楷体" w:hAnsi="楷体" w:cs="楷体"/>
        </w:rPr>
        <w:t>推进新型城镇化建设</w:t>
      </w:r>
      <w:bookmarkEnd w:id="3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优化完善城镇化空间布局。</w:t>
      </w:r>
      <w:r>
        <w:rPr>
          <w:rFonts w:hint="eastAsia" w:ascii="仿宋_GB2312" w:hAnsi="仿宋_GB2312" w:eastAsia="仿宋_GB2312" w:cs="仿宋_GB2312"/>
          <w:szCs w:val="32"/>
        </w:rPr>
        <w:t>统筹划定“三区三线”，实现全域国土空间一张图管理。加强城市空间开发利用管制，统筹融合生态、农业、城镇三大空间。推进以县城为重要载体的城镇化建设，紧抓赣江新区“大国工匠”项目建设机遇，加快机电、水利、样式雷等职教园区建设，聚集永修人气。积极支持小城镇发展，培育一批精品特色小镇。</w:t>
      </w:r>
    </w:p>
    <w:p>
      <w:pPr>
        <w:ind w:firstLine="31680"/>
        <w:rPr>
          <w:rFonts w:ascii="仿宋_GB2312" w:hAnsi="仿宋_GB2312" w:eastAsia="仿宋_GB2312" w:cs="仿宋_GB2312"/>
          <w:szCs w:val="32"/>
        </w:rPr>
      </w:pPr>
      <w:r>
        <w:rPr>
          <w:rFonts w:hint="eastAsia"/>
          <w:b/>
          <w:bCs/>
        </w:rPr>
        <w:t>加快建设高品质城区。</w:t>
      </w:r>
      <w:r>
        <w:rPr>
          <w:rFonts w:hint="eastAsia" w:ascii="仿宋_GB2312" w:hAnsi="仿宋_GB2312" w:eastAsia="仿宋_GB2312" w:cs="仿宋_GB2312"/>
          <w:szCs w:val="32"/>
        </w:rPr>
        <w:t>全面开展城市体检，加快新城区建设和老旧小区改造，全面打通湖东与城南、城区与园区、新城与老城之间的交通要道。围绕提升城市综合承载能力，合理布局建设停车场、防洪排涝、公交场站等基础设施和养老托育、文化体育、便民市场等公共服务设施。推进各类专业市场建设，推进跨行规市。全面启动职教园起步区和配套设施建设，加速产城融合推进步伐。实施城市功能品质提升，加快构建城市绿道体系建设，科学布局供水、供电、排污、电动汽车充电、智能快件箱等配套设施，推广节能节水产品、节能环保汽车和节能省地型建筑。全面推行密度较高、功能混用和公交导向的紧凑绿色型城镇开发模式。启动湖东农贸市场、县职工服务中心等项目建设，完成白莲湖提升改造、文体艺术中心展馆布馆开馆使用等工作。</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5" w:type="dxa"/>
          </w:tcPr>
          <w:p>
            <w:pPr>
              <w:pStyle w:val="15"/>
              <w:ind w:firstLine="0" w:firstLineChars="0"/>
              <w:jc w:val="center"/>
              <w:rPr>
                <w:rFonts w:cs="黑体"/>
              </w:rPr>
            </w:pPr>
            <w:r>
              <w:rPr>
                <w:rFonts w:hint="eastAsia" w:cs="黑体"/>
                <w:b/>
                <w:bCs/>
              </w:rPr>
              <w:t>专栏</w:t>
            </w:r>
            <w:r>
              <w:rPr>
                <w:rFonts w:cs="黑体"/>
                <w:b/>
                <w:bCs/>
              </w:rPr>
              <w:t xml:space="preserve">11  </w:t>
            </w:r>
            <w:r>
              <w:rPr>
                <w:rFonts w:hint="eastAsia" w:cs="黑体"/>
                <w:b/>
                <w:bCs/>
              </w:rPr>
              <w:t>高品质城区建设重大行动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5" w:type="dxa"/>
          </w:tcPr>
          <w:p>
            <w:pPr>
              <w:pStyle w:val="15"/>
              <w:ind w:firstLine="31680"/>
              <w:rPr>
                <w:rFonts w:cs="黑体"/>
                <w:b/>
                <w:bCs/>
              </w:rPr>
            </w:pPr>
            <w:r>
              <w:rPr>
                <w:rFonts w:hint="eastAsia" w:cs="黑体"/>
                <w:b/>
                <w:bCs/>
              </w:rPr>
              <w:t>（一）推进老旧小区、城中村、城乡结合部的环境改造行动</w:t>
            </w:r>
          </w:p>
          <w:p>
            <w:pPr>
              <w:pStyle w:val="15"/>
              <w:ind w:firstLine="31680"/>
              <w:rPr>
                <w:rFonts w:cs="黑体"/>
              </w:rPr>
            </w:pPr>
            <w:r>
              <w:rPr>
                <w:rFonts w:hint="eastAsia" w:cs="黑体"/>
              </w:rPr>
              <w:t>推进老旧小区改造，启动贮木场、河街、永丰等安置房新建工程，完成龙山小区（三期）、老农机厂安置房建设；实施东永商住小区、铁路职工宿舍等老旧小区改造，新建一批城镇公租房。</w:t>
            </w:r>
          </w:p>
          <w:p>
            <w:pPr>
              <w:pStyle w:val="15"/>
              <w:ind w:firstLine="31680"/>
              <w:rPr>
                <w:rFonts w:cs="黑体"/>
                <w:b/>
                <w:bCs/>
              </w:rPr>
            </w:pPr>
            <w:r>
              <w:rPr>
                <w:rFonts w:hint="eastAsia" w:cs="黑体"/>
                <w:b/>
                <w:bCs/>
              </w:rPr>
              <w:t>（二）强化环境卫生整治行动</w:t>
            </w:r>
          </w:p>
          <w:p>
            <w:pPr>
              <w:pStyle w:val="15"/>
              <w:ind w:firstLine="31680"/>
              <w:rPr>
                <w:rFonts w:cs="黑体"/>
              </w:rPr>
            </w:pPr>
            <w:r>
              <w:rPr>
                <w:rFonts w:hint="eastAsia" w:cs="黑体"/>
              </w:rPr>
              <w:t>整治道路路面卫生。大力推进主次干道清扫保洁的市场化、机械化、专业化，引进节水节能道路清扫设备，提交机扫率，小街小巷推广小型清扫机械，提高道路保洁水平。</w:t>
            </w:r>
          </w:p>
          <w:p>
            <w:pPr>
              <w:pStyle w:val="15"/>
              <w:ind w:firstLine="31680"/>
              <w:rPr>
                <w:rFonts w:cs="黑体"/>
              </w:rPr>
            </w:pPr>
            <w:r>
              <w:rPr>
                <w:rFonts w:hint="eastAsia" w:cs="黑体"/>
              </w:rPr>
              <w:t>整治重点区域卫生。继续以“三线六边”（公路沿线、铁路沿线、江河沿线，城市周边、城中村周边、学校周边、园区周边、景区周边、矿区周边）区域为重点，对积存的各类垃圾进行清理，禁止乱堆乱放、乱倒垃圾，拆除露天暴露垃圾池。</w:t>
            </w:r>
          </w:p>
          <w:p>
            <w:pPr>
              <w:pStyle w:val="15"/>
              <w:ind w:firstLine="31680"/>
              <w:rPr>
                <w:rFonts w:cs="黑体"/>
              </w:rPr>
            </w:pPr>
            <w:r>
              <w:rPr>
                <w:rFonts w:hint="eastAsia" w:cs="黑体"/>
              </w:rPr>
              <w:t>整治小区卫生。实行小区垃圾日产日清，确保无积存生活垃圾和建筑垃圾，严禁乱倒乱扔垃圾等行为，自觉维护小区卫生。</w:t>
            </w:r>
          </w:p>
          <w:p>
            <w:pPr>
              <w:pStyle w:val="15"/>
              <w:ind w:firstLine="31680"/>
              <w:rPr>
                <w:rFonts w:cs="黑体"/>
              </w:rPr>
            </w:pPr>
            <w:r>
              <w:rPr>
                <w:rFonts w:hint="eastAsia" w:cs="黑体"/>
              </w:rPr>
              <w:t>整治沿街店面卫生。全面落实“门前三包、门内达标”，做到随脏随扫，全天保洁，依法对沿街商铺乱扔乱倒垃圾现象加大处罚。</w:t>
            </w:r>
          </w:p>
          <w:p>
            <w:pPr>
              <w:pStyle w:val="15"/>
              <w:ind w:firstLine="31680"/>
              <w:rPr>
                <w:rFonts w:cs="黑体"/>
              </w:rPr>
            </w:pPr>
            <w:r>
              <w:rPr>
                <w:rFonts w:hint="eastAsia" w:cs="黑体"/>
              </w:rPr>
              <w:t>整治生活垃圾分类。加强对“牛皮癣”、污水、垃圾的整治，推进城乡生活垃圾分类，全面整治露天垃圾坑。</w:t>
            </w:r>
          </w:p>
          <w:p>
            <w:pPr>
              <w:pStyle w:val="15"/>
              <w:ind w:firstLine="31680"/>
              <w:rPr>
                <w:rFonts w:cs="黑体"/>
              </w:rPr>
            </w:pPr>
            <w:r>
              <w:rPr>
                <w:rFonts w:hint="eastAsia" w:cs="黑体"/>
              </w:rPr>
              <w:t>强化裸露土地治理。对城乡裸露土地进行绿化美化，做到“黄土不露天”。推进城市批而未建围挡地块专项整治，拆除围墙，一年内暂不开发的鼓励开辟为临时停车、健身场地和绿化，两年内暂不开发的鼓励修复绿地。因采石等原因造成山体受损的，消除安全隐患，恢复山体自然形态，恢复乡土植被群落，减少水土流失。</w:t>
            </w:r>
          </w:p>
          <w:p>
            <w:pPr>
              <w:pStyle w:val="15"/>
              <w:ind w:firstLine="31680"/>
              <w:rPr>
                <w:rFonts w:cs="黑体"/>
              </w:rPr>
            </w:pPr>
            <w:r>
              <w:rPr>
                <w:rFonts w:hint="eastAsia" w:cs="黑体"/>
              </w:rPr>
              <w:t>加强城镇污水处理。推动雨污分流改造，畅通排污管道，</w:t>
            </w:r>
            <w:r>
              <w:rPr>
                <w:rFonts w:cs="黑体"/>
              </w:rPr>
              <w:t>2021</w:t>
            </w:r>
            <w:r>
              <w:rPr>
                <w:rFonts w:hint="eastAsia" w:cs="黑体"/>
              </w:rPr>
              <w:t>年底，中心城区建成污泥处理设施，力争到</w:t>
            </w:r>
            <w:r>
              <w:rPr>
                <w:rFonts w:cs="黑体"/>
              </w:rPr>
              <w:t>2025</w:t>
            </w:r>
            <w:r>
              <w:rPr>
                <w:rFonts w:hint="eastAsia" w:cs="黑体"/>
              </w:rPr>
              <w:t>年，底县城污水处理率达到</w:t>
            </w:r>
            <w:r>
              <w:rPr>
                <w:rFonts w:cs="黑体"/>
              </w:rPr>
              <w:t>95%</w:t>
            </w:r>
            <w:r>
              <w:rPr>
                <w:rFonts w:hint="eastAsia" w:cs="黑体"/>
              </w:rPr>
              <w:t>以上，乡镇污水处理厂全部达标运行。</w:t>
            </w:r>
          </w:p>
          <w:p>
            <w:pPr>
              <w:pStyle w:val="15"/>
              <w:ind w:firstLine="31680"/>
              <w:rPr>
                <w:rFonts w:cs="黑体"/>
                <w:b/>
                <w:bCs/>
              </w:rPr>
            </w:pPr>
            <w:r>
              <w:rPr>
                <w:rFonts w:hint="eastAsia" w:cs="黑体"/>
                <w:b/>
                <w:bCs/>
              </w:rPr>
              <w:t>（三）深入开展“序化”行动</w:t>
            </w:r>
          </w:p>
          <w:p>
            <w:pPr>
              <w:pStyle w:val="15"/>
              <w:ind w:firstLine="31680"/>
              <w:rPr>
                <w:rFonts w:cs="黑体"/>
              </w:rPr>
            </w:pPr>
            <w:r>
              <w:rPr>
                <w:rFonts w:hint="eastAsia" w:cs="黑体"/>
              </w:rPr>
              <w:t>农贸市场整治。推进农贸市场整治行动，合理规划建设农贸市场，启动老城菜市场规范化建设。</w:t>
            </w:r>
          </w:p>
          <w:p>
            <w:pPr>
              <w:pStyle w:val="15"/>
              <w:ind w:firstLine="31680"/>
              <w:rPr>
                <w:rFonts w:cs="黑体"/>
              </w:rPr>
            </w:pPr>
            <w:r>
              <w:rPr>
                <w:rFonts w:hint="eastAsia" w:cs="黑体"/>
              </w:rPr>
              <w:t>门店牌匾整治。按照“一店一招牌”和“美化亮化”的要求，对城区和乡镇影响市容市貌和存在安全隐患的门店牌匾进行集中整治，设置整齐、协调、美观、安全的门店牌匾。</w:t>
            </w:r>
          </w:p>
          <w:p>
            <w:pPr>
              <w:pStyle w:val="15"/>
              <w:ind w:firstLine="31680"/>
              <w:rPr>
                <w:rFonts w:cs="黑体"/>
              </w:rPr>
            </w:pPr>
            <w:r>
              <w:rPr>
                <w:rFonts w:hint="eastAsia" w:cs="黑体"/>
              </w:rPr>
              <w:t>“线乱拉”整治。按照“强弱分设、入管入盒、标识清晰、牢固安全、整齐有序、美观协调”的要求，规范户外线缆架设，清理整治户外架空线缆违章乱架行为，归并整理杂乱无序线缆，消除低垂松垮线缆，整治美化线缆架设形态，着力改变老百姓反映强烈的“空中蜘蛛网”现象。</w:t>
            </w:r>
          </w:p>
          <w:p>
            <w:pPr>
              <w:pStyle w:val="15"/>
              <w:ind w:firstLine="31680"/>
              <w:rPr>
                <w:rFonts w:cs="黑体"/>
              </w:rPr>
            </w:pPr>
            <w:r>
              <w:rPr>
                <w:rFonts w:hint="eastAsia" w:cs="黑体"/>
              </w:rPr>
              <w:t>“道乱占”整治。整治各种非法占道行为和现象，消除过境公路、城镇街道、机动车道、非机动车道、人行道上的随意占道乱停车、乱堆物、乱摆摊、乱开挖、乱竖牌等“六乱”。</w:t>
            </w:r>
          </w:p>
          <w:p>
            <w:pPr>
              <w:pStyle w:val="15"/>
              <w:ind w:firstLine="31680"/>
              <w:rPr>
                <w:rFonts w:cs="黑体"/>
              </w:rPr>
            </w:pPr>
            <w:r>
              <w:rPr>
                <w:rFonts w:hint="eastAsia" w:cs="黑体"/>
              </w:rPr>
              <w:t>加强对道路挖掘工程审批管理，规范城市道路挖掘、修复等施工活动，打击违章开挖道路行为，加强夜间施工监督检查。</w:t>
            </w:r>
          </w:p>
          <w:p>
            <w:pPr>
              <w:pStyle w:val="15"/>
              <w:ind w:firstLine="31680"/>
              <w:rPr>
                <w:rFonts w:cs="黑体"/>
                <w:b/>
                <w:bCs/>
              </w:rPr>
            </w:pPr>
            <w:r>
              <w:rPr>
                <w:rFonts w:hint="eastAsia" w:cs="黑体"/>
                <w:b/>
                <w:bCs/>
              </w:rPr>
              <w:t>（四）稳步推进“美化”行动</w:t>
            </w:r>
          </w:p>
          <w:p>
            <w:pPr>
              <w:pStyle w:val="15"/>
              <w:ind w:firstLine="31680"/>
              <w:rPr>
                <w:rFonts w:cs="黑体"/>
              </w:rPr>
            </w:pPr>
            <w:r>
              <w:rPr>
                <w:rFonts w:hint="eastAsia" w:cs="黑体"/>
              </w:rPr>
              <w:t>推进绿色城市行动，点亮彩色城市行动，塑造乡村美行动来美化城乡环境，提高生活品质。合理规划建设各类公园绿地，全面提升城市绿化品质，人均公园绿地争取达到全市领先水平。</w:t>
            </w:r>
          </w:p>
          <w:p>
            <w:pPr>
              <w:pStyle w:val="15"/>
              <w:ind w:firstLine="31680"/>
              <w:rPr>
                <w:rFonts w:cs="黑体"/>
              </w:rPr>
            </w:pPr>
            <w:r>
              <w:rPr>
                <w:rFonts w:hint="eastAsia" w:cs="黑体"/>
              </w:rPr>
              <w:t>城市彩色美行动。以绿色植物为主体构建城区园林绿地系统的基础上，在人居密集的中心广场、公园，以及城乡结合过渡区域，充分利用植物色彩、形态营造出凸显植物色彩美、形态美、健康美的景象，着力构建社区</w:t>
            </w:r>
            <w:r>
              <w:rPr>
                <w:rFonts w:cs="黑体"/>
              </w:rPr>
              <w:t>15</w:t>
            </w:r>
            <w:r>
              <w:rPr>
                <w:rFonts w:hint="eastAsia" w:cs="黑体"/>
              </w:rPr>
              <w:t>分钟健身圈。</w:t>
            </w:r>
          </w:p>
          <w:p>
            <w:pPr>
              <w:pStyle w:val="15"/>
              <w:ind w:firstLine="31680"/>
              <w:rPr>
                <w:rFonts w:cs="黑体"/>
              </w:rPr>
            </w:pPr>
            <w:r>
              <w:rPr>
                <w:rFonts w:hint="eastAsia" w:cs="黑体"/>
              </w:rPr>
              <w:t>塑造乡村美行动。在新农村建设中因地制宜，随形就势，充分尊重村庄现状格局，有效利用已有农房、基础设施、自然环境等资源禀赋，统筹考虑山、水、田、林、路等生产生活要素，尽可能保留村庄原始风貌。</w:t>
            </w:r>
            <w:r>
              <w:rPr>
                <w:rFonts w:cs="黑体"/>
              </w:rPr>
              <w:t xml:space="preserve"> </w:t>
            </w:r>
          </w:p>
          <w:p>
            <w:pPr>
              <w:pStyle w:val="15"/>
              <w:ind w:firstLine="31680"/>
              <w:rPr>
                <w:rFonts w:cs="黑体"/>
                <w:b/>
                <w:bCs/>
              </w:rPr>
            </w:pPr>
            <w:r>
              <w:rPr>
                <w:rFonts w:hint="eastAsia" w:cs="黑体"/>
                <w:b/>
                <w:bCs/>
              </w:rPr>
              <w:t>（五）提高市民文明素质行动</w:t>
            </w:r>
          </w:p>
          <w:p>
            <w:pPr>
              <w:pStyle w:val="15"/>
              <w:ind w:firstLine="31680"/>
              <w:rPr>
                <w:rFonts w:cs="黑体"/>
              </w:rPr>
            </w:pPr>
            <w:r>
              <w:rPr>
                <w:rFonts w:hint="eastAsia" w:cs="黑体"/>
              </w:rPr>
              <w:t>强化文明市民宣传教育，促进市民自我教育、自我提升。强化市民公德意识，倡导制定市民公约规范市民行为。</w:t>
            </w:r>
          </w:p>
        </w:tc>
      </w:tr>
    </w:tbl>
    <w:p>
      <w:pPr>
        <w:ind w:firstLine="31680"/>
        <w:rPr>
          <w:rFonts w:ascii="仿宋_GB2312" w:hAnsi="仿宋_GB2312" w:eastAsia="仿宋_GB2312" w:cs="仿宋_GB2312"/>
          <w:szCs w:val="32"/>
        </w:rPr>
      </w:pPr>
      <w:r>
        <w:rPr>
          <w:rFonts w:hint="eastAsia"/>
          <w:b/>
          <w:bCs/>
        </w:rPr>
        <w:t>加快推进“智慧城市”建设。</w:t>
      </w:r>
      <w:r>
        <w:rPr>
          <w:rFonts w:hint="eastAsia" w:ascii="仿宋_GB2312" w:hAnsi="仿宋_GB2312" w:eastAsia="仿宋_GB2312" w:cs="仿宋_GB2312"/>
          <w:szCs w:val="32"/>
        </w:rPr>
        <w:t>把握“数字治城”的新趋势，加快推进智慧城市建设，尽快完成智慧永修、数字城管等智能管理平台建设，用好“智慧永修”平台，积极推进智慧养老、智慧医疗、智慧旅游、智慧交通、智慧社区、智慧城管等建设。推动智能技术、绿色技术等与建筑业深度结合，新建商品住房配备智能化停车、安防等系统，预留家居智能管理系统接入基础设备。加快推进海绵城市建设，全面完成城区低洼易涝点的治理，告别“城市看海”。开通数字城管</w:t>
      </w:r>
      <w:r>
        <w:rPr>
          <w:rFonts w:ascii="仿宋_GB2312" w:hAnsi="仿宋_GB2312" w:eastAsia="仿宋_GB2312" w:cs="仿宋_GB2312"/>
          <w:szCs w:val="32"/>
        </w:rPr>
        <w:t>APP</w:t>
      </w:r>
      <w:r>
        <w:rPr>
          <w:rFonts w:hint="eastAsia" w:ascii="仿宋_GB2312" w:hAnsi="仿宋_GB2312" w:eastAsia="仿宋_GB2312" w:cs="仿宋_GB2312"/>
          <w:szCs w:val="32"/>
        </w:rPr>
        <w:t>，充实管理执法力量，开展“强基础、转作风、树形象”专项行动，推进城市管理文明执法，提高执法队伍素质和能力。</w:t>
      </w:r>
    </w:p>
    <w:p>
      <w:pPr>
        <w:pStyle w:val="4"/>
        <w:spacing w:before="156" w:after="156"/>
        <w:rPr>
          <w:rFonts w:ascii="楷体" w:cs="楷体"/>
          <w:color w:val="auto"/>
          <w:szCs w:val="32"/>
        </w:rPr>
      </w:pPr>
      <w:bookmarkStart w:id="38" w:name="_Toc25751"/>
      <w:r>
        <w:rPr>
          <w:rFonts w:hint="eastAsia" w:ascii="楷体" w:hAnsi="楷体" w:cs="楷体"/>
        </w:rPr>
        <w:t>第二节</w:t>
      </w:r>
      <w:r>
        <w:rPr>
          <w:rFonts w:ascii="楷体" w:hAnsi="楷体" w:cs="楷体"/>
        </w:rPr>
        <w:t xml:space="preserve"> </w:t>
      </w:r>
      <w:r>
        <w:rPr>
          <w:rFonts w:hint="eastAsia" w:ascii="楷体" w:hAnsi="楷体" w:cs="楷体"/>
        </w:rPr>
        <w:t>促进城乡基础设施一体化</w:t>
      </w:r>
      <w:bookmarkEnd w:id="3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建立城乡基础设施一体化规划机制。统筹推进城乡路网、供水、供电、污水、垃圾、通讯、消防等城乡基础设施设计。完善城乡路网布局，提高路网密度，提升城乡道路通行能力，加强交通秩序管理，建设智能交通管理系统。规范交通标志标线设置，提升城市道路交通信号设施的规范化和精细化水平，强化电动车通行秩序管理，建设一批高标准智能公交站台，规范公交运行，优化公交线路，提高安全保障和服务水平。加快推进乡镇在城乡供水一体化建设中的进度，优化电网结构，扩大电网资源优化配置能力和范围，提高电网安全稳定水平，确保电网经济可靠运行。补齐城乡生活污水收集处理设施短板，推进污水管网全覆盖。加大垃圾分类和清理力度，促进垃圾处理可持续性发展，完善乡村消防设施建设，提高城乡人民消防安全意识。健全分级分类投入机制，实现政府投入和社会资本相结合的基础设施建设工程。建立城乡一体化管护机制，探索基础设施管护市场化运作模式，推动基础设施运营单位企业化改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vAlign w:val="center"/>
          </w:tcPr>
          <w:p>
            <w:pPr>
              <w:pStyle w:val="15"/>
              <w:ind w:firstLine="31680"/>
              <w:jc w:val="center"/>
              <w:rPr>
                <w:rFonts w:cs="黑体"/>
              </w:rPr>
            </w:pPr>
            <w:r>
              <w:rPr>
                <w:rFonts w:hint="eastAsia" w:cs="黑体"/>
                <w:b/>
                <w:bCs/>
              </w:rPr>
              <w:t>专栏</w:t>
            </w:r>
            <w:r>
              <w:rPr>
                <w:rFonts w:cs="黑体"/>
                <w:b/>
                <w:bCs/>
              </w:rPr>
              <w:t xml:space="preserve">12  </w:t>
            </w:r>
            <w:r>
              <w:rPr>
                <w:rFonts w:hint="eastAsia" w:cs="黑体"/>
                <w:b/>
                <w:bCs/>
              </w:rPr>
              <w:t>城乡基础设施建设重点行动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tcPr>
          <w:p>
            <w:pPr>
              <w:pStyle w:val="15"/>
              <w:ind w:firstLine="31680"/>
              <w:rPr>
                <w:rFonts w:cs="黑体"/>
                <w:b/>
                <w:bCs/>
              </w:rPr>
            </w:pPr>
            <w:r>
              <w:rPr>
                <w:rFonts w:hint="eastAsia" w:cs="黑体"/>
                <w:b/>
                <w:bCs/>
              </w:rPr>
              <w:t>（一）推进城乡公共服务</w:t>
            </w:r>
            <w:r>
              <w:rPr>
                <w:rFonts w:cs="黑体"/>
                <w:b/>
                <w:bCs/>
              </w:rPr>
              <w:t>6</w:t>
            </w:r>
            <w:r>
              <w:rPr>
                <w:rFonts w:hint="eastAsia" w:cs="黑体"/>
                <w:b/>
                <w:bCs/>
              </w:rPr>
              <w:t>项行动</w:t>
            </w:r>
          </w:p>
          <w:p>
            <w:pPr>
              <w:pStyle w:val="15"/>
              <w:ind w:firstLine="31680"/>
              <w:rPr>
                <w:rFonts w:cs="黑体"/>
              </w:rPr>
            </w:pPr>
            <w:r>
              <w:rPr>
                <w:rFonts w:hint="eastAsia" w:cs="黑体"/>
              </w:rPr>
              <w:t>推进健全城乡医疗卫生设施、完善城乡教育设施、改善城乡养老托育设施、发展文旅设施、完善城乡社会福利设施、建设社区综合服务设施</w:t>
            </w:r>
            <w:r>
              <w:rPr>
                <w:rFonts w:cs="黑体"/>
              </w:rPr>
              <w:t>6</w:t>
            </w:r>
            <w:r>
              <w:rPr>
                <w:rFonts w:hint="eastAsia" w:cs="黑体"/>
              </w:rPr>
              <w:t>项任务。到</w:t>
            </w:r>
            <w:r>
              <w:rPr>
                <w:rFonts w:cs="黑体"/>
              </w:rPr>
              <w:t>2025</w:t>
            </w:r>
            <w:r>
              <w:rPr>
                <w:rFonts w:hint="eastAsia" w:cs="黑体"/>
              </w:rPr>
              <w:t>年，二级及以上的综合医院、疾控中心、妇幼卫生健康服务机构等完成提标改造和标准化建设。</w:t>
            </w:r>
          </w:p>
          <w:p>
            <w:pPr>
              <w:pStyle w:val="15"/>
              <w:ind w:firstLine="31680"/>
              <w:rPr>
                <w:rFonts w:cs="黑体"/>
                <w:b/>
                <w:bCs/>
              </w:rPr>
            </w:pPr>
            <w:r>
              <w:rPr>
                <w:rFonts w:hint="eastAsia" w:cs="黑体"/>
                <w:b/>
                <w:bCs/>
              </w:rPr>
              <w:t>（二）推进城乡环境卫生</w:t>
            </w:r>
            <w:r>
              <w:rPr>
                <w:rFonts w:cs="黑体"/>
                <w:b/>
                <w:bCs/>
              </w:rPr>
              <w:t>3</w:t>
            </w:r>
            <w:r>
              <w:rPr>
                <w:rFonts w:hint="eastAsia" w:cs="黑体"/>
                <w:b/>
                <w:bCs/>
              </w:rPr>
              <w:t>项行动</w:t>
            </w:r>
          </w:p>
          <w:p>
            <w:pPr>
              <w:pStyle w:val="15"/>
              <w:ind w:firstLine="31680"/>
              <w:rPr>
                <w:rFonts w:cs="黑体"/>
              </w:rPr>
            </w:pPr>
            <w:r>
              <w:rPr>
                <w:rFonts w:hint="eastAsia" w:cs="黑体"/>
              </w:rPr>
              <w:t>完善城乡垃圾无害化资源化处理设施、健全城乡污水集中处理设施、改善城乡公共厕所</w:t>
            </w:r>
            <w:r>
              <w:rPr>
                <w:rFonts w:cs="黑体"/>
              </w:rPr>
              <w:t>3</w:t>
            </w:r>
            <w:r>
              <w:rPr>
                <w:rFonts w:hint="eastAsia" w:cs="黑体"/>
              </w:rPr>
              <w:t>项任务。到</w:t>
            </w:r>
            <w:r>
              <w:rPr>
                <w:rFonts w:cs="黑体"/>
              </w:rPr>
              <w:t>2025</w:t>
            </w:r>
            <w:r>
              <w:rPr>
                <w:rFonts w:hint="eastAsia" w:cs="黑体"/>
              </w:rPr>
              <w:t>年，县城垃圾无害化处理率和污水集中处理率达到</w:t>
            </w:r>
            <w:r>
              <w:rPr>
                <w:rFonts w:cs="黑体"/>
              </w:rPr>
              <w:t>100%</w:t>
            </w:r>
            <w:r>
              <w:rPr>
                <w:rFonts w:hint="eastAsia" w:cs="黑体"/>
              </w:rPr>
              <w:t>。</w:t>
            </w:r>
          </w:p>
          <w:p>
            <w:pPr>
              <w:pStyle w:val="15"/>
              <w:ind w:firstLine="31680"/>
              <w:rPr>
                <w:rFonts w:cs="黑体"/>
                <w:b/>
                <w:bCs/>
              </w:rPr>
            </w:pPr>
            <w:r>
              <w:rPr>
                <w:rFonts w:hint="eastAsia" w:cs="黑体"/>
                <w:b/>
                <w:bCs/>
              </w:rPr>
              <w:t>（三）推进城乡交通设施</w:t>
            </w:r>
            <w:r>
              <w:rPr>
                <w:rFonts w:cs="黑体"/>
                <w:b/>
                <w:bCs/>
              </w:rPr>
              <w:t>4</w:t>
            </w:r>
            <w:r>
              <w:rPr>
                <w:rFonts w:hint="eastAsia" w:cs="黑体"/>
                <w:b/>
                <w:bCs/>
              </w:rPr>
              <w:t>项行动</w:t>
            </w:r>
          </w:p>
          <w:p>
            <w:pPr>
              <w:pStyle w:val="15"/>
              <w:ind w:firstLine="31680"/>
              <w:rPr>
                <w:rFonts w:cs="黑体"/>
              </w:rPr>
            </w:pPr>
            <w:r>
              <w:rPr>
                <w:rFonts w:hint="eastAsia" w:cs="黑体"/>
              </w:rPr>
              <w:t>推进优化城乡道路设施、公共停车场、公共交通设施、新能源汽车充电设施</w:t>
            </w:r>
            <w:r>
              <w:rPr>
                <w:rFonts w:cs="黑体"/>
              </w:rPr>
              <w:t>4</w:t>
            </w:r>
            <w:r>
              <w:rPr>
                <w:rFonts w:hint="eastAsia" w:cs="黑体"/>
              </w:rPr>
              <w:t>项任务。鼓励单位利用自有用地建设停车场，推广利用城市支路作为夜间限时间歇性停车位，建设智能停车诱导系统，推广车辆号牌自动识别等信息化技术，推进智慧停车。新建住宅配建停车位</w:t>
            </w:r>
            <w:r>
              <w:rPr>
                <w:rFonts w:cs="黑体"/>
              </w:rPr>
              <w:t>100%</w:t>
            </w:r>
            <w:r>
              <w:rPr>
                <w:rFonts w:hint="eastAsia" w:cs="黑体"/>
              </w:rPr>
              <w:t>建设充电设施或预留建设安装条件，确保新能源汽车充电设施建设得到保障。</w:t>
            </w:r>
          </w:p>
          <w:p>
            <w:pPr>
              <w:pStyle w:val="15"/>
              <w:ind w:firstLine="31680"/>
              <w:rPr>
                <w:rFonts w:cs="黑体"/>
                <w:b/>
                <w:bCs/>
              </w:rPr>
            </w:pPr>
            <w:r>
              <w:rPr>
                <w:rFonts w:hint="eastAsia" w:cs="黑体"/>
                <w:b/>
                <w:bCs/>
              </w:rPr>
              <w:t>（四）推进公用设施行动</w:t>
            </w:r>
          </w:p>
          <w:p>
            <w:pPr>
              <w:pStyle w:val="15"/>
              <w:ind w:firstLine="31680"/>
              <w:rPr>
                <w:rFonts w:cs="黑体"/>
              </w:rPr>
            </w:pPr>
            <w:r>
              <w:rPr>
                <w:rFonts w:hint="eastAsia" w:cs="黑体"/>
              </w:rPr>
              <w:t>推动管网设施、易涝点治理、发展物流配送投递设施、推进县城智慧化、城乡明亮工程改造等任务。提升城乡公共空间照明水平，城市大街小巷实现照明全覆盖，亮灯率达</w:t>
            </w:r>
            <w:r>
              <w:rPr>
                <w:rFonts w:cs="黑体"/>
              </w:rPr>
              <w:t>95%</w:t>
            </w:r>
            <w:r>
              <w:rPr>
                <w:rFonts w:hint="eastAsia" w:cs="黑体"/>
              </w:rPr>
              <w:t>以上，乡村实现村村通路灯。完善城市亮化管理制度，城市功能照明分时节、分时段亮化运行和管理。</w:t>
            </w:r>
          </w:p>
        </w:tc>
      </w:tr>
    </w:tbl>
    <w:p>
      <w:pPr>
        <w:pStyle w:val="4"/>
        <w:spacing w:before="156" w:after="156"/>
      </w:pPr>
      <w:bookmarkStart w:id="39" w:name="_Toc31230"/>
      <w:r>
        <w:rPr>
          <w:rFonts w:hint="eastAsia"/>
        </w:rPr>
        <w:t>第三节</w:t>
      </w:r>
      <w:r>
        <w:t xml:space="preserve"> </w:t>
      </w:r>
      <w:r>
        <w:rPr>
          <w:rFonts w:hint="eastAsia"/>
        </w:rPr>
        <w:t>畅通城乡双向融合发展</w:t>
      </w:r>
      <w:bookmarkEnd w:id="39"/>
      <w:bookmarkStart w:id="40" w:name="_Toc9214"/>
      <w:bookmarkStart w:id="41" w:name="_Toc7680"/>
      <w:bookmarkStart w:id="42" w:name="_Toc4067"/>
    </w:p>
    <w:bookmarkEnd w:id="40"/>
    <w:bookmarkEnd w:id="41"/>
    <w:bookmarkEnd w:id="42"/>
    <w:p>
      <w:pPr>
        <w:ind w:firstLine="31680"/>
        <w:rPr>
          <w:rFonts w:ascii="仿宋_GB2312" w:hAnsi="仿宋_GB2312" w:eastAsia="仿宋_GB2312" w:cs="仿宋_GB2312"/>
          <w:szCs w:val="32"/>
        </w:rPr>
      </w:pPr>
      <w:bookmarkStart w:id="43" w:name="_Toc14953"/>
      <w:bookmarkStart w:id="44" w:name="_Toc5997"/>
      <w:bookmarkStart w:id="45" w:name="_Toc13517"/>
      <w:r>
        <w:rPr>
          <w:rFonts w:hint="eastAsia"/>
          <w:b/>
          <w:bCs/>
        </w:rPr>
        <w:t>落实好农业转移人口落户政策</w:t>
      </w:r>
      <w:bookmarkEnd w:id="43"/>
      <w:bookmarkEnd w:id="44"/>
      <w:bookmarkEnd w:id="45"/>
      <w:r>
        <w:rPr>
          <w:rFonts w:hint="eastAsia"/>
          <w:b/>
          <w:bCs/>
        </w:rPr>
        <w:t>。</w:t>
      </w:r>
      <w:r>
        <w:rPr>
          <w:rFonts w:hint="eastAsia" w:ascii="仿宋_GB2312" w:hAnsi="仿宋_GB2312" w:eastAsia="仿宋_GB2312" w:cs="仿宋_GB2312"/>
          <w:szCs w:val="32"/>
        </w:rPr>
        <w:t>建立健全由政府、企业、个人共同参与的农业转移人口市民化成本分担机制，全面落实支持农业转移人口市民化的财政政策、城镇建设用地增加规模与吸纳农业转移人口落户数量挂钩等政策，解决已转移到城镇就业的农业转移人口落户问题，稳步提高户籍人口城镇化水平。全面放开建制镇和县级城区人口落户限制，优先解决农村学生升学、参军进入城镇人口、在城镇就业居住</w:t>
      </w:r>
      <w:r>
        <w:rPr>
          <w:rFonts w:ascii="仿宋_GB2312" w:hAnsi="仿宋_GB2312" w:eastAsia="仿宋_GB2312" w:cs="仿宋_GB2312"/>
          <w:szCs w:val="32"/>
        </w:rPr>
        <w:t>1</w:t>
      </w:r>
      <w:r>
        <w:rPr>
          <w:rFonts w:hint="eastAsia" w:ascii="仿宋_GB2312" w:hAnsi="仿宋_GB2312" w:eastAsia="仿宋_GB2312" w:cs="仿宋_GB2312"/>
          <w:szCs w:val="32"/>
        </w:rPr>
        <w:t>年以上和举家迁徙的农业转移人口以及新生代农民工落户问题，全面放开对高校毕业生、技术工人、职业院校毕业生、留学归国人员的落户限制。在全县范围内逐步取消农业户口和非农业户口的区分，建立城乡统一的居民户口登记制度。全面实施居住证制度，进一步放宽居住证申领条件，提高基本公共服务和办事便利标准，缩小居住证与常住户口在基本公共服务和办事便利上的差距。</w:t>
      </w:r>
    </w:p>
    <w:p>
      <w:pPr>
        <w:ind w:firstLine="31680"/>
        <w:rPr>
          <w:rFonts w:ascii="仿宋_GB2312" w:hAnsi="仿宋_GB2312" w:eastAsia="仿宋_GB2312" w:cs="仿宋_GB2312"/>
          <w:szCs w:val="32"/>
        </w:rPr>
      </w:pPr>
      <w:bookmarkStart w:id="46" w:name="_Toc20313"/>
      <w:bookmarkStart w:id="47" w:name="_Toc1992"/>
      <w:bookmarkStart w:id="48" w:name="_Toc28511"/>
      <w:r>
        <w:rPr>
          <w:rFonts w:hint="eastAsia"/>
          <w:b/>
          <w:bCs/>
        </w:rPr>
        <w:t>保障进城农民权益</w:t>
      </w:r>
      <w:bookmarkEnd w:id="46"/>
      <w:bookmarkEnd w:id="47"/>
      <w:bookmarkEnd w:id="48"/>
      <w:r>
        <w:rPr>
          <w:rFonts w:hint="eastAsia"/>
          <w:b/>
          <w:bCs/>
        </w:rPr>
        <w:t>。</w:t>
      </w:r>
      <w:r>
        <w:rPr>
          <w:rFonts w:hint="eastAsia" w:ascii="仿宋_GB2312" w:hAnsi="仿宋_GB2312" w:eastAsia="仿宋_GB2312" w:cs="仿宋_GB2312"/>
          <w:szCs w:val="32"/>
        </w:rPr>
        <w:t>引导城乡人口自愿、有序、平稳流动，加强农民就业技能培训，引导农村人口向城镇转移，努力使外来流入落户人口素质与本地经济社会发展需要和人口承载力相适应。解决流动人口在就业、就医、定居、子女入托入学方面的实际困难，建立流动人口计划生育法律救助体系，维护流动人口合法权益，将符合条件的常住人口纳入公租房保障范围和住房公积金制度覆盖范围，保障其在流入地平等享受公共服务。将农业转移人口及其他常住人口纳入社区卫生和计划生育服务体系，为转户农民建立健康档案，提供基本医疗卫生服务。把进城落户农民完全纳入城镇社会保障体系，实现农村养老保险和医疗保险接入城镇社会保障体系，落实养老保险和医疗保险关系转移接续政策。完善就业失业登记管理制度，将未就业农业转移人口与城镇居民一样纳入城镇就业失业登记范围，向农业转移人口全面提供政府补贴职业技能培训服务，加大创业支持力度，促进农业转移人口就业。</w:t>
      </w:r>
    </w:p>
    <w:p>
      <w:pPr>
        <w:ind w:firstLine="31680"/>
        <w:rPr>
          <w:rFonts w:ascii="仿宋_GB2312" w:hAnsi="仿宋_GB2312" w:eastAsia="仿宋_GB2312" w:cs="仿宋_GB2312"/>
          <w:szCs w:val="32"/>
        </w:rPr>
      </w:pPr>
      <w:bookmarkStart w:id="49" w:name="_Toc17968"/>
      <w:bookmarkStart w:id="50" w:name="_Toc24214"/>
      <w:bookmarkStart w:id="51" w:name="_Toc15810"/>
      <w:r>
        <w:rPr>
          <w:rFonts w:hint="eastAsia"/>
          <w:b/>
          <w:bCs/>
        </w:rPr>
        <w:t>完善政策激励机制</w:t>
      </w:r>
      <w:bookmarkEnd w:id="49"/>
      <w:bookmarkEnd w:id="50"/>
      <w:bookmarkEnd w:id="51"/>
      <w:r>
        <w:rPr>
          <w:rFonts w:hint="eastAsia"/>
          <w:b/>
          <w:bCs/>
        </w:rPr>
        <w:t>。</w:t>
      </w:r>
      <w:r>
        <w:rPr>
          <w:rFonts w:hint="eastAsia" w:ascii="仿宋_GB2312" w:hAnsi="仿宋_GB2312" w:eastAsia="仿宋_GB2312" w:cs="仿宋_GB2312"/>
          <w:szCs w:val="32"/>
        </w:rPr>
        <w:t>切实维护进城落户农民土地承包权、宅基地使用权、集体权益分配权，支持引导进城落户农民依法自愿有偿转让上述权益。加快户口变动与农村“三权”脱钩，不得以退出“三权”作为农民进城落户的条件。落实支持农业转移人口市民化财政政策、城镇建设用地增加规模与吸纳农业转移人口落户数量挂钩政策。完善与城乡人口变化规律相适应的公共财政分配制度，健全由政府、企业、个人共同参与的市民化成本分担机制。</w:t>
      </w:r>
    </w:p>
    <w:p>
      <w:pPr>
        <w:pStyle w:val="4"/>
        <w:spacing w:before="156" w:after="156"/>
        <w:rPr>
          <w:rFonts w:ascii="楷体" w:cs="楷体"/>
        </w:rPr>
      </w:pPr>
      <w:bookmarkStart w:id="52" w:name="_Toc14072"/>
      <w:r>
        <w:rPr>
          <w:rFonts w:hint="eastAsia" w:ascii="楷体" w:hAnsi="楷体" w:cs="楷体"/>
        </w:rPr>
        <w:t>第四节</w:t>
      </w:r>
      <w:r>
        <w:rPr>
          <w:rFonts w:ascii="楷体" w:hAnsi="楷体" w:cs="楷体"/>
        </w:rPr>
        <w:t xml:space="preserve"> </w:t>
      </w:r>
      <w:r>
        <w:rPr>
          <w:rFonts w:hint="eastAsia" w:ascii="楷体" w:hAnsi="楷体" w:cs="楷体"/>
        </w:rPr>
        <w:t>健全城乡融合发展体制机制</w:t>
      </w:r>
      <w:bookmarkEnd w:id="52"/>
    </w:p>
    <w:p>
      <w:pPr>
        <w:ind w:firstLine="31680"/>
        <w:rPr>
          <w:rFonts w:ascii="仿宋_GB2312" w:hAnsi="仿宋_GB2312" w:eastAsia="仿宋_GB2312" w:cs="仿宋_GB2312"/>
          <w:szCs w:val="32"/>
        </w:rPr>
      </w:pPr>
      <w:r>
        <w:rPr>
          <w:rFonts w:hint="eastAsia"/>
          <w:b/>
          <w:bCs/>
        </w:rPr>
        <w:t>创新城乡要素融合互通的体制机制。</w:t>
      </w:r>
      <w:r>
        <w:rPr>
          <w:rFonts w:hint="eastAsia" w:ascii="仿宋_GB2312" w:hAnsi="仿宋_GB2312" w:eastAsia="仿宋_GB2312" w:cs="仿宋_GB2312"/>
          <w:szCs w:val="32"/>
        </w:rPr>
        <w:t>打破城乡分割的传统体制机制障碍，按照平等、开放、融合、共享的原则，创新体制机制，积极引导人口、资本、技术等生产要素在城乡之间合理流动。创新发挥市场在资源要素配置中的决定性作用，利用市场机制实现取长补短、互通有无、优势互补，作好“人”“钱”“物”等多篇文章，推动城乡要素平等交换。落实城乡统一就业政策的具体办法和措施，消除对进城务工人员就业的限制性、不平等性规定和做法。坚持把农业农村作为财政支出的优先保障领域，在持续增加投入总量的基础上，着力优化投入结构、创新使用方式、提升支农效能。强化金融机构激励约束机制，吸引金融资本进入农业农村。围绕发展现代农业、培育新产业新业态，完善农企利益紧密联结机制，利用城市科技改造乡村传统农业，利用城市工业延长乡村农业产业链，实现乡村经济多元化和农业全产业链发展。</w:t>
      </w:r>
    </w:p>
    <w:p>
      <w:pPr>
        <w:ind w:firstLine="31680"/>
        <w:rPr>
          <w:rFonts w:ascii="仿宋_GB2312" w:hAnsi="仿宋_GB2312" w:eastAsia="仿宋_GB2312" w:cs="仿宋_GB2312"/>
          <w:szCs w:val="32"/>
        </w:rPr>
      </w:pPr>
      <w:r>
        <w:rPr>
          <w:rFonts w:hint="eastAsia"/>
          <w:b/>
          <w:bCs/>
        </w:rPr>
        <w:t>推进城乡基本公共服务普惠共享。</w:t>
      </w:r>
      <w:r>
        <w:rPr>
          <w:rFonts w:hint="eastAsia" w:ascii="仿宋_GB2312" w:hAnsi="仿宋_GB2312" w:eastAsia="仿宋_GB2312" w:cs="仿宋_GB2312"/>
          <w:szCs w:val="32"/>
        </w:rPr>
        <w:t>推动公共服务向农村延伸、社会事业向农村覆盖，健全全民覆盖、普惠共享、城乡一体的基本公共服务体系，推进城乡基本公共服务标准统一、制度并轨，</w:t>
      </w:r>
      <w:r>
        <w:rPr>
          <w:rFonts w:hint="eastAsia" w:ascii="仿宋_GB2312" w:hAnsi="仿宋_GB2312" w:eastAsia="仿宋_GB2312" w:cs="仿宋_GB2312"/>
          <w:szCs w:val="32"/>
          <w:lang w:val="zh-CN"/>
        </w:rPr>
        <w:t>引导城乡兼业人口和返乡农民工就地就近市民化，创新乡村人才引进与使用机制</w:t>
      </w:r>
      <w:r>
        <w:rPr>
          <w:rFonts w:hint="eastAsia" w:ascii="仿宋_GB2312" w:hAnsi="仿宋_GB2312" w:eastAsia="仿宋_GB2312" w:cs="仿宋_GB2312"/>
          <w:szCs w:val="32"/>
        </w:rPr>
        <w:t>。加快推动县乡基础设施提档升级，统筹推进公共服务设施、环境卫生设施、市政公用设施、产业培育设施等统一规划、建设，构建分级分类投入机制。</w:t>
      </w:r>
    </w:p>
    <w:p>
      <w:pPr>
        <w:ind w:firstLine="31680"/>
      </w:pPr>
      <w:r>
        <w:br w:type="page"/>
      </w:r>
    </w:p>
    <w:p>
      <w:pPr>
        <w:pStyle w:val="3"/>
        <w:spacing w:before="156" w:after="156"/>
      </w:pPr>
      <w:bookmarkStart w:id="53" w:name="_Toc15854"/>
      <w:r>
        <w:rPr>
          <w:rFonts w:hint="eastAsia"/>
        </w:rPr>
        <w:t>第七章</w:t>
      </w:r>
      <w:r>
        <w:t xml:space="preserve"> </w:t>
      </w:r>
      <w:r>
        <w:rPr>
          <w:rFonts w:hint="eastAsia"/>
        </w:rPr>
        <w:t>全面实施乡村振兴战略，奋力描绘“五美”乡村新图景</w:t>
      </w:r>
      <w:bookmarkEnd w:id="53"/>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全面落实“产业兴旺、生态宜居、乡风文明、治理有效、生活富裕”总要求，持续深化农业农村改革，推动产业发展、生态保护、文化建设、人才队伍等有效衔接，扎实做好新发展阶段“三农”工作，接续推进脱贫攻坚与乡村振兴有效衔接，促进农业高质高效、乡村宜居宜业、农民富裕富足，努力建设彰显产业兴旺之美、文明淳朴之美、共建共享之美、自然生态之美、和谐有序之美的新时代“五美”乡村。</w:t>
      </w:r>
    </w:p>
    <w:p>
      <w:pPr>
        <w:pStyle w:val="4"/>
        <w:spacing w:before="156" w:after="156"/>
      </w:pPr>
      <w:bookmarkStart w:id="54" w:name="_Toc3854"/>
      <w:r>
        <w:rPr>
          <w:rFonts w:hint="eastAsia"/>
        </w:rPr>
        <w:t>第一节</w:t>
      </w:r>
      <w:r>
        <w:t xml:space="preserve"> </w:t>
      </w:r>
      <w:r>
        <w:rPr>
          <w:rFonts w:hint="eastAsia"/>
        </w:rPr>
        <w:t>大力发展现代农业</w:t>
      </w:r>
      <w:bookmarkEnd w:id="54"/>
    </w:p>
    <w:p>
      <w:pPr>
        <w:ind w:firstLine="31680"/>
        <w:rPr>
          <w:rFonts w:ascii="仿宋_GB2312" w:hAnsi="仿宋_GB2312" w:eastAsia="仿宋_GB2312" w:cs="仿宋_GB2312"/>
          <w:szCs w:val="32"/>
        </w:rPr>
      </w:pPr>
      <w:bookmarkStart w:id="55" w:name="_Toc27837"/>
      <w:bookmarkStart w:id="56" w:name="_Toc4055"/>
      <w:r>
        <w:rPr>
          <w:rFonts w:hint="eastAsia"/>
          <w:b/>
          <w:bCs/>
        </w:rPr>
        <w:t>优化农业产业结构</w:t>
      </w:r>
      <w:bookmarkEnd w:id="55"/>
      <w:r>
        <w:rPr>
          <w:rFonts w:hint="eastAsia"/>
          <w:b/>
          <w:bCs/>
        </w:rPr>
        <w:t>。</w:t>
      </w:r>
      <w:bookmarkEnd w:id="56"/>
      <w:r>
        <w:rPr>
          <w:rFonts w:hint="eastAsia" w:ascii="仿宋_GB2312" w:hAnsi="仿宋_GB2312" w:eastAsia="仿宋_GB2312" w:cs="仿宋_GB2312"/>
          <w:szCs w:val="32"/>
        </w:rPr>
        <w:t>按照“城乡统筹、区域协调、园区聚集、产业集群、三产融合”的战略要求，加强特色农产品生产功能区和粮食生产功能区建设，形成“一廊两带、一园六区多点”的都市型现代农业发展格局。主动策应省市农业产业结构调整的重点支持方向和全县现有产业发展的良好基础，结合实际因地制宜，突出特色，重点“瞄准六大产业”。</w:t>
      </w:r>
      <w:r>
        <w:rPr>
          <w:rFonts w:hint="eastAsia" w:ascii="仿宋_GB2312" w:hAnsi="仿宋_GB2312" w:eastAsia="仿宋_GB2312" w:cs="仿宋_GB2312"/>
          <w:color w:val="000000"/>
          <w:szCs w:val="32"/>
        </w:rPr>
        <w:t>不断提升“永修香米”区域品牌和地理证明商标产品的知名度和影响力，依托马口、立新、九合等</w:t>
      </w: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万亩香米主产区，创建国家级永修香米产业园，打造香米特色小镇。重点改</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扩</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建云山、江上、白槎等以“永修蜜桔”地理证明商标产品为主的精品果业主产区，到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年全县柑桔主产区达到</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万亩。抓住江西振兴中药经济的机遇，做大做强以艾城艾草为主的中草药产业，发展药草观光、中药科普、药膳餐饮、中药体疗、度假康养、森林康养等综合服务新业态，建设南艾产业园和热敏灸康养小镇。进一步扩大城郊蔬菜和设施蔬菜种植面积，合理开发水域面积，发展稻虾等水产业，合理利用森林资源，发展林下经济</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打造</w:t>
      </w:r>
      <w:r>
        <w:rPr>
          <w:rFonts w:ascii="仿宋_GB2312" w:hAnsi="仿宋_GB2312" w:eastAsia="仿宋_GB2312" w:cs="仿宋_GB2312"/>
          <w:color w:val="000000"/>
          <w:szCs w:val="32"/>
        </w:rPr>
        <w:t>8</w:t>
      </w:r>
      <w:r>
        <w:rPr>
          <w:rFonts w:hint="eastAsia" w:ascii="仿宋_GB2312" w:hAnsi="仿宋_GB2312" w:eastAsia="仿宋_GB2312" w:cs="仿宋_GB2312"/>
          <w:color w:val="000000"/>
          <w:szCs w:val="32"/>
        </w:rPr>
        <w:t>万亩高产油茶基地，着力壮大林业产业。依托云居山禅宗文化，扩大燕山青茶、云居禅茶产能，建设禅生活茶文化小镇，发展主题鲜明、宜居宜乐、观光采摘、农学体验的休闲农业</w:t>
      </w:r>
      <w:r>
        <w:rPr>
          <w:rFonts w:hint="eastAsia" w:ascii="仿宋_GB2312" w:hAnsi="仿宋_GB2312" w:eastAsia="仿宋_GB2312" w:cs="仿宋_GB2312"/>
          <w:szCs w:val="32"/>
        </w:rPr>
        <w:t>。</w:t>
      </w:r>
    </w:p>
    <w:tbl>
      <w:tblPr>
        <w:tblStyle w:val="16"/>
        <w:tblpPr w:leftFromText="180" w:rightFromText="180" w:vertAnchor="text" w:horzAnchor="page" w:tblpXSpec="center" w:tblpYSpec="bottom"/>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311" w:type="dxa"/>
          </w:tcPr>
          <w:p>
            <w:pPr>
              <w:pStyle w:val="15"/>
              <w:ind w:firstLine="0" w:firstLineChars="0"/>
              <w:jc w:val="center"/>
              <w:rPr>
                <w:rFonts w:cs="黑体"/>
              </w:rPr>
            </w:pPr>
            <w:r>
              <w:rPr>
                <w:rFonts w:hint="eastAsia" w:cs="黑体"/>
                <w:b/>
                <w:bCs/>
              </w:rPr>
              <w:t>专栏</w:t>
            </w:r>
            <w:r>
              <w:rPr>
                <w:rFonts w:cs="黑体"/>
                <w:b/>
                <w:bCs/>
              </w:rPr>
              <w:t xml:space="preserve">13  </w:t>
            </w:r>
            <w:r>
              <w:rPr>
                <w:rFonts w:hint="eastAsia" w:cs="黑体"/>
                <w:b/>
                <w:bCs/>
              </w:rPr>
              <w:t>永修县现代农业发展格局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tcPr>
          <w:p>
            <w:pPr>
              <w:pStyle w:val="15"/>
              <w:ind w:firstLine="31680"/>
              <w:rPr>
                <w:rFonts w:cs="黑体"/>
              </w:rPr>
            </w:pPr>
            <w:r>
              <w:rPr>
                <w:rFonts w:hint="eastAsia" w:cs="黑体"/>
                <w:b/>
                <w:bCs/>
              </w:rPr>
              <w:t>（一）一廊：</w:t>
            </w:r>
            <w:r>
              <w:rPr>
                <w:rFonts w:hint="eastAsia" w:cs="黑体"/>
              </w:rPr>
              <w:t>沿修河休闲廊道</w:t>
            </w:r>
          </w:p>
          <w:p>
            <w:pPr>
              <w:pStyle w:val="15"/>
              <w:ind w:firstLine="31680"/>
              <w:rPr>
                <w:rFonts w:cs="黑体"/>
              </w:rPr>
            </w:pPr>
            <w:r>
              <w:rPr>
                <w:rFonts w:hint="eastAsia" w:cs="黑体"/>
                <w:b/>
                <w:bCs/>
              </w:rPr>
              <w:t>（二）两带：</w:t>
            </w:r>
            <w:r>
              <w:rPr>
                <w:rFonts w:hint="eastAsia" w:cs="黑体"/>
              </w:rPr>
              <w:t>沿</w:t>
            </w:r>
            <w:r>
              <w:rPr>
                <w:rFonts w:cs="黑体"/>
              </w:rPr>
              <w:t>105</w:t>
            </w:r>
            <w:r>
              <w:rPr>
                <w:rFonts w:hint="eastAsia" w:cs="黑体"/>
              </w:rPr>
              <w:t>国道现代特色农业产业带、沿昌九大道高科农业产业带</w:t>
            </w:r>
          </w:p>
          <w:p>
            <w:pPr>
              <w:pStyle w:val="15"/>
              <w:ind w:firstLine="31680"/>
              <w:rPr>
                <w:rFonts w:cs="黑体"/>
              </w:rPr>
            </w:pPr>
            <w:r>
              <w:rPr>
                <w:rFonts w:hint="eastAsia" w:cs="黑体"/>
                <w:b/>
                <w:bCs/>
              </w:rPr>
              <w:t>（三）一园：</w:t>
            </w:r>
            <w:r>
              <w:rPr>
                <w:rFonts w:hint="eastAsia" w:cs="黑体"/>
              </w:rPr>
              <w:t>国家级现代农业产业示范园</w:t>
            </w:r>
          </w:p>
          <w:p>
            <w:pPr>
              <w:pStyle w:val="15"/>
              <w:ind w:firstLine="31680"/>
              <w:rPr>
                <w:rFonts w:cs="黑体"/>
              </w:rPr>
            </w:pPr>
            <w:r>
              <w:rPr>
                <w:rFonts w:hint="eastAsia" w:cs="黑体"/>
                <w:b/>
                <w:bCs/>
              </w:rPr>
              <w:t>（四）六区：</w:t>
            </w:r>
            <w:r>
              <w:rPr>
                <w:rFonts w:hint="eastAsia" w:cs="黑体"/>
              </w:rPr>
              <w:t>以永修香米为主导的优质大米产业集群区、以永修蜜桔、城郊蔬菜为主打的特色果蔬产业集群区、以艾草热敏灸为主攻点的中药养生产业集群区、以燕山青为主品牌的高端茶叶产业集群区、以渔业为主需求的特种养殖产业集群区、以休闲观光农业为主方向乡村旅游产业集群区。</w:t>
            </w:r>
          </w:p>
          <w:p>
            <w:pPr>
              <w:pStyle w:val="15"/>
              <w:ind w:firstLine="31680"/>
              <w:rPr>
                <w:rFonts w:cs="黑体"/>
              </w:rPr>
            </w:pPr>
            <w:r>
              <w:rPr>
                <w:rFonts w:hint="eastAsia" w:cs="黑体"/>
                <w:b/>
                <w:bCs/>
              </w:rPr>
              <w:t>（五）多点：</w:t>
            </w:r>
            <w:r>
              <w:rPr>
                <w:rFonts w:hint="eastAsia" w:cs="黑体"/>
              </w:rPr>
              <w:t>依托各乡镇不同的资源特征及区位条件，按照“一乡一园”的思路，通过产业的提升和特质项目的注入，打造多个示范园，示范带动周边簇群整体发展。</w:t>
            </w:r>
          </w:p>
        </w:tc>
      </w:tr>
    </w:tbl>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夯实农业基础，提高农业综合生产能力</w:t>
      </w:r>
      <w:bookmarkStart w:id="57" w:name="_Toc25674"/>
      <w:r>
        <w:rPr>
          <w:rFonts w:hint="eastAsia" w:ascii="仿宋_GB2312" w:hAnsi="仿宋_GB2312" w:eastAsia="仿宋_GB2312" w:cs="仿宋_GB2312"/>
          <w:b/>
          <w:bCs/>
          <w:szCs w:val="32"/>
        </w:rPr>
        <w:t>。</w:t>
      </w:r>
      <w:r>
        <w:rPr>
          <w:rFonts w:hint="eastAsia" w:ascii="仿宋_GB2312" w:hAnsi="仿宋_GB2312" w:eastAsia="仿宋_GB2312" w:cs="仿宋_GB2312"/>
          <w:color w:val="000000"/>
          <w:szCs w:val="32"/>
        </w:rPr>
        <w:t>深入实施“藏粮于地、藏粮于技”战略，进一步严守耕地红线，</w:t>
      </w:r>
      <w:r>
        <w:rPr>
          <w:rFonts w:ascii="仿宋_GB2312" w:hAnsi="仿宋_GB2312" w:eastAsia="仿宋_GB2312" w:cs="仿宋_GB2312"/>
          <w:color w:val="000000"/>
          <w:szCs w:val="32"/>
        </w:rPr>
        <w:t>45</w:t>
      </w:r>
      <w:r>
        <w:rPr>
          <w:rFonts w:hint="eastAsia" w:ascii="仿宋_GB2312" w:hAnsi="仿宋_GB2312" w:eastAsia="仿宋_GB2312" w:cs="仿宋_GB2312"/>
          <w:color w:val="000000"/>
          <w:szCs w:val="32"/>
        </w:rPr>
        <w:t>万亩高标准农田作用得到更多的优化与开发，全面落实粮食安全责任制，全县水稻种植面积</w:t>
      </w:r>
      <w:r>
        <w:rPr>
          <w:rFonts w:ascii="仿宋_GB2312" w:hAnsi="仿宋_GB2312" w:eastAsia="仿宋_GB2312" w:cs="仿宋_GB2312"/>
          <w:color w:val="000000"/>
          <w:szCs w:val="32"/>
        </w:rPr>
        <w:t>53</w:t>
      </w:r>
      <w:r>
        <w:rPr>
          <w:rFonts w:hint="eastAsia" w:ascii="仿宋_GB2312" w:hAnsi="仿宋_GB2312" w:eastAsia="仿宋_GB2312" w:cs="仿宋_GB2312"/>
          <w:color w:val="000000"/>
          <w:szCs w:val="32"/>
        </w:rPr>
        <w:t>万亩，每年粮食总产量稳定在</w:t>
      </w:r>
      <w:r>
        <w:rPr>
          <w:rFonts w:ascii="仿宋_GB2312" w:hAnsi="仿宋_GB2312" w:eastAsia="仿宋_GB2312" w:cs="仿宋_GB2312"/>
          <w:color w:val="000000"/>
          <w:szCs w:val="32"/>
        </w:rPr>
        <w:t>26</w:t>
      </w:r>
      <w:r>
        <w:rPr>
          <w:rFonts w:hint="eastAsia" w:ascii="仿宋_GB2312" w:hAnsi="仿宋_GB2312" w:eastAsia="仿宋_GB2312" w:cs="仿宋_GB2312"/>
          <w:color w:val="000000"/>
          <w:szCs w:val="32"/>
        </w:rPr>
        <w:t>万吨以上。</w:t>
      </w:r>
      <w:r>
        <w:rPr>
          <w:rFonts w:hint="eastAsia" w:ascii="仿宋_GB2312" w:hAnsi="仿宋_GB2312" w:eastAsia="仿宋_GB2312" w:cs="仿宋_GB2312"/>
          <w:szCs w:val="32"/>
        </w:rPr>
        <w:t>加强对土壤的污染治理。减少用化学农药来对抗病虫害，增强农作物的抵抗能力。推进重金属污染耕地防控和修复，开展土壤污染治理与修复技术应用试点，通过种养结合等模式从源头上保护提升耕地质量</w:t>
      </w:r>
      <w:bookmarkStart w:id="58" w:name="_Toc16469"/>
      <w:bookmarkStart w:id="59" w:name="_Toc5927"/>
      <w:r>
        <w:rPr>
          <w:rFonts w:hint="eastAsia" w:ascii="仿宋_GB2312" w:hAnsi="仿宋_GB2312" w:eastAsia="仿宋_GB2312" w:cs="仿宋_GB2312"/>
          <w:szCs w:val="32"/>
        </w:rPr>
        <w:t>。提升农田灌溉设施水平</w:t>
      </w:r>
      <w:bookmarkEnd w:id="58"/>
      <w:bookmarkEnd w:id="59"/>
      <w:r>
        <w:rPr>
          <w:rFonts w:hint="eastAsia" w:ascii="仿宋_GB2312" w:hAnsi="仿宋_GB2312" w:eastAsia="仿宋_GB2312" w:cs="仿宋_GB2312"/>
          <w:szCs w:val="32"/>
        </w:rPr>
        <w:t>。加快水利重大项目建设步伐，实施中小型灌区续建配套与节水改造、排灌泵站更新改造与建设，提高农田的排灌能力；坚持防汛抗旱两手抓，全力推进水利工程标准化建设。推进小型农田水利建设，改善农田灌溉条件，基本完成水库、山塘整治与建设任务；加大节水灌溉示范项目建设力度，改善农业生产条件。</w:t>
      </w:r>
      <w:bookmarkStart w:id="60" w:name="_Toc24246"/>
      <w:bookmarkStart w:id="61" w:name="_Toc4730"/>
      <w:r>
        <w:rPr>
          <w:rFonts w:hint="eastAsia" w:ascii="仿宋_GB2312" w:hAnsi="仿宋_GB2312" w:eastAsia="仿宋_GB2312" w:cs="仿宋_GB2312"/>
          <w:szCs w:val="32"/>
        </w:rPr>
        <w:t>提高农业机械化水平</w:t>
      </w:r>
      <w:bookmarkEnd w:id="60"/>
      <w:bookmarkEnd w:id="61"/>
      <w:r>
        <w:rPr>
          <w:rFonts w:hint="eastAsia" w:ascii="仿宋_GB2312" w:hAnsi="仿宋_GB2312" w:eastAsia="仿宋_GB2312" w:cs="仿宋_GB2312"/>
          <w:szCs w:val="32"/>
        </w:rPr>
        <w:t>。大力发展智能化、高端农机装备，建设一批</w:t>
      </w:r>
      <w:r>
        <w:rPr>
          <w:rFonts w:ascii="仿宋_GB2312" w:hAnsi="仿宋_GB2312" w:eastAsia="仿宋_GB2312" w:cs="仿宋_GB2312"/>
          <w:szCs w:val="32"/>
        </w:rPr>
        <w:t>50</w:t>
      </w:r>
      <w:r>
        <w:rPr>
          <w:rFonts w:hint="eastAsia" w:ascii="仿宋_GB2312" w:hAnsi="仿宋_GB2312" w:eastAsia="仿宋_GB2312" w:cs="仿宋_GB2312"/>
          <w:szCs w:val="32"/>
        </w:rPr>
        <w:t>亩以上的水稻生产全程机械化示范基地。</w:t>
      </w:r>
      <w:bookmarkStart w:id="62" w:name="_Toc25266"/>
      <w:bookmarkStart w:id="63" w:name="_Toc9003"/>
      <w:r>
        <w:rPr>
          <w:rFonts w:hint="eastAsia" w:ascii="仿宋_GB2312" w:hAnsi="仿宋_GB2312" w:eastAsia="仿宋_GB2312" w:cs="仿宋_GB2312"/>
          <w:szCs w:val="32"/>
        </w:rPr>
        <w:t>促进农机农艺融合，发展农机专业合作社，加强先进适用、安全可靠、生产急需的农业机械引进推广，提高农机装备智能决策和精准作业能力，到</w:t>
      </w:r>
      <w:r>
        <w:rPr>
          <w:rFonts w:ascii="仿宋_GB2312" w:hAnsi="仿宋_GB2312" w:eastAsia="仿宋_GB2312" w:cs="仿宋_GB2312"/>
          <w:szCs w:val="32"/>
        </w:rPr>
        <w:t>2025</w:t>
      </w:r>
      <w:r>
        <w:rPr>
          <w:rFonts w:hint="eastAsia" w:ascii="仿宋_GB2312" w:hAnsi="仿宋_GB2312" w:eastAsia="仿宋_GB2312" w:cs="仿宋_GB2312"/>
          <w:szCs w:val="32"/>
        </w:rPr>
        <w:t>年，建设农机专业合作社</w:t>
      </w:r>
      <w:r>
        <w:rPr>
          <w:rFonts w:ascii="仿宋_GB2312" w:hAnsi="仿宋_GB2312" w:eastAsia="仿宋_GB2312" w:cs="仿宋_GB2312"/>
          <w:szCs w:val="32"/>
        </w:rPr>
        <w:t>52</w:t>
      </w:r>
      <w:r>
        <w:rPr>
          <w:rFonts w:hint="eastAsia" w:ascii="仿宋_GB2312" w:hAnsi="仿宋_GB2312" w:eastAsia="仿宋_GB2312" w:cs="仿宋_GB2312"/>
          <w:szCs w:val="32"/>
        </w:rPr>
        <w:t>个以上，主要农机装备数量稳步增长，装备结构更加合理。加强农业防灾减灾能力建设</w:t>
      </w:r>
      <w:bookmarkEnd w:id="62"/>
      <w:bookmarkEnd w:id="63"/>
      <w:r>
        <w:rPr>
          <w:rFonts w:hint="eastAsia" w:ascii="仿宋_GB2312" w:hAnsi="仿宋_GB2312" w:eastAsia="仿宋_GB2312" w:cs="仿宋_GB2312"/>
          <w:szCs w:val="32"/>
        </w:rPr>
        <w:t>。加快构建布局合理、覆盖全县的监测预警体系和疫情灾害应急处置体系，重点支持应急防控、专业化统防统治、绿色防控。进一步推进植保田间工程建设，提升农作物有害生物监测预警及防控、农药监管、植保科技支撑等能力，严格执行疫情报告制度和重大疫情风险分析制度，提高疫病防控和扑灭能力，降低种养业生产风险。建立和完善动物疫情监控网络体。</w:t>
      </w:r>
      <w:bookmarkStart w:id="64" w:name="_Toc16306"/>
      <w:bookmarkStart w:id="65" w:name="_Toc28141"/>
      <w:r>
        <w:rPr>
          <w:rFonts w:hint="eastAsia" w:ascii="仿宋_GB2312" w:hAnsi="仿宋_GB2312" w:eastAsia="仿宋_GB2312" w:cs="仿宋_GB2312"/>
          <w:szCs w:val="32"/>
        </w:rPr>
        <w:t>加强农业生产服务能力建设</w:t>
      </w:r>
      <w:bookmarkEnd w:id="64"/>
      <w:bookmarkEnd w:id="65"/>
      <w:r>
        <w:rPr>
          <w:rFonts w:hint="eastAsia" w:ascii="仿宋_GB2312" w:hAnsi="仿宋_GB2312" w:eastAsia="仿宋_GB2312" w:cs="仿宋_GB2312"/>
          <w:szCs w:val="32"/>
        </w:rPr>
        <w:t>推进高标准粮田气象保障工程建设，积极对接农业气象试验站和气象防灾减灾科技园，大力发展智慧气象，推行“惠农气象”</w:t>
      </w:r>
      <w:r>
        <w:rPr>
          <w:rFonts w:ascii="仿宋_GB2312" w:hAnsi="仿宋_GB2312" w:eastAsia="仿宋_GB2312" w:cs="仿宋_GB2312"/>
          <w:szCs w:val="32"/>
        </w:rPr>
        <w:t>APP</w:t>
      </w:r>
      <w:r>
        <w:rPr>
          <w:rFonts w:hint="eastAsia" w:ascii="仿宋_GB2312" w:hAnsi="仿宋_GB2312" w:eastAsia="仿宋_GB2312" w:cs="仿宋_GB2312"/>
          <w:szCs w:val="32"/>
        </w:rPr>
        <w:t>在基层的广泛应用，提升气象为农服务支撑保障能力。加强粮食产后服务，构建安全高效、一体化运作的粮食物流网络。完善农业保险政策体系，设计多层次、可选择、不同保障水平的保险产品。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tcPr>
          <w:p>
            <w:pPr>
              <w:pStyle w:val="15"/>
              <w:ind w:firstLine="0" w:firstLineChars="0"/>
              <w:jc w:val="center"/>
              <w:rPr>
                <w:rFonts w:cs="黑体"/>
              </w:rPr>
            </w:pPr>
            <w:r>
              <w:rPr>
                <w:rFonts w:hint="eastAsia" w:cs="黑体"/>
                <w:b/>
                <w:bCs/>
              </w:rPr>
              <w:t>专栏</w:t>
            </w:r>
            <w:r>
              <w:rPr>
                <w:rFonts w:cs="黑体"/>
                <w:b/>
                <w:bCs/>
              </w:rPr>
              <w:t xml:space="preserve">14  </w:t>
            </w:r>
            <w:r>
              <w:rPr>
                <w:rFonts w:hint="eastAsia" w:cs="黑体"/>
                <w:b/>
                <w:bCs/>
              </w:rPr>
              <w:t>提升农业综合生产能力重点工程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tcPr>
          <w:p>
            <w:pPr>
              <w:ind w:firstLine="31680"/>
              <w:rPr>
                <w:rFonts w:ascii="宋体" w:hAnsi="宋体" w:eastAsia="宋体" w:cs="黑体"/>
                <w:sz w:val="24"/>
              </w:rPr>
            </w:pPr>
            <w:r>
              <w:rPr>
                <w:rFonts w:hint="eastAsia" w:ascii="宋体" w:hAnsi="宋体" w:eastAsia="宋体" w:cs="黑体"/>
                <w:b/>
                <w:bCs/>
                <w:sz w:val="24"/>
              </w:rPr>
              <w:t>（一）农业基础设施建设工程。</w:t>
            </w:r>
            <w:r>
              <w:rPr>
                <w:rFonts w:hint="eastAsia" w:ascii="宋体" w:hAnsi="宋体" w:eastAsia="宋体" w:cs="黑体"/>
                <w:sz w:val="24"/>
              </w:rPr>
              <w:t>按照标准化设计、工程化施工、精细化管理要求，着力加强高标准农田基础设施建设，全面完成后期的高标准农田建设</w:t>
            </w:r>
            <w:r>
              <w:rPr>
                <w:rFonts w:ascii="宋体" w:hAnsi="宋体" w:eastAsia="宋体" w:cs="黑体"/>
                <w:sz w:val="24"/>
              </w:rPr>
              <w:t>12.4</w:t>
            </w:r>
            <w:r>
              <w:rPr>
                <w:rFonts w:hint="eastAsia" w:ascii="宋体" w:hAnsi="宋体" w:eastAsia="宋体" w:cs="黑体"/>
                <w:sz w:val="24"/>
              </w:rPr>
              <w:t>万亩，实现“田成方、渠相通、路相连、旱能灌、涝能排”的高标准农田，提高设施农业比例，提升农业生产物质装备，改善农业生产基础条件，打造永修现代农业发展载体。</w:t>
            </w:r>
          </w:p>
          <w:p>
            <w:pPr>
              <w:ind w:firstLine="31680"/>
              <w:rPr>
                <w:rFonts w:ascii="宋体" w:hAnsi="宋体" w:eastAsia="宋体" w:cs="黑体"/>
                <w:sz w:val="24"/>
              </w:rPr>
            </w:pPr>
            <w:r>
              <w:rPr>
                <w:rFonts w:hint="eastAsia" w:ascii="宋体" w:hAnsi="宋体" w:eastAsia="宋体" w:cs="黑体"/>
                <w:b/>
                <w:bCs/>
                <w:sz w:val="24"/>
              </w:rPr>
              <w:t>（二）耕地重金属污染修复工程。</w:t>
            </w:r>
            <w:r>
              <w:rPr>
                <w:rFonts w:hint="eastAsia" w:ascii="宋体" w:hAnsi="宋体" w:eastAsia="宋体" w:cs="黑体"/>
                <w:sz w:val="24"/>
              </w:rPr>
              <w:t>开展农用地土壤污染状况详查，着力解决土壤酸化问题，继续开展重金属污染耕地修复及种植结构调整试点。加强土壤监测，对污染土壤实施客土置换、生物修复，争取改善土地使用性质。</w:t>
            </w:r>
          </w:p>
          <w:p>
            <w:pPr>
              <w:ind w:firstLine="31680"/>
              <w:rPr>
                <w:rFonts w:ascii="宋体" w:hAnsi="宋体" w:eastAsia="宋体" w:cs="黑体"/>
                <w:sz w:val="24"/>
              </w:rPr>
            </w:pPr>
            <w:r>
              <w:rPr>
                <w:rFonts w:hint="eastAsia" w:ascii="宋体" w:hAnsi="宋体" w:eastAsia="宋体" w:cs="黑体"/>
                <w:b/>
                <w:bCs/>
                <w:sz w:val="24"/>
              </w:rPr>
              <w:t>（三）现代农田灌排建设工程。</w:t>
            </w:r>
            <w:r>
              <w:rPr>
                <w:rFonts w:hint="eastAsia" w:ascii="宋体" w:hAnsi="宋体" w:eastAsia="宋体" w:cs="黑体"/>
                <w:sz w:val="24"/>
              </w:rPr>
              <w:t>加快农田水利建设步伐，因地制宜兴建、提升中小型农田水利设施，完善大中型灌区续建配套与节水改造建设，推进小型病险水库除险加固建设，实施山塘整治工程建设，全面完善农田排灌体系，打通农田水利“最后一公里”。</w:t>
            </w:r>
          </w:p>
          <w:p>
            <w:pPr>
              <w:ind w:firstLine="31680"/>
              <w:rPr>
                <w:rFonts w:ascii="宋体" w:hAnsi="宋体" w:eastAsia="宋体" w:cs="黑体"/>
                <w:sz w:val="24"/>
              </w:rPr>
            </w:pPr>
            <w:r>
              <w:rPr>
                <w:rFonts w:hint="eastAsia" w:ascii="宋体" w:hAnsi="宋体" w:eastAsia="宋体" w:cs="黑体"/>
                <w:b/>
                <w:bCs/>
                <w:sz w:val="24"/>
              </w:rPr>
              <w:t>（四）农业装备和信息化水平提升工程。</w:t>
            </w:r>
            <w:r>
              <w:rPr>
                <w:rFonts w:hint="eastAsia" w:ascii="宋体" w:hAnsi="宋体" w:eastAsia="宋体" w:cs="黑体"/>
                <w:sz w:val="24"/>
              </w:rPr>
              <w:t>推进农机装备和农业机械化转型升级，加快高端农机装备和果蔬茶生产、畜禽水产养殖等农机装备的生产研发、推广应用。加强农业物联网、智能装备的推广应用，在现代农业示范区率先建设农业物联网示范基地。</w:t>
            </w:r>
          </w:p>
          <w:p>
            <w:pPr>
              <w:ind w:firstLine="31680"/>
              <w:rPr>
                <w:rFonts w:ascii="宋体" w:hAnsi="宋体" w:eastAsia="宋体" w:cs="黑体"/>
                <w:sz w:val="24"/>
              </w:rPr>
            </w:pPr>
            <w:r>
              <w:rPr>
                <w:rFonts w:hint="eastAsia" w:ascii="宋体" w:hAnsi="宋体" w:eastAsia="宋体" w:cs="黑体"/>
                <w:b/>
                <w:bCs/>
                <w:sz w:val="24"/>
              </w:rPr>
              <w:t>（五）现代种业提升工程。</w:t>
            </w:r>
            <w:r>
              <w:rPr>
                <w:rFonts w:hint="eastAsia" w:ascii="宋体" w:hAnsi="宋体" w:eastAsia="宋体" w:cs="黑体"/>
                <w:sz w:val="24"/>
              </w:rPr>
              <w:t>加大优势特色产业农业良种研发能力和繁育推广能力，大力支持水稻、果蔬、水产等产业的良繁基地建设，加大在云山集团、燕坊镇、滩溪镇、艾城镇等乡</w:t>
            </w:r>
            <w:r>
              <w:rPr>
                <w:rFonts w:ascii="宋体" w:hAnsi="宋体" w:eastAsia="宋体" w:cs="黑体"/>
                <w:sz w:val="24"/>
              </w:rPr>
              <w:t>(</w:t>
            </w:r>
            <w:r>
              <w:rPr>
                <w:rFonts w:hint="eastAsia" w:ascii="宋体" w:hAnsi="宋体" w:eastAsia="宋体" w:cs="黑体"/>
                <w:sz w:val="24"/>
              </w:rPr>
              <w:t>镇</w:t>
            </w:r>
            <w:r>
              <w:rPr>
                <w:rFonts w:ascii="宋体" w:hAnsi="宋体" w:eastAsia="宋体" w:cs="黑体"/>
                <w:sz w:val="24"/>
              </w:rPr>
              <w:t>)</w:t>
            </w:r>
            <w:r>
              <w:rPr>
                <w:rFonts w:hint="eastAsia" w:ascii="宋体" w:hAnsi="宋体" w:eastAsia="宋体" w:cs="黑体"/>
                <w:sz w:val="24"/>
              </w:rPr>
              <w:t>开展新品种展示，全面提高全县现代良种覆盖率。</w:t>
            </w:r>
          </w:p>
          <w:p>
            <w:pPr>
              <w:pStyle w:val="15"/>
              <w:ind w:firstLine="31680"/>
              <w:rPr>
                <w:rFonts w:cs="黑体"/>
              </w:rPr>
            </w:pPr>
            <w:r>
              <w:rPr>
                <w:rFonts w:hint="eastAsia" w:cs="黑体"/>
                <w:b/>
                <w:bCs/>
              </w:rPr>
              <w:t>（六）气象为农服务能力提升工程。</w:t>
            </w:r>
            <w:r>
              <w:rPr>
                <w:rFonts w:hint="eastAsia" w:cs="黑体"/>
              </w:rPr>
              <w:t>高质量完成“乡村振兴气象保障工程”</w:t>
            </w:r>
            <w:r>
              <w:rPr>
                <w:rFonts w:cs="黑体"/>
              </w:rPr>
              <w:t>,</w:t>
            </w:r>
            <w:r>
              <w:rPr>
                <w:rFonts w:hint="eastAsia" w:cs="黑体"/>
              </w:rPr>
              <w:t>利用农业气象试验站平台，监督好永修天气气象，制作发布农业气象服务旬报、月报、春耕春播专报、夏收夏种专报及秋收秋种专报等常规农业气象服务产品，提升气象为农服务能力。</w:t>
            </w:r>
          </w:p>
        </w:tc>
      </w:tr>
      <w:bookmarkEnd w:id="57"/>
    </w:tbl>
    <w:p>
      <w:pPr>
        <w:ind w:firstLine="31680"/>
        <w:rPr>
          <w:rFonts w:ascii="仿宋_GB2312" w:hAnsi="仿宋_GB2312" w:eastAsia="仿宋_GB2312" w:cs="仿宋_GB2312"/>
          <w:szCs w:val="32"/>
        </w:rPr>
      </w:pPr>
      <w:r>
        <w:rPr>
          <w:rFonts w:hint="eastAsia"/>
          <w:b/>
          <w:bCs/>
        </w:rPr>
        <w:t>延伸农村产业链，推动三产融合发展。</w:t>
      </w:r>
      <w:bookmarkStart w:id="66" w:name="_Toc29366"/>
      <w:bookmarkStart w:id="67" w:name="_Toc8894"/>
      <w:r>
        <w:rPr>
          <w:rFonts w:hint="eastAsia" w:ascii="仿宋_GB2312" w:hAnsi="仿宋_GB2312" w:eastAsia="仿宋_GB2312" w:cs="仿宋_GB2312"/>
          <w:szCs w:val="32"/>
        </w:rPr>
        <w:t>以“延伸产业链，打造供应链，提升价值链，共享利益链”为核心，引进一批实力雄厚、技术一流、竞争力强、影响力大的农业生产、精深加工、物流销售、休闲农业与乡村旅游企业，促进一二三产业融合发展。提升永修香米、永修蜜桔、艾城艾草等绿色食品产业链系列产品的精深加工水平，加快推进农村电子商务建设，完善农产品物流配送体系，促进休闲农业与现代服务业深度融合</w:t>
      </w:r>
      <w:bookmarkEnd w:id="66"/>
      <w:bookmarkEnd w:id="67"/>
      <w:r>
        <w:rPr>
          <w:rFonts w:hint="eastAsia" w:ascii="仿宋_GB2312" w:hAnsi="仿宋_GB2312" w:eastAsia="仿宋_GB2312" w:cs="仿宋_GB2312"/>
          <w:szCs w:val="32"/>
        </w:rPr>
        <w:t>，大引擎大驱动多组团构建全域乡村旅游网络。以打造“中国最休闲周末度假地”为市场定位，“青山绿水，永修醉美”的形象定位，构建以“鹤湖中药生态度假引擎、农禅访古文化休闲引擎、候鸟休闲度假驱动、农禅文化康养驱动、样式雷文化休闲驱动、城郊农业体验驱动”为主的“双引擎、四驱动”全域乡村旅游网络体系。</w:t>
      </w:r>
      <w:bookmarkStart w:id="68" w:name="_Toc27885"/>
      <w:bookmarkStart w:id="69" w:name="_Toc26451"/>
    </w:p>
    <w:bookmarkEnd w:id="68"/>
    <w:bookmarkEnd w:id="69"/>
    <w:p>
      <w:pPr>
        <w:pStyle w:val="4"/>
        <w:spacing w:before="156" w:after="156"/>
      </w:pPr>
      <w:bookmarkStart w:id="70" w:name="_Toc19090"/>
      <w:r>
        <w:rPr>
          <w:rFonts w:hint="eastAsia"/>
        </w:rPr>
        <w:t>第二节</w:t>
      </w:r>
      <w:r>
        <w:t xml:space="preserve"> </w:t>
      </w:r>
      <w:r>
        <w:rPr>
          <w:rFonts w:hint="eastAsia"/>
        </w:rPr>
        <w:t>积极改善农村人居环境</w:t>
      </w:r>
      <w:bookmarkEnd w:id="70"/>
    </w:p>
    <w:p>
      <w:pPr>
        <w:ind w:firstLine="31680"/>
        <w:rPr>
          <w:rFonts w:ascii="仿宋_GB2312" w:hAnsi="仿宋_GB2312" w:eastAsia="仿宋_GB2312" w:cs="仿宋_GB2312"/>
          <w:szCs w:val="32"/>
          <w:lang w:val="zh-CN"/>
        </w:rPr>
      </w:pPr>
      <w:r>
        <w:rPr>
          <w:rFonts w:hint="eastAsia"/>
          <w:b/>
          <w:bCs/>
          <w:lang w:val="zh-CN"/>
        </w:rPr>
        <w:t>全</w:t>
      </w:r>
      <w:r>
        <w:rPr>
          <w:rFonts w:hint="eastAsia"/>
          <w:b/>
          <w:bCs/>
        </w:rPr>
        <w:t>面提升村容村貌。</w:t>
      </w:r>
      <w:r>
        <w:rPr>
          <w:rFonts w:hint="eastAsia" w:ascii="仿宋_GB2312" w:hAnsi="仿宋_GB2312" w:eastAsia="仿宋_GB2312" w:cs="仿宋_GB2312"/>
        </w:rPr>
        <w:t>围绕“拆、改、建、清、管”五大重点，持续开展全县新农村建设扫尾和提升工程。一般自然村全面开展“七改三网”建设，努力补齐影响农民群众生活品质的短板；中心村在高标准实施“七改三网”建设基础上，因地制宜、科学配置“</w:t>
      </w:r>
      <w:r>
        <w:rPr>
          <w:rFonts w:ascii="仿宋_GB2312" w:hAnsi="仿宋_GB2312" w:eastAsia="仿宋_GB2312" w:cs="仿宋_GB2312"/>
        </w:rPr>
        <w:t>8+4</w:t>
      </w:r>
      <w:r>
        <w:rPr>
          <w:rFonts w:hint="eastAsia" w:ascii="仿宋_GB2312" w:hAnsi="仿宋_GB2312" w:eastAsia="仿宋_GB2312" w:cs="仿宋_GB2312"/>
        </w:rPr>
        <w:t>”综合服务设施，持续实施城乡供水、交通、教育、文化、卫生一体化，促进基本公共服务向农村延伸。结合开展“三个一”示范创建，全面推进美丽宜居示范乡（村）创建，实现</w:t>
      </w:r>
      <w:r>
        <w:rPr>
          <w:rFonts w:ascii="仿宋_GB2312" w:hAnsi="仿宋_GB2312" w:eastAsia="仿宋_GB2312" w:cs="仿宋_GB2312"/>
        </w:rPr>
        <w:t>200</w:t>
      </w:r>
      <w:r>
        <w:rPr>
          <w:rFonts w:hint="eastAsia" w:ascii="仿宋_GB2312" w:hAnsi="仿宋_GB2312" w:eastAsia="仿宋_GB2312" w:cs="仿宋_GB2312"/>
        </w:rPr>
        <w:t>个新农村高标准提升建设，创建</w:t>
      </w:r>
      <w:r>
        <w:rPr>
          <w:rFonts w:ascii="仿宋_GB2312" w:hAnsi="仿宋_GB2312" w:eastAsia="仿宋_GB2312" w:cs="仿宋_GB2312"/>
        </w:rPr>
        <w:t>3000</w:t>
      </w:r>
      <w:r>
        <w:rPr>
          <w:rFonts w:hint="eastAsia" w:ascii="仿宋_GB2312" w:hAnsi="仿宋_GB2312" w:eastAsia="仿宋_GB2312" w:cs="仿宋_GB2312"/>
        </w:rPr>
        <w:t>户美丽示范农户庭院、</w:t>
      </w:r>
      <w:r>
        <w:rPr>
          <w:rFonts w:ascii="仿宋_GB2312" w:hAnsi="仿宋_GB2312" w:eastAsia="仿宋_GB2312" w:cs="仿宋_GB2312"/>
        </w:rPr>
        <w:t>90</w:t>
      </w:r>
      <w:r>
        <w:rPr>
          <w:rFonts w:hint="eastAsia" w:ascii="仿宋_GB2312" w:hAnsi="仿宋_GB2312" w:eastAsia="仿宋_GB2312" w:cs="仿宋_GB2312"/>
        </w:rPr>
        <w:t>个美丽宜居村庄、</w:t>
      </w:r>
      <w:r>
        <w:rPr>
          <w:rFonts w:ascii="仿宋_GB2312" w:hAnsi="仿宋_GB2312" w:eastAsia="仿宋_GB2312" w:cs="仿宋_GB2312"/>
        </w:rPr>
        <w:t>3</w:t>
      </w:r>
      <w:r>
        <w:rPr>
          <w:rFonts w:hint="eastAsia" w:ascii="仿宋_GB2312" w:hAnsi="仿宋_GB2312" w:eastAsia="仿宋_GB2312" w:cs="仿宋_GB2312"/>
        </w:rPr>
        <w:t>个美丽示范乡镇，巩固提升</w:t>
      </w:r>
      <w:r>
        <w:rPr>
          <w:rFonts w:ascii="仿宋_GB2312" w:hAnsi="仿宋_GB2312" w:eastAsia="仿宋_GB2312" w:cs="仿宋_GB2312"/>
        </w:rPr>
        <w:t>316</w:t>
      </w:r>
      <w:r>
        <w:rPr>
          <w:rFonts w:hint="eastAsia" w:ascii="仿宋_GB2312" w:hAnsi="仿宋_GB2312" w:eastAsia="仿宋_GB2312" w:cs="仿宋_GB2312"/>
        </w:rPr>
        <w:t>国道、</w:t>
      </w:r>
      <w:r>
        <w:rPr>
          <w:rFonts w:ascii="仿宋_GB2312" w:hAnsi="仿宋_GB2312" w:eastAsia="仿宋_GB2312" w:cs="仿宋_GB2312"/>
        </w:rPr>
        <w:t>105</w:t>
      </w:r>
      <w:r>
        <w:rPr>
          <w:rFonts w:hint="eastAsia" w:ascii="仿宋_GB2312" w:hAnsi="仿宋_GB2312" w:eastAsia="仿宋_GB2312" w:cs="仿宋_GB2312"/>
        </w:rPr>
        <w:t>国道、昌九高速、永武高速、昌九大道五条示范风景线成果。</w:t>
      </w:r>
    </w:p>
    <w:p>
      <w:pPr>
        <w:ind w:firstLine="31680"/>
        <w:rPr>
          <w:rFonts w:ascii="仿宋_GB2312" w:hAnsi="仿宋_GB2312" w:eastAsia="仿宋_GB2312" w:cs="仿宋_GB2312"/>
          <w:szCs w:val="32"/>
        </w:rPr>
      </w:pPr>
      <w:r>
        <w:rPr>
          <w:rFonts w:hint="eastAsia"/>
          <w:b/>
          <w:bCs/>
        </w:rPr>
        <w:t>积极探索村庄环境长效管护。</w:t>
      </w:r>
      <w:r>
        <w:rPr>
          <w:rFonts w:hint="eastAsia" w:ascii="仿宋_GB2312" w:hAnsi="仿宋_GB2312" w:eastAsia="仿宋_GB2312" w:cs="仿宋_GB2312"/>
        </w:rPr>
        <w:t>坚持因村制宜、分类推进，按照“五有”和“五定包干”要求，切实抓好村庄卫生保洁、沟塘清淤、杂草清除、绿化养护，以及村内道路养护、公厕管理、路灯及视频监控系统维护、体育休闲设施维护、生活污水处理设施维护等工作，健全农村人居环境管护体制，大力开展村庄清洁行动，构建农村生活垃圾、生活污水等治理体系，实施水源保护工作，推进厕所粪污治理项目。积极开展乡村森林建设，保障森林覆盖面。</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0" w:firstLineChars="0"/>
              <w:jc w:val="center"/>
              <w:rPr>
                <w:rFonts w:cs="黑体"/>
              </w:rPr>
            </w:pPr>
            <w:r>
              <w:rPr>
                <w:rFonts w:hint="eastAsia" w:cs="黑体"/>
                <w:b/>
                <w:bCs/>
              </w:rPr>
              <w:t>专栏</w:t>
            </w:r>
            <w:r>
              <w:rPr>
                <w:rFonts w:cs="黑体"/>
                <w:b/>
                <w:bCs/>
              </w:rPr>
              <w:t xml:space="preserve">15  </w:t>
            </w:r>
            <w:r>
              <w:rPr>
                <w:rFonts w:hint="eastAsia" w:cs="黑体"/>
                <w:b/>
                <w:bCs/>
              </w:rPr>
              <w:t>乡村人居环境改善重点行动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31680"/>
              <w:rPr>
                <w:rFonts w:cs="黑体"/>
                <w:b/>
                <w:bCs/>
              </w:rPr>
            </w:pPr>
            <w:r>
              <w:rPr>
                <w:rFonts w:hint="eastAsia" w:cs="黑体"/>
                <w:b/>
                <w:bCs/>
              </w:rPr>
              <w:t>（一）深入推进农村生活垃圾治理行动</w:t>
            </w:r>
          </w:p>
          <w:p>
            <w:pPr>
              <w:pStyle w:val="15"/>
              <w:ind w:firstLine="31680"/>
              <w:rPr>
                <w:rFonts w:cs="黑体"/>
              </w:rPr>
            </w:pPr>
            <w:r>
              <w:rPr>
                <w:rFonts w:hint="eastAsia" w:cs="黑体"/>
              </w:rPr>
              <w:t>持续开展“村庄清洁行动”，建立健全城乡环卫一体化运行机制，实施全县城乡环卫一体化</w:t>
            </w:r>
            <w:r>
              <w:rPr>
                <w:rFonts w:cs="黑体"/>
              </w:rPr>
              <w:t>PPP</w:t>
            </w:r>
            <w:r>
              <w:rPr>
                <w:rFonts w:hint="eastAsia" w:cs="黑体"/>
              </w:rPr>
              <w:t>项目，强化对市场化主体的绩效考核，确保城乡环卫一体化</w:t>
            </w:r>
            <w:r>
              <w:rPr>
                <w:rFonts w:cs="黑体"/>
              </w:rPr>
              <w:t>PPP</w:t>
            </w:r>
            <w:r>
              <w:rPr>
                <w:rFonts w:hint="eastAsia" w:cs="黑体"/>
              </w:rPr>
              <w:t>项目高质量运行，提升农村生活垃圾治理工作水平。到</w:t>
            </w:r>
            <w:r>
              <w:rPr>
                <w:rFonts w:cs="黑体"/>
              </w:rPr>
              <w:t>2025</w:t>
            </w:r>
            <w:r>
              <w:rPr>
                <w:rFonts w:hint="eastAsia" w:cs="黑体"/>
              </w:rPr>
              <w:t>年底，全县农村垃圾无害化处理率达到</w:t>
            </w:r>
            <w:r>
              <w:rPr>
                <w:rFonts w:cs="黑体"/>
              </w:rPr>
              <w:t>100%</w:t>
            </w:r>
            <w:r>
              <w:rPr>
                <w:rFonts w:hint="eastAsia" w:cs="黑体"/>
              </w:rPr>
              <w:t>，农村垃圾分类覆盖面达到</w:t>
            </w:r>
            <w:r>
              <w:rPr>
                <w:rFonts w:cs="黑体"/>
              </w:rPr>
              <w:t>50%</w:t>
            </w:r>
            <w:r>
              <w:rPr>
                <w:rFonts w:hint="eastAsia" w:cs="黑体"/>
              </w:rPr>
              <w:t>以上。</w:t>
            </w:r>
          </w:p>
          <w:p>
            <w:pPr>
              <w:pStyle w:val="15"/>
              <w:ind w:firstLine="31680"/>
              <w:rPr>
                <w:rFonts w:cs="黑体"/>
                <w:b/>
                <w:bCs/>
              </w:rPr>
            </w:pPr>
            <w:r>
              <w:rPr>
                <w:rFonts w:hint="eastAsia" w:cs="黑体"/>
                <w:b/>
                <w:bCs/>
              </w:rPr>
              <w:t>（二）梯次开展农村生活污水治理行动</w:t>
            </w:r>
          </w:p>
          <w:p>
            <w:pPr>
              <w:pStyle w:val="15"/>
              <w:ind w:firstLine="31680"/>
              <w:rPr>
                <w:rFonts w:cs="黑体"/>
                <w:highlight w:val="yellow"/>
              </w:rPr>
            </w:pPr>
            <w:r>
              <w:rPr>
                <w:rFonts w:hint="eastAsia" w:cs="黑体"/>
              </w:rPr>
              <w:t>优先选择一批饮用水水源保护地、水环境敏感区、重点旅游景区和农家乐集中区开展农村生活污水治理试点，并逐步推广。到</w:t>
            </w:r>
            <w:r>
              <w:rPr>
                <w:rFonts w:cs="黑体"/>
              </w:rPr>
              <w:t>2025</w:t>
            </w:r>
            <w:r>
              <w:rPr>
                <w:rFonts w:hint="eastAsia" w:cs="黑体"/>
              </w:rPr>
              <w:t>年底，农村污水集中处理率达</w:t>
            </w:r>
            <w:r>
              <w:rPr>
                <w:rFonts w:cs="黑体"/>
              </w:rPr>
              <w:t>70%</w:t>
            </w:r>
            <w:r>
              <w:rPr>
                <w:rFonts w:hint="eastAsia" w:cs="黑体"/>
              </w:rPr>
              <w:t>以上。</w:t>
            </w:r>
          </w:p>
          <w:p>
            <w:pPr>
              <w:pStyle w:val="15"/>
              <w:ind w:firstLine="31680"/>
              <w:rPr>
                <w:rFonts w:cs="黑体"/>
                <w:b/>
                <w:bCs/>
                <w:lang w:val="zh-CN"/>
              </w:rPr>
            </w:pPr>
            <w:r>
              <w:rPr>
                <w:rFonts w:hint="eastAsia" w:cs="黑体"/>
                <w:b/>
                <w:bCs/>
              </w:rPr>
              <w:t>（三）大力</w:t>
            </w:r>
            <w:r>
              <w:rPr>
                <w:rFonts w:hint="eastAsia" w:cs="黑体"/>
                <w:b/>
                <w:bCs/>
                <w:lang w:val="zh-CN"/>
              </w:rPr>
              <w:t>推进农村“厕所革命”</w:t>
            </w:r>
            <w:r>
              <w:rPr>
                <w:rFonts w:hint="eastAsia" w:cs="黑体"/>
                <w:b/>
                <w:bCs/>
              </w:rPr>
              <w:t>行动</w:t>
            </w:r>
          </w:p>
          <w:p>
            <w:pPr>
              <w:pStyle w:val="15"/>
              <w:ind w:firstLine="31680"/>
              <w:rPr>
                <w:rFonts w:cs="黑体"/>
              </w:rPr>
            </w:pPr>
            <w:r>
              <w:rPr>
                <w:rFonts w:hint="eastAsia" w:cs="黑体"/>
              </w:rPr>
              <w:t>大力开展农村户厕改造，按照乡（镇、场、企业集团）政府所在地和集中居住</w:t>
            </w:r>
            <w:r>
              <w:rPr>
                <w:rFonts w:cs="黑体"/>
              </w:rPr>
              <w:t>1000</w:t>
            </w:r>
            <w:r>
              <w:rPr>
                <w:rFonts w:hint="eastAsia" w:cs="黑体"/>
              </w:rPr>
              <w:t>人以上村庄应有一座公厕要求，科学布局建设乡村公共厕所，到</w:t>
            </w:r>
            <w:r>
              <w:rPr>
                <w:rFonts w:cs="黑体"/>
              </w:rPr>
              <w:t>2025</w:t>
            </w:r>
            <w:r>
              <w:rPr>
                <w:rFonts w:hint="eastAsia" w:cs="黑体"/>
              </w:rPr>
              <w:t>年，全面完成标准化乡村公厕新改建，粪污集中处理率达</w:t>
            </w:r>
            <w:r>
              <w:rPr>
                <w:rFonts w:cs="黑体"/>
              </w:rPr>
              <w:t>100%</w:t>
            </w:r>
            <w:r>
              <w:rPr>
                <w:rFonts w:hint="eastAsia" w:cs="黑体"/>
              </w:rPr>
              <w:t>，农村无害化卫生厕所普及老率达</w:t>
            </w:r>
            <w:r>
              <w:rPr>
                <w:rFonts w:cs="黑体"/>
              </w:rPr>
              <w:t>100%</w:t>
            </w:r>
            <w:r>
              <w:rPr>
                <w:rFonts w:hint="eastAsia" w:cs="黑体"/>
              </w:rPr>
              <w:t>。</w:t>
            </w:r>
          </w:p>
          <w:p>
            <w:pPr>
              <w:pStyle w:val="15"/>
              <w:ind w:firstLine="31680"/>
              <w:rPr>
                <w:rFonts w:cs="黑体"/>
                <w:b/>
                <w:bCs/>
              </w:rPr>
            </w:pPr>
            <w:r>
              <w:rPr>
                <w:rFonts w:hint="eastAsia" w:cs="黑体"/>
                <w:b/>
                <w:bCs/>
              </w:rPr>
              <w:t>（四）保障农村饮水安全行动</w:t>
            </w:r>
          </w:p>
          <w:p>
            <w:pPr>
              <w:pStyle w:val="15"/>
              <w:ind w:firstLine="31680"/>
              <w:rPr>
                <w:rFonts w:cs="黑体"/>
              </w:rPr>
            </w:pPr>
            <w:r>
              <w:rPr>
                <w:rFonts w:hint="eastAsia" w:cs="黑体"/>
              </w:rPr>
              <w:t>逐步建立“从源头到龙头”的城乡供水一体化建设和运行管护体系，落实九江市永修县大屋水库建设项目建设，建立健全县级农村供水管理服务机构、农村供水专业化服务体系、合理的水价及收费机制、工程运行管护经费保障机制和水质检测监测体系、水厂信息化管理。</w:t>
            </w:r>
          </w:p>
          <w:p>
            <w:pPr>
              <w:pStyle w:val="15"/>
              <w:ind w:firstLine="31680"/>
              <w:rPr>
                <w:rFonts w:cs="黑体"/>
                <w:b/>
                <w:bCs/>
              </w:rPr>
            </w:pPr>
            <w:r>
              <w:rPr>
                <w:rFonts w:hint="eastAsia" w:cs="黑体"/>
                <w:b/>
                <w:bCs/>
              </w:rPr>
              <w:t>（五）加强“四好农村路”建设行动</w:t>
            </w:r>
          </w:p>
          <w:p>
            <w:pPr>
              <w:pStyle w:val="15"/>
              <w:ind w:firstLine="31680"/>
              <w:rPr>
                <w:rFonts w:cs="黑体"/>
              </w:rPr>
            </w:pPr>
            <w:r>
              <w:rPr>
                <w:rFonts w:hint="eastAsia" w:cs="黑体"/>
              </w:rPr>
              <w:t>围绕“四好农村路”总体目标，以开展</w:t>
            </w:r>
            <w:r>
              <w:rPr>
                <w:rFonts w:hint="eastAsia" w:cs="黑体"/>
                <w:lang w:val="zh-CN"/>
              </w:rPr>
              <w:t>“四好农村路”示范县创建</w:t>
            </w:r>
            <w:r>
              <w:rPr>
                <w:rFonts w:hint="eastAsia" w:cs="黑体"/>
              </w:rPr>
              <w:t>为抓手</w:t>
            </w:r>
            <w:r>
              <w:rPr>
                <w:rFonts w:hint="eastAsia" w:cs="黑体"/>
                <w:lang w:val="zh-CN"/>
              </w:rPr>
              <w:t>，</w:t>
            </w:r>
            <w:r>
              <w:rPr>
                <w:rFonts w:hint="eastAsia" w:cs="黑体"/>
              </w:rPr>
              <w:t>加快</w:t>
            </w:r>
            <w:r>
              <w:rPr>
                <w:rFonts w:hint="eastAsia" w:cs="黑体"/>
                <w:lang w:val="zh-CN"/>
              </w:rPr>
              <w:t>改善农村公路技术状况，优化农村公路路网结构，深化农村公路养护管理体制改革</w:t>
            </w:r>
            <w:r>
              <w:rPr>
                <w:rFonts w:hint="eastAsia" w:cs="黑体"/>
              </w:rPr>
              <w:t>。</w:t>
            </w:r>
          </w:p>
        </w:tc>
      </w:tr>
    </w:tbl>
    <w:p>
      <w:pPr>
        <w:pStyle w:val="4"/>
        <w:spacing w:before="156" w:after="156"/>
      </w:pPr>
      <w:bookmarkStart w:id="71" w:name="_Toc10374"/>
      <w:r>
        <w:rPr>
          <w:rFonts w:hint="eastAsia"/>
        </w:rPr>
        <w:t>第三节</w:t>
      </w:r>
      <w:r>
        <w:t xml:space="preserve"> </w:t>
      </w:r>
      <w:r>
        <w:rPr>
          <w:rFonts w:hint="eastAsia"/>
        </w:rPr>
        <w:t>着力培育时代新风</w:t>
      </w:r>
      <w:bookmarkEnd w:id="71"/>
    </w:p>
    <w:p>
      <w:pPr>
        <w:ind w:firstLine="31680"/>
        <w:rPr>
          <w:rFonts w:ascii="仿宋_GB2312" w:hAnsi="仿宋_GB2312" w:eastAsia="仿宋_GB2312" w:cs="仿宋_GB2312"/>
          <w:szCs w:val="32"/>
        </w:rPr>
      </w:pPr>
      <w:bookmarkStart w:id="72" w:name="_Toc30111"/>
      <w:bookmarkStart w:id="73" w:name="_Toc15372"/>
      <w:bookmarkStart w:id="74" w:name="_Toc22280"/>
      <w:r>
        <w:t xml:space="preserve"> </w:t>
      </w:r>
      <w:r>
        <w:rPr>
          <w:rFonts w:hint="eastAsia"/>
          <w:b/>
          <w:bCs/>
        </w:rPr>
        <w:t>加强农村思想道德建设</w:t>
      </w:r>
      <w:bookmarkEnd w:id="72"/>
      <w:bookmarkEnd w:id="73"/>
      <w:bookmarkEnd w:id="74"/>
      <w:r>
        <w:rPr>
          <w:rFonts w:hint="eastAsia"/>
          <w:b/>
          <w:bCs/>
        </w:rPr>
        <w:t>。</w:t>
      </w:r>
      <w:r>
        <w:rPr>
          <w:rFonts w:hint="eastAsia" w:ascii="仿宋_GB2312" w:hAnsi="仿宋_GB2312" w:eastAsia="仿宋_GB2312" w:cs="仿宋_GB2312"/>
          <w:szCs w:val="32"/>
        </w:rPr>
        <w:t>以德育教育为主线，道德讲堂为载体，持续深化社会公德、职业道德、家庭美德、个人品德建设，在党员干部、工人农民、知识分子、青少年学生等群体中，培养推出一批时代新人。建立完善志愿服务激励机制，打造“小城大爱</w:t>
      </w:r>
      <w:r>
        <w:rPr>
          <w:rFonts w:ascii="仿宋_GB2312" w:hAnsi="仿宋_GB2312" w:eastAsia="仿宋_GB2312" w:cs="仿宋_GB2312"/>
          <w:szCs w:val="32"/>
        </w:rPr>
        <w:t>•</w:t>
      </w:r>
      <w:r>
        <w:rPr>
          <w:rFonts w:hint="eastAsia" w:ascii="仿宋_GB2312" w:hAnsi="仿宋_GB2312" w:eastAsia="仿宋_GB2312" w:cs="仿宋_GB2312"/>
          <w:szCs w:val="32"/>
        </w:rPr>
        <w:t>德弘永修”品牌。发挥典型示范作用，建立健全先进模范发挥作用的长效机制。组织道德模范、“最美永修人”“新时代好少年”等先进典型人物评选表彰活动，建立健全道德模范和“身边好人”关爱帮扶机制。</w:t>
      </w:r>
      <w:bookmarkStart w:id="75" w:name="_Toc26011"/>
      <w:bookmarkStart w:id="76" w:name="_Toc1396"/>
      <w:bookmarkStart w:id="77" w:name="_Toc18647"/>
      <w:r>
        <w:rPr>
          <w:rFonts w:ascii="仿宋_GB2312" w:hAnsi="仿宋_GB2312" w:eastAsia="仿宋_GB2312" w:cs="仿宋_GB2312"/>
          <w:szCs w:val="32"/>
        </w:rPr>
        <w:t xml:space="preserve"> </w:t>
      </w:r>
      <w:r>
        <w:rPr>
          <w:rFonts w:hint="eastAsia" w:ascii="仿宋_GB2312" w:hAnsi="仿宋_GB2312" w:eastAsia="仿宋_GB2312" w:cs="仿宋_GB2312"/>
          <w:szCs w:val="32"/>
        </w:rPr>
        <w:t>结合村庄整治建设，广泛绘制移风易俗文化墙，形成乡村独特“文明风景线”。推动基层党组织、基层单位、农村社区有针对性地加强农村群众性思想政治工作。</w:t>
      </w:r>
    </w:p>
    <w:p>
      <w:pPr>
        <w:ind w:firstLine="31680"/>
        <w:rPr>
          <w:rFonts w:ascii="仿宋_GB2312" w:hAnsi="仿宋_GB2312" w:eastAsia="仿宋_GB2312" w:cs="仿宋_GB2312"/>
          <w:szCs w:val="32"/>
        </w:rPr>
      </w:pPr>
      <w:r>
        <w:rPr>
          <w:rFonts w:hint="eastAsia"/>
          <w:b/>
          <w:bCs/>
        </w:rPr>
        <w:t>促进乡村移风易俗</w:t>
      </w:r>
      <w:bookmarkEnd w:id="75"/>
      <w:bookmarkEnd w:id="76"/>
      <w:bookmarkEnd w:id="77"/>
      <w:r>
        <w:rPr>
          <w:rFonts w:hint="eastAsia"/>
          <w:b/>
          <w:bCs/>
        </w:rPr>
        <w:t>。</w:t>
      </w:r>
      <w:r>
        <w:rPr>
          <w:rFonts w:hint="eastAsia" w:ascii="仿宋_GB2312" w:hAnsi="仿宋_GB2312" w:eastAsia="仿宋_GB2312" w:cs="仿宋_GB2312"/>
          <w:szCs w:val="32"/>
        </w:rPr>
        <w:t>全面推进乡村文明建设，倡导烟花爆竹禁燃，大兴节俭办宴之风，对农村婚丧事大操大办、奢侈浪费等现象进行综合施策。深入开展绿色殡改，全面巩固“三沿六区”散埋乱葬整治成果，加大对散埋乱葬的专项整治，确保整治范围内无新增坟墓，完善农村公益性公墓建设。开展不良风气治理行动，严厉打击农村吸毒贩毒、聚众赌博、网络赌博、“地下六合彩”等违法犯罪行为，广泛开展崇尚科学、破除迷信集中教育整治活动，全面建立“风水先生”“神婆”人员名册，加快教育转化，加强对邪教的防范和治理，制止非法宗教活动。</w:t>
      </w:r>
    </w:p>
    <w:p>
      <w:pPr>
        <w:pStyle w:val="4"/>
        <w:spacing w:before="156" w:after="156"/>
      </w:pPr>
      <w:bookmarkStart w:id="78" w:name="_Toc17822"/>
      <w:r>
        <w:rPr>
          <w:rFonts w:hint="eastAsia"/>
        </w:rPr>
        <w:t>第四节</w:t>
      </w:r>
      <w:r>
        <w:t xml:space="preserve"> </w:t>
      </w:r>
      <w:r>
        <w:rPr>
          <w:rFonts w:hint="eastAsia"/>
        </w:rPr>
        <w:t>深化农业农村改革</w:t>
      </w:r>
      <w:bookmarkEnd w:id="78"/>
    </w:p>
    <w:p>
      <w:pPr>
        <w:pStyle w:val="15"/>
        <w:ind w:firstLine="31680"/>
        <w:rPr>
          <w:rFonts w:ascii="仿宋_GB2312" w:hAnsi="仿宋_GB2312" w:eastAsia="仿宋_GB2312" w:cs="仿宋_GB2312"/>
          <w:sz w:val="32"/>
          <w:szCs w:val="32"/>
        </w:rPr>
      </w:pPr>
      <w:r>
        <w:rPr>
          <w:rFonts w:hint="eastAsia" w:ascii="仿宋_GB2312" w:hAnsi="仿宋_GB2312" w:eastAsia="仿宋_GB2312" w:cs="仿宋_GB2312"/>
          <w:sz w:val="32"/>
          <w:szCs w:val="32"/>
        </w:rPr>
        <w:t>坚持家庭经营在农业中的基础性地位，加快培育农村合作社、家庭农场等新型农业经营主体，健全农业专业化社会化服务体系，发展多种形式适度规模经营。调整土地出让收益城乡分配格局，稳步提高土地出让收入用于农业农村比例。巩固和完善农村承包地确权成果，有序推进农村承包地“三权分置”。建立土地征收公共利益用地认定机制，缩小土地征收范围。探索宅基地所有权、资格权、使用权分置实现形式。积极发挥农村集体股份（经济）合作社市场主体作用，建立稳定可持续的村集体经济增收机制。健全农村金融服务体系，发展农业保险。</w:t>
      </w:r>
    </w:p>
    <w:p>
      <w:pPr>
        <w:pStyle w:val="4"/>
        <w:spacing w:before="156" w:after="156"/>
      </w:pPr>
      <w:bookmarkStart w:id="79" w:name="_Toc20528"/>
      <w:r>
        <w:rPr>
          <w:rFonts w:hint="eastAsia"/>
        </w:rPr>
        <w:t>第五节</w:t>
      </w:r>
      <w:r>
        <w:t xml:space="preserve"> </w:t>
      </w:r>
      <w:r>
        <w:rPr>
          <w:rFonts w:hint="eastAsia"/>
        </w:rPr>
        <w:t>扎实推进共同富裕</w:t>
      </w:r>
      <w:bookmarkEnd w:id="79"/>
    </w:p>
    <w:p>
      <w:pPr>
        <w:ind w:firstLine="31680"/>
        <w:rPr>
          <w:rFonts w:ascii="仿宋_GB2312" w:hAnsi="仿宋_GB2312" w:eastAsia="仿宋_GB2312" w:cs="仿宋_GB2312"/>
          <w:szCs w:val="32"/>
        </w:rPr>
      </w:pPr>
      <w:r>
        <w:rPr>
          <w:rFonts w:hint="eastAsia"/>
          <w:b/>
          <w:bCs/>
        </w:rPr>
        <w:t>巩固提升脱贫攻坚成果。</w:t>
      </w:r>
      <w:r>
        <w:rPr>
          <w:rFonts w:hint="eastAsia" w:ascii="仿宋_GB2312" w:hAnsi="仿宋_GB2312" w:eastAsia="仿宋_GB2312" w:cs="仿宋_GB2312"/>
          <w:szCs w:val="32"/>
        </w:rPr>
        <w:t>聚焦“两不愁三保障”脱贫标准，坚持问题导向，以整改为抓手，全面排查、精准解决农村贫困人口在义务教育、基本医疗、住房安全与饮水安全“四项保障”方面存在的突出问题，全面落实脱贫攻坚成果。聚焦“高质量可持续”脱贫成果，严格落实攻坚力度、帮扶力量、投入保障、政策举措“四个不减”工作要求，健全脱贫成果回查监测、脱贫人口增收发展、防止致贫返贫保险保障、扶贫项目运维管护、志智双扶激励约束“五大机制”，强化脱贫攻坚责任、组织、政策、帮扶、基层、作风“六项保障”。因地制宜发展特色优势产业，加强利益联结，培育带贫人才，开展消费扶贫等重点工作，提升产业扶贫带贫益贫实效。强化就业扶贫，开展就业技能培训，多措并举提升稳岗就业增收能力，确保户户有持续增收渠道。健全防贫长效机制。构建已脱贫户、非贫困户分级预警机制，边缘户、监测户帮扶机制，完善贫困人口与非贫困人口健康医疗保障机制。</w:t>
      </w:r>
    </w:p>
    <w:p>
      <w:pPr>
        <w:ind w:firstLine="31680"/>
        <w:rPr>
          <w:rFonts w:ascii="仿宋_GB2312" w:hAnsi="仿宋_GB2312" w:eastAsia="仿宋_GB2312" w:cs="仿宋_GB2312"/>
          <w:szCs w:val="32"/>
        </w:rPr>
      </w:pPr>
      <w:r>
        <w:rPr>
          <w:rFonts w:hint="eastAsia"/>
          <w:b/>
          <w:bCs/>
        </w:rPr>
        <w:t>拓宽农民就业增收渠道。</w:t>
      </w:r>
      <w:r>
        <w:rPr>
          <w:rFonts w:hint="eastAsia" w:ascii="仿宋_GB2312" w:hAnsi="仿宋_GB2312" w:eastAsia="仿宋_GB2312" w:cs="仿宋_GB2312"/>
          <w:szCs w:val="32"/>
        </w:rPr>
        <w:t>实施新型农民培养工程和农村劳动力职业技能培训提升计划，促进农村劳动力多渠道转移就业。发展壮大县域经济，加快培育区域特色产业，拓宽农民就业空间。结合推进新型城镇化，积极承接产业梯度转移，大力发展吸纳就业能力强的产业和企业，促进农村富余劳动力转移就业。实施乡村就业促进行动，大力发展乡村特色产业，推进乡村经济多元化，结合农村基础设施等工程建设，鼓励采取以工代赈方式就近吸纳农村劳动力务工。加强地域间的对口劳务协作，提高劳动力劳务对接和输出的组织化程度，促进农村劳动力外出转移就业。完善和落实创新创业政策，鼓励乡村创新创业。依托现有的现代农业示范园区、农业企业、农民合作社、农业规模种养基地等各类平台，建成县域创业示范园，为返乡创新创业提供高效便捷的服务。积极发展农村电商等各类新产业新模式，引导新生代农民工到“互联网</w:t>
      </w:r>
      <w:r>
        <w:rPr>
          <w:rFonts w:ascii="仿宋_GB2312" w:hAnsi="仿宋_GB2312" w:eastAsia="仿宋_GB2312" w:cs="仿宋_GB2312"/>
          <w:szCs w:val="32"/>
        </w:rPr>
        <w:t>+</w:t>
      </w:r>
      <w:r>
        <w:rPr>
          <w:rFonts w:hint="eastAsia" w:ascii="仿宋_GB2312" w:hAnsi="仿宋_GB2312" w:eastAsia="仿宋_GB2312" w:cs="仿宋_GB2312"/>
          <w:szCs w:val="32"/>
        </w:rPr>
        <w:t>”为代表的新产业、新业态就业创业。完善扶持村级集体经济发展的政策体系，逐步壮大农村村级集体经济。鼓励村集体通过集体自办、能人领办、入股联营等方式，兴办现代农业开发、农产品流通经营服务、农业科技服务等经济实体，使资源变资产，资金变股金，农民变股东。探索强村带弱村、村企联手共建、政府定点帮扶、扶贫开发等多种形式，通过多元化经营实现集体经济与农民“双增收”。</w:t>
      </w:r>
      <w:bookmarkStart w:id="80" w:name="_Toc11038"/>
      <w:bookmarkStart w:id="81" w:name="_Toc2805"/>
      <w:bookmarkStart w:id="82" w:name="_Toc12842"/>
      <w:bookmarkStart w:id="83" w:name="_Toc17004"/>
      <w:bookmarkStart w:id="84" w:name="_Toc27357"/>
      <w:bookmarkStart w:id="85" w:name="_Toc27089"/>
    </w:p>
    <w:bookmarkEnd w:id="80"/>
    <w:bookmarkEnd w:id="81"/>
    <w:bookmarkEnd w:id="82"/>
    <w:bookmarkEnd w:id="83"/>
    <w:bookmarkEnd w:id="84"/>
    <w:bookmarkEnd w:id="85"/>
    <w:p>
      <w:pPr>
        <w:ind w:firstLine="31680"/>
      </w:pPr>
      <w:r>
        <w:br w:type="page"/>
      </w:r>
    </w:p>
    <w:p>
      <w:pPr>
        <w:pStyle w:val="3"/>
        <w:spacing w:before="156" w:after="156"/>
      </w:pPr>
      <w:bookmarkStart w:id="86" w:name="_Toc5398"/>
      <w:bookmarkStart w:id="87" w:name="_Toc14042"/>
      <w:r>
        <w:rPr>
          <w:rFonts w:hint="eastAsia"/>
        </w:rPr>
        <w:t>第八章</w:t>
      </w:r>
      <w:r>
        <w:t xml:space="preserve"> </w:t>
      </w:r>
      <w:r>
        <w:rPr>
          <w:rFonts w:hint="eastAsia"/>
        </w:rPr>
        <w:t>加快推进基础设施建设，全力塑造县域发展新优势</w:t>
      </w:r>
      <w:bookmarkEnd w:id="86"/>
      <w:bookmarkEnd w:id="87"/>
    </w:p>
    <w:p>
      <w:pPr>
        <w:ind w:firstLine="31680"/>
        <w:rPr>
          <w:rFonts w:ascii="仿宋_GB2312" w:hAnsi="仿宋_GB2312" w:eastAsia="仿宋_GB2312" w:cs="仿宋_GB2312"/>
          <w:szCs w:val="32"/>
        </w:rPr>
      </w:pPr>
      <w:r>
        <w:rPr>
          <w:rFonts w:hint="eastAsia" w:ascii="仿宋_GB2312" w:hAnsi="仿宋_GB2312" w:eastAsia="仿宋_GB2312" w:cs="仿宋_GB2312"/>
          <w:szCs w:val="32"/>
        </w:rPr>
        <w:t>按照“统筹规划、适度超前、合理布局、短中长相结合”的要求，坚持传统基础设施与新型基础设施并重，实施一批强基础、增功能、利长远的重大项目，强化基础设施对经济社会发展的重要支撑作用。</w:t>
      </w:r>
    </w:p>
    <w:p>
      <w:pPr>
        <w:pStyle w:val="4"/>
        <w:spacing w:before="156" w:after="156"/>
      </w:pPr>
      <w:bookmarkStart w:id="88" w:name="_Toc12500"/>
      <w:bookmarkStart w:id="89" w:name="_Toc11242"/>
      <w:r>
        <w:rPr>
          <w:rFonts w:hint="eastAsia"/>
        </w:rPr>
        <w:t>第一节</w:t>
      </w:r>
      <w:r>
        <w:t xml:space="preserve"> </w:t>
      </w:r>
      <w:r>
        <w:rPr>
          <w:rFonts w:hint="eastAsia"/>
        </w:rPr>
        <w:t>不断完善现代交通网络</w:t>
      </w:r>
      <w:bookmarkEnd w:id="88"/>
      <w:bookmarkEnd w:id="89"/>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建设畅通高效的公路网络。围绕打通瓶颈路段、提升公路等级，全力构建以“国省道为主干线、县道为次干线、乡道为辐射线”的公路路网体系，积极对接赣江新区和大南昌都市圈交通规划，着力做好赣新大道、万宝路新建工程、永修至海昏侯遗址公园旅游公路、永修至都昌高速、福银高速二通道等一批重大基础设施项目的规划、建设，对</w:t>
      </w:r>
      <w:r>
        <w:rPr>
          <w:rFonts w:ascii="仿宋_GB2312" w:hAnsi="仿宋_GB2312" w:eastAsia="仿宋_GB2312" w:cs="仿宋_GB2312"/>
          <w:szCs w:val="32"/>
        </w:rPr>
        <w:t>G316</w:t>
      </w:r>
      <w:r>
        <w:rPr>
          <w:rFonts w:hint="eastAsia" w:ascii="仿宋_GB2312" w:hAnsi="仿宋_GB2312" w:eastAsia="仿宋_GB2312" w:cs="仿宋_GB2312"/>
          <w:szCs w:val="32"/>
        </w:rPr>
        <w:t>、</w:t>
      </w:r>
      <w:r>
        <w:rPr>
          <w:rFonts w:ascii="仿宋_GB2312" w:hAnsi="仿宋_GB2312" w:eastAsia="仿宋_GB2312" w:cs="仿宋_GB2312"/>
          <w:szCs w:val="32"/>
        </w:rPr>
        <w:t>G105</w:t>
      </w:r>
      <w:r>
        <w:rPr>
          <w:rFonts w:hint="eastAsia" w:ascii="仿宋_GB2312" w:hAnsi="仿宋_GB2312" w:eastAsia="仿宋_GB2312" w:cs="仿宋_GB2312"/>
          <w:szCs w:val="32"/>
        </w:rPr>
        <w:t>等国省道统一布局，在国土空间上留有一级公路改造的用地规划，提高普通国省干线公路的通达能力和服务水平。加强农村公路网络建设，通过县道升级改造、县城至云山旅游公路、县城至吴城旅游公路、乡道双车道改造、通村公路窄路面拓宽等项目，形成县城联通周边乡镇、园区、旅游景区、主要交通枢纽的农村道路网络，增强与周边地区的联系能力。</w:t>
      </w:r>
    </w:p>
    <w:p>
      <w:pPr>
        <w:pStyle w:val="2"/>
        <w:ind w:firstLine="31680"/>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vAlign w:val="center"/>
          </w:tcPr>
          <w:p>
            <w:pPr>
              <w:pStyle w:val="15"/>
              <w:ind w:firstLine="31680"/>
              <w:jc w:val="center"/>
              <w:rPr>
                <w:rFonts w:cs="黑体"/>
              </w:rPr>
            </w:pPr>
            <w:r>
              <w:rPr>
                <w:rFonts w:hint="eastAsia" w:cs="黑体"/>
                <w:b/>
                <w:bCs/>
              </w:rPr>
              <w:t>专栏</w:t>
            </w:r>
            <w:r>
              <w:rPr>
                <w:rFonts w:cs="黑体"/>
                <w:b/>
                <w:bCs/>
              </w:rPr>
              <w:t xml:space="preserve">16  </w:t>
            </w:r>
            <w:r>
              <w:rPr>
                <w:rFonts w:hint="eastAsia" w:cs="黑体"/>
                <w:b/>
                <w:bCs/>
              </w:rPr>
              <w:t>农村公路建设重点工程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tcPr>
          <w:p>
            <w:pPr>
              <w:pStyle w:val="15"/>
              <w:numPr>
                <w:ilvl w:val="0"/>
                <w:numId w:val="3"/>
              </w:numPr>
              <w:ind w:firstLine="31680"/>
              <w:rPr>
                <w:rFonts w:cs="黑体"/>
                <w:b/>
                <w:bCs/>
              </w:rPr>
            </w:pPr>
            <w:r>
              <w:rPr>
                <w:rFonts w:hint="eastAsia" w:cs="黑体"/>
                <w:b/>
                <w:bCs/>
              </w:rPr>
              <w:t>县道提升工程</w:t>
            </w:r>
          </w:p>
          <w:p>
            <w:pPr>
              <w:pStyle w:val="15"/>
              <w:ind w:firstLine="31680"/>
              <w:rPr>
                <w:rFonts w:cs="黑体"/>
              </w:rPr>
            </w:pPr>
            <w:r>
              <w:rPr>
                <w:rFonts w:hint="eastAsia" w:cs="黑体"/>
              </w:rPr>
              <w:t>三、四级公路升级改造为二级公路及以上公路建设合计</w:t>
            </w:r>
            <w:r>
              <w:rPr>
                <w:rFonts w:cs="黑体"/>
              </w:rPr>
              <w:t>45</w:t>
            </w:r>
            <w:r>
              <w:rPr>
                <w:rFonts w:hint="eastAsia" w:cs="黑体"/>
              </w:rPr>
              <w:t>公里，其中吴罗线新城至望湖亭段</w:t>
            </w:r>
            <w:r>
              <w:rPr>
                <w:rFonts w:cs="黑体"/>
              </w:rPr>
              <w:t>20</w:t>
            </w:r>
            <w:r>
              <w:rPr>
                <w:rFonts w:hint="eastAsia" w:cs="黑体"/>
              </w:rPr>
              <w:t>公里，桐万线新祺周高速公路涵洞至马口街段</w:t>
            </w:r>
            <w:r>
              <w:rPr>
                <w:rFonts w:cs="黑体"/>
              </w:rPr>
              <w:t>5</w:t>
            </w:r>
            <w:r>
              <w:rPr>
                <w:rFonts w:hint="eastAsia" w:cs="黑体"/>
              </w:rPr>
              <w:t>公里，杨棋线</w:t>
            </w:r>
            <w:r>
              <w:rPr>
                <w:rFonts w:cs="黑体"/>
              </w:rPr>
              <w:t>316</w:t>
            </w:r>
            <w:r>
              <w:rPr>
                <w:rFonts w:hint="eastAsia" w:cs="黑体"/>
              </w:rPr>
              <w:t>国道至军山段</w:t>
            </w:r>
            <w:r>
              <w:rPr>
                <w:rFonts w:cs="黑体"/>
              </w:rPr>
              <w:t>5</w:t>
            </w:r>
            <w:r>
              <w:rPr>
                <w:rFonts w:hint="eastAsia" w:cs="黑体"/>
              </w:rPr>
              <w:t>公里，长国线靖罗线至龙源峡段</w:t>
            </w:r>
            <w:r>
              <w:rPr>
                <w:rFonts w:cs="黑体"/>
              </w:rPr>
              <w:t>5</w:t>
            </w:r>
            <w:r>
              <w:rPr>
                <w:rFonts w:hint="eastAsia" w:cs="黑体"/>
              </w:rPr>
              <w:t>公里。</w:t>
            </w:r>
          </w:p>
          <w:p>
            <w:pPr>
              <w:pStyle w:val="15"/>
              <w:ind w:firstLine="31680"/>
              <w:rPr>
                <w:rFonts w:cs="黑体"/>
              </w:rPr>
            </w:pPr>
            <w:r>
              <w:rPr>
                <w:rFonts w:hint="eastAsia" w:cs="黑体"/>
              </w:rPr>
              <w:t>四级公路升级改造为三级公路建设合计</w:t>
            </w:r>
            <w:r>
              <w:rPr>
                <w:rFonts w:cs="黑体"/>
              </w:rPr>
              <w:t>49</w:t>
            </w:r>
            <w:r>
              <w:rPr>
                <w:rFonts w:hint="eastAsia" w:cs="黑体"/>
              </w:rPr>
              <w:t>公里。其中恒滩线昌九大道</w:t>
            </w:r>
            <w:r>
              <w:rPr>
                <w:rFonts w:cs="黑体"/>
              </w:rPr>
              <w:t>-</w:t>
            </w:r>
            <w:r>
              <w:rPr>
                <w:rFonts w:hint="eastAsia" w:cs="黑体"/>
              </w:rPr>
              <w:t>立新</w:t>
            </w:r>
            <w:r>
              <w:rPr>
                <w:rFonts w:cs="黑体"/>
              </w:rPr>
              <w:t>-</w:t>
            </w:r>
            <w:r>
              <w:rPr>
                <w:rFonts w:hint="eastAsia" w:cs="黑体"/>
              </w:rPr>
              <w:t>滩溪镇</w:t>
            </w:r>
            <w:r>
              <w:rPr>
                <w:rFonts w:cs="黑体"/>
              </w:rPr>
              <w:t>-105</w:t>
            </w:r>
            <w:r>
              <w:rPr>
                <w:rFonts w:hint="eastAsia" w:cs="黑体"/>
              </w:rPr>
              <w:t>国道</w:t>
            </w:r>
            <w:r>
              <w:rPr>
                <w:rFonts w:cs="黑体"/>
              </w:rPr>
              <w:t>25</w:t>
            </w:r>
            <w:r>
              <w:rPr>
                <w:rFonts w:hint="eastAsia" w:cs="黑体"/>
              </w:rPr>
              <w:t>公里，吴罗线昌九大道至周坊</w:t>
            </w:r>
            <w:r>
              <w:rPr>
                <w:rFonts w:cs="黑体"/>
              </w:rPr>
              <w:t>3</w:t>
            </w:r>
            <w:r>
              <w:rPr>
                <w:rFonts w:hint="eastAsia" w:cs="黑体"/>
              </w:rPr>
              <w:t>公里，燕梅线燕坊至梅棠</w:t>
            </w:r>
            <w:r>
              <w:rPr>
                <w:rFonts w:cs="黑体"/>
              </w:rPr>
              <w:t>12</w:t>
            </w:r>
            <w:r>
              <w:rPr>
                <w:rFonts w:hint="eastAsia" w:cs="黑体"/>
              </w:rPr>
              <w:t>公里，青白线青龙桥至大塘</w:t>
            </w:r>
            <w:r>
              <w:rPr>
                <w:rFonts w:cs="黑体"/>
              </w:rPr>
              <w:t>9</w:t>
            </w:r>
            <w:r>
              <w:rPr>
                <w:rFonts w:hint="eastAsia" w:cs="黑体"/>
              </w:rPr>
              <w:t>公里。</w:t>
            </w:r>
          </w:p>
          <w:p>
            <w:pPr>
              <w:pStyle w:val="15"/>
              <w:ind w:firstLine="31680"/>
              <w:rPr>
                <w:rFonts w:cs="黑体"/>
                <w:b/>
                <w:bCs/>
              </w:rPr>
            </w:pPr>
            <w:r>
              <w:rPr>
                <w:rFonts w:hint="eastAsia" w:cs="黑体"/>
                <w:b/>
                <w:bCs/>
              </w:rPr>
              <w:t>（二）县道扩容工程</w:t>
            </w:r>
          </w:p>
          <w:p>
            <w:pPr>
              <w:pStyle w:val="15"/>
              <w:ind w:firstLine="31680"/>
              <w:rPr>
                <w:rFonts w:cs="黑体"/>
              </w:rPr>
            </w:pPr>
            <w:r>
              <w:rPr>
                <w:rFonts w:hint="eastAsia" w:cs="黑体"/>
              </w:rPr>
              <w:t>四级公路升级改造为四级双车道公路建设合计</w:t>
            </w:r>
            <w:r>
              <w:rPr>
                <w:rFonts w:cs="黑体"/>
              </w:rPr>
              <w:t>160</w:t>
            </w:r>
            <w:r>
              <w:rPr>
                <w:rFonts w:hint="eastAsia" w:cs="黑体"/>
              </w:rPr>
              <w:t>公里。四级公路建设要求路面宽度为双车道达到</w:t>
            </w:r>
            <w:r>
              <w:rPr>
                <w:rFonts w:cs="黑体"/>
              </w:rPr>
              <w:t>6</w:t>
            </w:r>
            <w:r>
              <w:rPr>
                <w:rFonts w:hint="eastAsia" w:cs="黑体"/>
              </w:rPr>
              <w:t>米宽。</w:t>
            </w:r>
          </w:p>
          <w:p>
            <w:pPr>
              <w:pStyle w:val="15"/>
              <w:ind w:firstLine="31680"/>
              <w:rPr>
                <w:rFonts w:cs="黑体"/>
              </w:rPr>
            </w:pPr>
            <w:r>
              <w:rPr>
                <w:rFonts w:hint="eastAsia" w:cs="黑体"/>
              </w:rPr>
              <w:t>乡村旅游路、资源路、产业路建设</w:t>
            </w:r>
            <w:r>
              <w:rPr>
                <w:rFonts w:cs="黑体"/>
              </w:rPr>
              <w:t>41</w:t>
            </w:r>
            <w:r>
              <w:rPr>
                <w:rFonts w:hint="eastAsia" w:cs="黑体"/>
              </w:rPr>
              <w:t>公里。其中永修县西部通道即永修县县城至云山</w:t>
            </w:r>
            <w:r>
              <w:rPr>
                <w:rFonts w:cs="黑体"/>
              </w:rPr>
              <w:t>21</w:t>
            </w:r>
            <w:r>
              <w:rPr>
                <w:rFonts w:hint="eastAsia" w:cs="黑体"/>
              </w:rPr>
              <w:t>公里，吴城镇环湖公路建设</w:t>
            </w:r>
            <w:r>
              <w:rPr>
                <w:rFonts w:cs="黑体"/>
              </w:rPr>
              <w:t>20</w:t>
            </w:r>
            <w:r>
              <w:rPr>
                <w:rFonts w:hint="eastAsia" w:cs="黑体"/>
              </w:rPr>
              <w:t>公里。</w:t>
            </w:r>
          </w:p>
          <w:p>
            <w:pPr>
              <w:pStyle w:val="15"/>
              <w:ind w:firstLine="31680"/>
              <w:rPr>
                <w:rFonts w:cs="黑体"/>
                <w:b/>
                <w:bCs/>
              </w:rPr>
            </w:pPr>
            <w:r>
              <w:rPr>
                <w:rFonts w:hint="eastAsia" w:cs="黑体"/>
                <w:b/>
                <w:bCs/>
              </w:rPr>
              <w:t>（三）其他工程</w:t>
            </w:r>
          </w:p>
          <w:p>
            <w:pPr>
              <w:pStyle w:val="15"/>
              <w:ind w:firstLine="31680"/>
              <w:rPr>
                <w:rFonts w:cs="黑体"/>
              </w:rPr>
            </w:pPr>
            <w:r>
              <w:rPr>
                <w:rFonts w:hint="eastAsia" w:cs="黑体"/>
              </w:rPr>
              <w:t>新增农村公路村道安保工程</w:t>
            </w:r>
            <w:r>
              <w:rPr>
                <w:rFonts w:cs="黑体"/>
              </w:rPr>
              <w:t>200</w:t>
            </w:r>
            <w:r>
              <w:rPr>
                <w:rFonts w:hint="eastAsia" w:cs="黑体"/>
              </w:rPr>
              <w:t>公里，危桥改造完成</w:t>
            </w:r>
            <w:r>
              <w:rPr>
                <w:rFonts w:cs="黑体"/>
              </w:rPr>
              <w:t>20</w:t>
            </w:r>
            <w:r>
              <w:rPr>
                <w:rFonts w:hint="eastAsia" w:cs="黑体"/>
              </w:rPr>
              <w:t>座，新增渡改桥</w:t>
            </w:r>
            <w:r>
              <w:rPr>
                <w:rFonts w:cs="黑体"/>
              </w:rPr>
              <w:t>2</w:t>
            </w:r>
            <w:r>
              <w:rPr>
                <w:rFonts w:hint="eastAsia" w:cs="黑体"/>
              </w:rPr>
              <w:t>座；</w:t>
            </w:r>
            <w:r>
              <w:rPr>
                <w:rFonts w:cs="黑体"/>
              </w:rPr>
              <w:t>3.5</w:t>
            </w:r>
            <w:r>
              <w:rPr>
                <w:rFonts w:hint="eastAsia" w:cs="黑体"/>
              </w:rPr>
              <w:t>米及以下窄路基路面公路拓宽改造合计</w:t>
            </w:r>
            <w:r>
              <w:rPr>
                <w:rFonts w:cs="黑体"/>
              </w:rPr>
              <w:t>75</w:t>
            </w:r>
            <w:r>
              <w:rPr>
                <w:rFonts w:hint="eastAsia" w:cs="黑体"/>
              </w:rPr>
              <w:t>公里，依据乡镇近几年农村公路的需求考虑每年大概</w:t>
            </w:r>
            <w:r>
              <w:rPr>
                <w:rFonts w:cs="黑体"/>
              </w:rPr>
              <w:t>15</w:t>
            </w:r>
            <w:r>
              <w:rPr>
                <w:rFonts w:hint="eastAsia" w:cs="黑体"/>
              </w:rPr>
              <w:t>公里；农村联网公路建设</w:t>
            </w:r>
            <w:r>
              <w:rPr>
                <w:rFonts w:cs="黑体"/>
              </w:rPr>
              <w:t>30</w:t>
            </w:r>
            <w:r>
              <w:rPr>
                <w:rFonts w:hint="eastAsia" w:cs="黑体"/>
              </w:rPr>
              <w:t>公里。初步考虑麻洲村通往军山的公路建设等，并预留部分机动数；美丽农村公路改造建设</w:t>
            </w:r>
            <w:r>
              <w:rPr>
                <w:rFonts w:cs="黑体"/>
              </w:rPr>
              <w:t>45</w:t>
            </w:r>
            <w:r>
              <w:rPr>
                <w:rFonts w:hint="eastAsia" w:cs="黑体"/>
              </w:rPr>
              <w:t>公里。考虑在规划的升级改造为二级公路及以上公路建设公路同时建设美丽农村公路；桥梁新改建</w:t>
            </w:r>
            <w:r>
              <w:rPr>
                <w:rFonts w:cs="黑体"/>
              </w:rPr>
              <w:t>10</w:t>
            </w:r>
            <w:r>
              <w:rPr>
                <w:rFonts w:hint="eastAsia" w:cs="黑体"/>
              </w:rPr>
              <w:t>座。</w:t>
            </w:r>
          </w:p>
        </w:tc>
      </w:tr>
    </w:tbl>
    <w:p>
      <w:pPr>
        <w:pStyle w:val="4"/>
        <w:spacing w:before="156" w:after="156"/>
      </w:pPr>
      <w:bookmarkStart w:id="90" w:name="_Toc23812"/>
      <w:bookmarkStart w:id="91" w:name="_Toc19130"/>
      <w:r>
        <w:rPr>
          <w:rFonts w:hint="eastAsia"/>
        </w:rPr>
        <w:t>第二节</w:t>
      </w:r>
      <w:r>
        <w:t xml:space="preserve"> </w:t>
      </w:r>
      <w:r>
        <w:rPr>
          <w:rFonts w:hint="eastAsia"/>
        </w:rPr>
        <w:t>加快构建现代能源体系</w:t>
      </w:r>
      <w:bookmarkEnd w:id="90"/>
      <w:bookmarkEnd w:id="9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适度超前、内优外引、以电为主、多能互补”的原则，加快构建安全、高效、清洁、低碳的现代能源体系，进一步提升能源保障水平。持续优化能源供给结构。大力发展绿色低碳能源，加快天然气管网建设和可再生能源利用，有序开发水电、风能资源，因地制宜发展太阳能光伏发电，大力推进煤炭清洁高效利用，控制煤炭消费总量，不断提高清洁能源比重。大力完善能源输送网络。推进城乡一体化的电网建设，全面提高电网通达水平、输送能力、电能储备与供电可靠性，保障城乡安全高效用电。</w:t>
      </w:r>
    </w:p>
    <w:p>
      <w:pPr>
        <w:pStyle w:val="4"/>
        <w:spacing w:before="156" w:after="156"/>
      </w:pPr>
      <w:bookmarkStart w:id="92" w:name="_Toc13954"/>
      <w:bookmarkStart w:id="93" w:name="_Toc9750"/>
      <w:r>
        <w:rPr>
          <w:rFonts w:hint="eastAsia"/>
        </w:rPr>
        <w:t>第三节</w:t>
      </w:r>
      <w:r>
        <w:t xml:space="preserve"> </w:t>
      </w:r>
      <w:r>
        <w:rPr>
          <w:rFonts w:hint="eastAsia"/>
        </w:rPr>
        <w:t>完善民生水利安全与保障体系</w:t>
      </w:r>
      <w:bookmarkEnd w:id="92"/>
      <w:bookmarkEnd w:id="93"/>
    </w:p>
    <w:p>
      <w:pPr>
        <w:ind w:firstLine="31680"/>
      </w:pPr>
      <w:r>
        <w:rPr>
          <w:rFonts w:hint="eastAsia" w:ascii="仿宋_GB2312" w:hAnsi="仿宋_GB2312" w:eastAsia="仿宋_GB2312" w:cs="仿宋_GB2312"/>
          <w:b/>
          <w:bCs/>
          <w:szCs w:val="32"/>
        </w:rPr>
        <w:t>加强防洪抗旱安全能力建设。</w:t>
      </w:r>
      <w:r>
        <w:rPr>
          <w:rFonts w:hint="eastAsia" w:ascii="仿宋_GB2312" w:hAnsi="仿宋_GB2312" w:eastAsia="仿宋_GB2312" w:cs="仿宋_GB2312"/>
          <w:szCs w:val="32"/>
        </w:rPr>
        <w:t>坚持“节水优先、空间均衡、系统治理、两手发力”的治水方针，突出“水利工程补短板，水利行业强监管”的总体要求，严格落实中央、省、市、县决策部署，全面加快水利发展改革，积极践行可持续发展治水思路，扎实有效地开展防汛抗旱、水利工程建设、河湖长制、水行政执法、水利扶贫等民生水利工作。提高全县的防洪能力。基本建成流域内主要河流综合防洪排涝减灾体系，城区及重点涝区排涝能力、中小河流和山洪灾害防治区的防洪能力得到提高，重点地区中小河流基本达到防御</w:t>
      </w:r>
      <w:r>
        <w:rPr>
          <w:rFonts w:ascii="仿宋_GB2312" w:hAnsi="仿宋_GB2312" w:eastAsia="仿宋_GB2312" w:cs="仿宋_GB2312"/>
          <w:szCs w:val="32"/>
        </w:rPr>
        <w:t>10</w:t>
      </w:r>
      <w:r>
        <w:rPr>
          <w:rFonts w:hint="eastAsia" w:ascii="仿宋_GB2312" w:hAnsi="仿宋_GB2312" w:eastAsia="仿宋_GB2312" w:cs="仿宋_GB2312"/>
          <w:szCs w:val="32"/>
        </w:rPr>
        <w:t>～</w:t>
      </w:r>
      <w:r>
        <w:rPr>
          <w:rFonts w:ascii="仿宋_GB2312" w:hAnsi="仿宋_GB2312" w:eastAsia="仿宋_GB2312" w:cs="仿宋_GB2312"/>
          <w:szCs w:val="32"/>
        </w:rPr>
        <w:t>20</w:t>
      </w:r>
      <w:r>
        <w:rPr>
          <w:rFonts w:hint="eastAsia" w:ascii="仿宋_GB2312" w:hAnsi="仿宋_GB2312" w:eastAsia="仿宋_GB2312" w:cs="仿宋_GB2312"/>
          <w:szCs w:val="32"/>
        </w:rPr>
        <w:t>年一遇洪水标准，洪涝灾害损失率降至</w:t>
      </w:r>
      <w:r>
        <w:rPr>
          <w:rFonts w:ascii="仿宋_GB2312" w:hAnsi="仿宋_GB2312" w:eastAsia="仿宋_GB2312" w:cs="仿宋_GB2312"/>
          <w:szCs w:val="32"/>
        </w:rPr>
        <w:t>1.0%</w:t>
      </w:r>
      <w:r>
        <w:rPr>
          <w:rFonts w:hint="eastAsia" w:ascii="仿宋_GB2312" w:hAnsi="仿宋_GB2312" w:eastAsia="仿宋_GB2312" w:cs="仿宋_GB2312"/>
          <w:szCs w:val="32"/>
        </w:rPr>
        <w:t>以下。加强全县的抗旱能力。在发生中等干旱时，城乡生活、工业生产用水有保障，农业生产和生态环境不遭受重大影响；发生严重干旱时，城乡生活用水有保障，工农业生产损失降到最低程度；发生特大干旱时，保障城乡居民生活饮用水安全，尽量保证重点部门、单位和企业用水。</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推进供水安全保障工程。</w:t>
      </w:r>
      <w:r>
        <w:rPr>
          <w:rFonts w:hint="eastAsia" w:ascii="仿宋_GB2312" w:hAnsi="仿宋_GB2312" w:eastAsia="仿宋_GB2312" w:cs="仿宋_GB2312"/>
          <w:szCs w:val="32"/>
        </w:rPr>
        <w:t>加快城乡供水一体化建设，加强云山水库水源地保护，完成涂埠、艾城、三角、虬津、恒丰等乡镇的水厂收（并）购，实施军山水厂改扩建及管网延伸至艾城、恒丰工程，完成湖东第二水厂至三角、九合主管网土建及管网入户工程，基本实现农村自来水全覆盖。切实提高供水能力和保证率，继续实施以小型水库为主的病险水库除险加固，使病险水库比例进一步降低。加快推进城市备用水源地和管网建设，努力形成保障民生、服务民生、改善民生的水利发展格局，进一步改善和提高人民群众生产生活条件，促进基本公共服务均等化，使人人共享水利发展与改革成果，完全解决农村饮水安全问题。</w:t>
      </w:r>
    </w:p>
    <w:p>
      <w:pPr>
        <w:pStyle w:val="4"/>
        <w:spacing w:before="156" w:after="156"/>
      </w:pPr>
      <w:bookmarkStart w:id="94" w:name="_Toc1933"/>
      <w:bookmarkStart w:id="95" w:name="_Toc14326"/>
      <w:r>
        <w:rPr>
          <w:rFonts w:hint="eastAsia"/>
        </w:rPr>
        <w:t>第四节</w:t>
      </w:r>
      <w:r>
        <w:t xml:space="preserve"> </w:t>
      </w:r>
      <w:r>
        <w:rPr>
          <w:rFonts w:hint="eastAsia"/>
        </w:rPr>
        <w:t>加强新型基础设施建设</w:t>
      </w:r>
      <w:bookmarkEnd w:id="94"/>
      <w:bookmarkEnd w:id="95"/>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加快信息基础设施建设。</w:t>
      </w:r>
      <w:r>
        <w:rPr>
          <w:rFonts w:hint="eastAsia" w:ascii="仿宋_GB2312" w:hAnsi="仿宋_GB2312" w:eastAsia="仿宋_GB2312" w:cs="仿宋_GB2312"/>
          <w:szCs w:val="32"/>
        </w:rPr>
        <w:t>以永修与中国移动九江分公司签署新基建</w:t>
      </w:r>
      <w:r>
        <w:rPr>
          <w:rFonts w:ascii="仿宋_GB2312" w:hAnsi="仿宋_GB2312" w:eastAsia="仿宋_GB2312" w:cs="仿宋_GB2312"/>
          <w:szCs w:val="32"/>
        </w:rPr>
        <w:t>5G</w:t>
      </w:r>
      <w:r>
        <w:rPr>
          <w:rFonts w:hint="eastAsia" w:ascii="仿宋_GB2312" w:hAnsi="仿宋_GB2312" w:eastAsia="仿宋_GB2312" w:cs="仿宋_GB2312"/>
          <w:szCs w:val="32"/>
        </w:rPr>
        <w:t>应用示范县建设战略合作协议为契机，加快实施</w:t>
      </w:r>
      <w:r>
        <w:rPr>
          <w:rFonts w:ascii="仿宋_GB2312" w:hAnsi="仿宋_GB2312" w:eastAsia="仿宋_GB2312" w:cs="仿宋_GB2312"/>
          <w:szCs w:val="32"/>
        </w:rPr>
        <w:t>5G</w:t>
      </w:r>
      <w:r>
        <w:rPr>
          <w:rFonts w:hint="eastAsia" w:ascii="仿宋_GB2312" w:hAnsi="仿宋_GB2312" w:eastAsia="仿宋_GB2312" w:cs="仿宋_GB2312"/>
          <w:szCs w:val="32"/>
        </w:rPr>
        <w:t>网络、物联网感知设施，高速智能信息网络、一体化大数据中心、人工智能等重点领域建设行动。实施</w:t>
      </w:r>
      <w:r>
        <w:rPr>
          <w:rFonts w:ascii="仿宋_GB2312" w:hAnsi="仿宋_GB2312" w:eastAsia="仿宋_GB2312" w:cs="仿宋_GB2312"/>
          <w:szCs w:val="32"/>
        </w:rPr>
        <w:t>5G</w:t>
      </w:r>
      <w:r>
        <w:rPr>
          <w:rFonts w:hint="eastAsia" w:ascii="仿宋_GB2312" w:hAnsi="仿宋_GB2312" w:eastAsia="仿宋_GB2312" w:cs="仿宋_GB2312"/>
          <w:szCs w:val="32"/>
        </w:rPr>
        <w:t>网络新建工程和室内分布系统工程，优化</w:t>
      </w:r>
      <w:r>
        <w:rPr>
          <w:rFonts w:ascii="仿宋_GB2312" w:hAnsi="仿宋_GB2312" w:eastAsia="仿宋_GB2312" w:cs="仿宋_GB2312"/>
          <w:szCs w:val="32"/>
        </w:rPr>
        <w:t>5G</w:t>
      </w:r>
      <w:r>
        <w:rPr>
          <w:rFonts w:hint="eastAsia" w:ascii="仿宋_GB2312" w:hAnsi="仿宋_GB2312" w:eastAsia="仿宋_GB2312" w:cs="仿宋_GB2312"/>
          <w:szCs w:val="32"/>
        </w:rPr>
        <w:t>通信基站分布，加快</w:t>
      </w:r>
      <w:r>
        <w:rPr>
          <w:rFonts w:ascii="仿宋_GB2312" w:hAnsi="仿宋_GB2312" w:eastAsia="仿宋_GB2312" w:cs="仿宋_GB2312"/>
          <w:szCs w:val="32"/>
        </w:rPr>
        <w:t>5G</w:t>
      </w:r>
      <w:r>
        <w:rPr>
          <w:rFonts w:hint="eastAsia" w:ascii="仿宋_GB2312" w:hAnsi="仿宋_GB2312" w:eastAsia="仿宋_GB2312" w:cs="仿宋_GB2312"/>
          <w:szCs w:val="32"/>
        </w:rPr>
        <w:t>基站和配套基础设施建设。实施移动物联网感知设施智能化改造工程，建立协同发展的窄宽物联网（</w:t>
      </w:r>
      <w:r>
        <w:rPr>
          <w:rFonts w:ascii="仿宋_GB2312" w:hAnsi="仿宋_GB2312" w:eastAsia="仿宋_GB2312" w:cs="仿宋_GB2312"/>
          <w:szCs w:val="32"/>
        </w:rPr>
        <w:t>NB-IoT</w:t>
      </w:r>
      <w:r>
        <w:rPr>
          <w:rFonts w:hint="eastAsia" w:ascii="仿宋_GB2312" w:hAnsi="仿宋_GB2312" w:eastAsia="仿宋_GB2312" w:cs="仿宋_GB2312"/>
          <w:szCs w:val="32"/>
        </w:rPr>
        <w:t>）</w:t>
      </w:r>
      <w:r>
        <w:rPr>
          <w:rFonts w:ascii="仿宋_GB2312" w:hAnsi="仿宋_GB2312" w:eastAsia="仿宋_GB2312" w:cs="仿宋_GB2312"/>
          <w:szCs w:val="32"/>
        </w:rPr>
        <w:t>/4G/5G</w:t>
      </w:r>
      <w:r>
        <w:rPr>
          <w:rFonts w:hint="eastAsia" w:ascii="仿宋_GB2312" w:hAnsi="仿宋_GB2312" w:eastAsia="仿宋_GB2312" w:cs="仿宋_GB2312"/>
          <w:szCs w:val="32"/>
        </w:rPr>
        <w:t>移动物联网综合生态体系，实现基础设施数字化和联网化。聚焦永修信息化产业，重点实施</w:t>
      </w:r>
      <w:r>
        <w:rPr>
          <w:rFonts w:ascii="仿宋_GB2312" w:hAnsi="仿宋_GB2312" w:eastAsia="仿宋_GB2312" w:cs="仿宋_GB2312"/>
          <w:szCs w:val="32"/>
        </w:rPr>
        <w:t>5G</w:t>
      </w:r>
      <w:r>
        <w:rPr>
          <w:rFonts w:hint="eastAsia" w:ascii="仿宋_GB2312" w:hAnsi="仿宋_GB2312" w:eastAsia="仿宋_GB2312" w:cs="仿宋_GB2312"/>
          <w:szCs w:val="32"/>
        </w:rPr>
        <w:t>网络建设合作、</w:t>
      </w:r>
      <w:r>
        <w:rPr>
          <w:rFonts w:ascii="仿宋_GB2312" w:hAnsi="仿宋_GB2312" w:eastAsia="仿宋_GB2312" w:cs="仿宋_GB2312"/>
          <w:szCs w:val="32"/>
        </w:rPr>
        <w:t>5G</w:t>
      </w:r>
      <w:r>
        <w:rPr>
          <w:rFonts w:hint="eastAsia" w:ascii="仿宋_GB2312" w:hAnsi="仿宋_GB2312" w:eastAsia="仿宋_GB2312" w:cs="仿宋_GB2312"/>
          <w:szCs w:val="32"/>
        </w:rPr>
        <w:t>应用示范合作</w:t>
      </w:r>
      <w:r>
        <w:rPr>
          <w:rFonts w:ascii="仿宋_GB2312" w:hAnsi="仿宋_GB2312" w:eastAsia="仿宋_GB2312" w:cs="仿宋_GB2312"/>
          <w:szCs w:val="32"/>
        </w:rPr>
        <w:t>(</w:t>
      </w:r>
      <w:r>
        <w:rPr>
          <w:rFonts w:hint="eastAsia" w:ascii="仿宋_GB2312" w:hAnsi="仿宋_GB2312" w:eastAsia="仿宋_GB2312" w:cs="仿宋_GB2312"/>
          <w:szCs w:val="32"/>
        </w:rPr>
        <w:t>智慧城市建设、智慧工业园区建设、</w:t>
      </w:r>
      <w:r>
        <w:rPr>
          <w:rFonts w:ascii="仿宋_GB2312" w:hAnsi="仿宋_GB2312" w:eastAsia="仿宋_GB2312" w:cs="仿宋_GB2312"/>
          <w:szCs w:val="32"/>
        </w:rPr>
        <w:t>5G+</w:t>
      </w:r>
      <w:r>
        <w:rPr>
          <w:rFonts w:hint="eastAsia" w:ascii="仿宋_GB2312" w:hAnsi="仿宋_GB2312" w:eastAsia="仿宋_GB2312" w:cs="仿宋_GB2312"/>
          <w:szCs w:val="32"/>
        </w:rPr>
        <w:t>平安城市建设、</w:t>
      </w:r>
      <w:r>
        <w:rPr>
          <w:rFonts w:ascii="仿宋_GB2312" w:hAnsi="仿宋_GB2312" w:eastAsia="仿宋_GB2312" w:cs="仿宋_GB2312"/>
          <w:szCs w:val="32"/>
        </w:rPr>
        <w:t>5G+</w:t>
      </w:r>
      <w:r>
        <w:rPr>
          <w:rFonts w:hint="eastAsia" w:ascii="仿宋_GB2312" w:hAnsi="仿宋_GB2312" w:eastAsia="仿宋_GB2312" w:cs="仿宋_GB2312"/>
          <w:szCs w:val="32"/>
        </w:rPr>
        <w:t>智慧环保、</w:t>
      </w:r>
      <w:r>
        <w:rPr>
          <w:rFonts w:ascii="仿宋_GB2312" w:hAnsi="仿宋_GB2312" w:eastAsia="仿宋_GB2312" w:cs="仿宋_GB2312"/>
          <w:szCs w:val="32"/>
        </w:rPr>
        <w:t>5G+</w:t>
      </w:r>
      <w:r>
        <w:rPr>
          <w:rFonts w:hint="eastAsia" w:ascii="仿宋_GB2312" w:hAnsi="仿宋_GB2312" w:eastAsia="仿宋_GB2312" w:cs="仿宋_GB2312"/>
          <w:szCs w:val="32"/>
        </w:rPr>
        <w:t>智慧农业、</w:t>
      </w:r>
      <w:r>
        <w:rPr>
          <w:rFonts w:ascii="仿宋_GB2312" w:hAnsi="仿宋_GB2312" w:eastAsia="仿宋_GB2312" w:cs="仿宋_GB2312"/>
          <w:szCs w:val="32"/>
        </w:rPr>
        <w:t>5G+</w:t>
      </w:r>
      <w:r>
        <w:rPr>
          <w:rFonts w:hint="eastAsia" w:ascii="仿宋_GB2312" w:hAnsi="仿宋_GB2312" w:eastAsia="仿宋_GB2312" w:cs="仿宋_GB2312"/>
          <w:szCs w:val="32"/>
        </w:rPr>
        <w:t>智慧旅游建设、</w:t>
      </w:r>
      <w:r>
        <w:rPr>
          <w:rFonts w:ascii="仿宋_GB2312" w:hAnsi="仿宋_GB2312" w:eastAsia="仿宋_GB2312" w:cs="仿宋_GB2312"/>
          <w:szCs w:val="32"/>
        </w:rPr>
        <w:t>5G+</w:t>
      </w:r>
      <w:r>
        <w:rPr>
          <w:rFonts w:hint="eastAsia" w:ascii="仿宋_GB2312" w:hAnsi="仿宋_GB2312" w:eastAsia="仿宋_GB2312" w:cs="仿宋_GB2312"/>
          <w:szCs w:val="32"/>
        </w:rPr>
        <w:t>智慧气象、智慧教育文化服务建设、智慧医疗建设</w:t>
      </w:r>
      <w:r>
        <w:rPr>
          <w:rFonts w:ascii="仿宋_GB2312" w:hAnsi="仿宋_GB2312" w:eastAsia="仿宋_GB2312" w:cs="仿宋_GB2312"/>
          <w:szCs w:val="32"/>
        </w:rPr>
        <w:t>)</w:t>
      </w:r>
      <w:r>
        <w:rPr>
          <w:rFonts w:hint="eastAsia" w:ascii="仿宋_GB2312" w:hAnsi="仿宋_GB2312" w:eastAsia="仿宋_GB2312" w:cs="仿宋_GB2312"/>
          <w:szCs w:val="32"/>
        </w:rPr>
        <w:t>等方面的内容，实现</w:t>
      </w:r>
      <w:r>
        <w:rPr>
          <w:rFonts w:ascii="仿宋_GB2312" w:hAnsi="仿宋_GB2312" w:eastAsia="仿宋_GB2312" w:cs="仿宋_GB2312"/>
          <w:szCs w:val="32"/>
        </w:rPr>
        <w:t>5G</w:t>
      </w:r>
      <w:r>
        <w:rPr>
          <w:rFonts w:hint="eastAsia" w:ascii="仿宋_GB2312" w:hAnsi="仿宋_GB2312" w:eastAsia="仿宋_GB2312" w:cs="仿宋_GB2312"/>
          <w:szCs w:val="32"/>
        </w:rPr>
        <w:t>技术带动信息化产业的新业态、新模式、新服务发展，将永修加快打造成</w:t>
      </w:r>
      <w:r>
        <w:rPr>
          <w:rFonts w:ascii="仿宋_GB2312" w:hAnsi="仿宋_GB2312" w:eastAsia="仿宋_GB2312" w:cs="仿宋_GB2312"/>
          <w:szCs w:val="32"/>
        </w:rPr>
        <w:t>5G</w:t>
      </w:r>
      <w:r>
        <w:rPr>
          <w:rFonts w:hint="eastAsia" w:ascii="仿宋_GB2312" w:hAnsi="仿宋_GB2312" w:eastAsia="仿宋_GB2312" w:cs="仿宋_GB2312"/>
          <w:szCs w:val="32"/>
        </w:rPr>
        <w:t>应用示范县。</w:t>
      </w:r>
    </w:p>
    <w:p>
      <w:pPr>
        <w:ind w:firstLine="31680"/>
      </w:pPr>
      <w:r>
        <w:rPr>
          <w:rFonts w:hint="eastAsia" w:ascii="仿宋_GB2312" w:hAnsi="仿宋_GB2312" w:eastAsia="仿宋_GB2312" w:cs="仿宋_GB2312"/>
          <w:b/>
          <w:bCs/>
          <w:szCs w:val="32"/>
        </w:rPr>
        <w:t>促进传统基础设施改造升级。</w:t>
      </w:r>
      <w:r>
        <w:rPr>
          <w:rFonts w:hint="eastAsia" w:ascii="仿宋_GB2312" w:hAnsi="仿宋_GB2312" w:eastAsia="仿宋_GB2312" w:cs="仿宋_GB2312"/>
          <w:szCs w:val="32"/>
        </w:rPr>
        <w:t>充分利用互联网、大数据、人工智能等领域的前沿技术，支撑传统基础设施改造升级，加快推进企业“</w:t>
      </w:r>
      <w:r>
        <w:rPr>
          <w:rFonts w:ascii="仿宋_GB2312" w:hAnsi="仿宋_GB2312" w:eastAsia="仿宋_GB2312" w:cs="仿宋_GB2312"/>
          <w:szCs w:val="32"/>
        </w:rPr>
        <w:t>5G+</w:t>
      </w:r>
      <w:r>
        <w:rPr>
          <w:rFonts w:hint="eastAsia" w:ascii="仿宋_GB2312" w:hAnsi="仿宋_GB2312" w:eastAsia="仿宋_GB2312" w:cs="仿宋_GB2312"/>
          <w:szCs w:val="32"/>
        </w:rPr>
        <w:t>工业互联网”升级工程，鼓励龙头企业开展</w:t>
      </w:r>
      <w:r>
        <w:rPr>
          <w:rFonts w:ascii="仿宋_GB2312" w:hAnsi="仿宋_GB2312" w:eastAsia="仿宋_GB2312" w:cs="仿宋_GB2312"/>
          <w:szCs w:val="32"/>
        </w:rPr>
        <w:t>5G</w:t>
      </w:r>
      <w:r>
        <w:rPr>
          <w:rFonts w:hint="eastAsia" w:ascii="仿宋_GB2312" w:hAnsi="仿宋_GB2312" w:eastAsia="仿宋_GB2312" w:cs="仿宋_GB2312"/>
          <w:szCs w:val="32"/>
        </w:rPr>
        <w:t>技术在工业生产中的应用，重点支持蓝星星火有机硅与中国电信合作的“</w:t>
      </w:r>
      <w:r>
        <w:rPr>
          <w:rFonts w:ascii="仿宋_GB2312" w:hAnsi="仿宋_GB2312" w:eastAsia="仿宋_GB2312" w:cs="仿宋_GB2312"/>
          <w:szCs w:val="32"/>
        </w:rPr>
        <w:t>5G+</w:t>
      </w:r>
      <w:r>
        <w:rPr>
          <w:rFonts w:hint="eastAsia" w:ascii="仿宋_GB2312" w:hAnsi="仿宋_GB2312" w:eastAsia="仿宋_GB2312" w:cs="仿宋_GB2312"/>
          <w:szCs w:val="32"/>
        </w:rPr>
        <w:t>智能化工”项目，加快大数据、云计算平台建设，拓展公共服务领域的智能化应用。</w:t>
      </w:r>
    </w:p>
    <w:p>
      <w:pPr>
        <w:pStyle w:val="15"/>
        <w:ind w:firstLine="31680"/>
      </w:pPr>
    </w:p>
    <w:p>
      <w:pPr>
        <w:ind w:firstLine="0" w:firstLineChars="0"/>
      </w:pPr>
    </w:p>
    <w:p>
      <w:pPr>
        <w:pStyle w:val="2"/>
        <w:ind w:firstLine="31680"/>
      </w:pPr>
    </w:p>
    <w:p>
      <w:pPr>
        <w:ind w:firstLine="31680"/>
      </w:pPr>
    </w:p>
    <w:p>
      <w:pPr>
        <w:ind w:firstLine="31680"/>
      </w:pPr>
    </w:p>
    <w:p>
      <w:pPr>
        <w:pStyle w:val="2"/>
        <w:ind w:firstLine="31680"/>
      </w:pPr>
    </w:p>
    <w:p>
      <w:pPr>
        <w:ind w:firstLine="31680"/>
      </w:pPr>
    </w:p>
    <w:p>
      <w:pPr>
        <w:pStyle w:val="2"/>
        <w:ind w:firstLine="0" w:firstLineChars="0"/>
      </w:pPr>
    </w:p>
    <w:p>
      <w:pPr>
        <w:ind w:firstLine="31680"/>
      </w:pPr>
      <w:r>
        <w:br w:type="page"/>
      </w:r>
    </w:p>
    <w:p>
      <w:pPr>
        <w:pStyle w:val="3"/>
        <w:spacing w:before="156" w:after="156"/>
      </w:pPr>
      <w:bookmarkStart w:id="96" w:name="_Toc4476"/>
      <w:r>
        <w:rPr>
          <w:rFonts w:hint="eastAsia"/>
        </w:rPr>
        <w:t>第九章</w:t>
      </w:r>
      <w:r>
        <w:t xml:space="preserve"> </w:t>
      </w:r>
      <w:r>
        <w:rPr>
          <w:rFonts w:hint="eastAsia"/>
        </w:rPr>
        <w:t>坚持绿色低碳发展，谱写生态文明发展新篇章</w:t>
      </w:r>
      <w:bookmarkEnd w:id="9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践行“绿水青山就是金山银山”的理念，坚持节约资源和保护环境的基本国策，坚持节约优先、保护优先、自然恢复为主的方针，高举绿色发展大旗，坚定走生产发展、生活富裕、生态良好的文明发展道路，全力打造天蓝地绿水清的美丽家园。</w:t>
      </w:r>
    </w:p>
    <w:p>
      <w:pPr>
        <w:pStyle w:val="4"/>
        <w:spacing w:before="156" w:after="156"/>
      </w:pPr>
      <w:bookmarkStart w:id="97" w:name="_Toc1159"/>
      <w:r>
        <w:rPr>
          <w:rFonts w:hint="eastAsia"/>
        </w:rPr>
        <w:t>第一节</w:t>
      </w:r>
      <w:r>
        <w:t xml:space="preserve"> </w:t>
      </w:r>
      <w:r>
        <w:rPr>
          <w:rFonts w:hint="eastAsia"/>
        </w:rPr>
        <w:t>改善生态环境质量</w:t>
      </w:r>
      <w:bookmarkEnd w:id="97"/>
    </w:p>
    <w:p>
      <w:pPr>
        <w:ind w:firstLine="31680"/>
        <w:rPr>
          <w:rFonts w:ascii="仿宋_GB2312" w:hAnsi="仿宋_GB2312" w:eastAsia="仿宋_GB2312" w:cs="仿宋_GB2312"/>
          <w:szCs w:val="32"/>
        </w:rPr>
      </w:pPr>
      <w:r>
        <w:rPr>
          <w:rFonts w:hint="eastAsia"/>
          <w:b/>
          <w:bCs/>
        </w:rPr>
        <w:t>全力打造鄱阳湖最美岸线。</w:t>
      </w:r>
      <w:r>
        <w:rPr>
          <w:rFonts w:hint="eastAsia" w:ascii="仿宋_GB2312" w:hAnsi="仿宋_GB2312" w:eastAsia="仿宋_GB2312" w:cs="仿宋_GB2312"/>
          <w:szCs w:val="32"/>
        </w:rPr>
        <w:t>深入实施“河长制”“湖长制”，大力开展云山水库水源地综合治理，加强艾城、恒丰、军山、吴城等已建成集镇污水厂和中心村污水处理设施运营维护。制定实施重点生态功能区产业准入负面清单，实施基本农田保护和重点河流生态修复示范工程。打造吴城望湖亭周边最美岸线，重点做好土地整理和基底修复，湿地植物种植的绿化工程，使修河河岸湿地成为一条视野宽阔、风景秀丽的鄱阳湖最美岸线。</w:t>
      </w:r>
    </w:p>
    <w:p>
      <w:pPr>
        <w:ind w:firstLine="31680"/>
        <w:rPr>
          <w:rFonts w:ascii="仿宋_GB2312" w:hAnsi="仿宋_GB2312" w:eastAsia="仿宋_GB2312" w:cs="仿宋_GB2312"/>
          <w:szCs w:val="32"/>
        </w:rPr>
      </w:pPr>
      <w:r>
        <w:rPr>
          <w:rFonts w:hint="eastAsia"/>
          <w:b/>
          <w:bCs/>
        </w:rPr>
        <w:t>加强林业生态建设。</w:t>
      </w:r>
      <w:r>
        <w:rPr>
          <w:rFonts w:hint="eastAsia" w:ascii="仿宋_GB2312" w:hAnsi="仿宋_GB2312" w:eastAsia="仿宋_GB2312" w:cs="仿宋_GB2312"/>
          <w:szCs w:val="32"/>
        </w:rPr>
        <w:t>严格落实“林长制”，进一步完善“一长两员”监管体系。加强非煤矿山管理，加快废弃、关闭矿山复耕复绿，打造生态文明示范乡镇，开展省级森林乡村创建工作，推进乡村森林公园建设，稳定森林覆盖率。打造</w:t>
      </w:r>
      <w:r>
        <w:rPr>
          <w:rFonts w:ascii="仿宋_GB2312" w:hAnsi="仿宋_GB2312" w:eastAsia="仿宋_GB2312" w:cs="仿宋_GB2312"/>
          <w:szCs w:val="32"/>
        </w:rPr>
        <w:t xml:space="preserve"> </w:t>
      </w:r>
      <w:r>
        <w:rPr>
          <w:rFonts w:hint="eastAsia" w:ascii="仿宋_GB2312" w:hAnsi="仿宋_GB2312" w:eastAsia="仿宋_GB2312" w:cs="仿宋_GB2312"/>
          <w:szCs w:val="32"/>
        </w:rPr>
        <w:t>“责任在县、运行在乡、管理在村”的森林资源源头管理和护林员网格化管理新机制，结合高清影像数据实现天、地、人一体化管理，定期向乡镇林长下达巡林提示单，汇总巡林情况。整合专职护林员队伍，全面实施森林资源网格化管理。</w:t>
      </w:r>
    </w:p>
    <w:p>
      <w:pPr>
        <w:ind w:firstLine="31680"/>
        <w:rPr>
          <w:rFonts w:ascii="仿宋_GB2312" w:hAnsi="仿宋_GB2312" w:eastAsia="仿宋_GB2312" w:cs="仿宋_GB2312"/>
          <w:szCs w:val="32"/>
        </w:rPr>
      </w:pPr>
      <w:r>
        <w:rPr>
          <w:rFonts w:hint="eastAsia"/>
          <w:b/>
          <w:bCs/>
        </w:rPr>
        <w:t>加强生物多样性保护。</w:t>
      </w:r>
      <w:r>
        <w:rPr>
          <w:rFonts w:hint="eastAsia" w:ascii="仿宋_GB2312" w:hAnsi="仿宋_GB2312" w:eastAsia="仿宋_GB2312" w:cs="仿宋_GB2312"/>
          <w:szCs w:val="32"/>
        </w:rPr>
        <w:t>依托全国首家生物多样性司法保护基地的建设，秉承严格执法、维护权益、注重预防、修复为主、公众参与等现代环境资源司法理念，通过巡回审判、法制宣传等形式，积极构建与鄱阳湖国家级自然保护区管理局双向互动机制，在推进生态文明建设进程中，更加有效地发挥司法的服务和保障职能，共同保护鄱阳湖“一池清水”和生物多样性生态环境。通过建设以国家公园为主体的自然保护地体系，实施水生生物资源养护工程，加快推进修河国家湿地公园基础建设，加强湿地候鸟保护，严厉打击破坏生态环境违法行为，保护水域生态安全，进一步修复和改善珍稀候鸟栖息地环境。</w:t>
      </w:r>
    </w:p>
    <w:p>
      <w:pPr>
        <w:ind w:firstLine="31680"/>
        <w:rPr>
          <w:rFonts w:ascii="仿宋_GB2312" w:hAnsi="仿宋_GB2312" w:eastAsia="仿宋_GB2312" w:cs="仿宋_GB2312"/>
          <w:szCs w:val="32"/>
        </w:rPr>
      </w:pPr>
      <w:r>
        <w:rPr>
          <w:rFonts w:hint="eastAsia"/>
          <w:b/>
          <w:bCs/>
        </w:rPr>
        <w:t>构建山水林田湖草生命共同体。</w:t>
      </w:r>
      <w:r>
        <w:rPr>
          <w:rFonts w:hint="eastAsia" w:ascii="仿宋_GB2312" w:hAnsi="仿宋_GB2312" w:eastAsia="仿宋_GB2312" w:cs="仿宋_GB2312"/>
          <w:szCs w:val="32"/>
        </w:rPr>
        <w:t>充分利用山、水、林、湿地等生态要素，有效组合各种自然资源和绿色空间，构建城乡一体化、点线面结合、和谐优美的生态环境建设体系。在“十四五”期间，通过实施生态保护修复重大工程，重点解决山水林田湖草生态保护修复中水土流失、矿山环境破坏、水环境污染等影响区域性生态安全问题，实施包括流域水环境保护与整治、矿山环境修复、水土流失治理、生态系统与生物多样性保护、土地整治与土壤改良等五大工程。</w:t>
      </w:r>
    </w:p>
    <w:p>
      <w:pPr>
        <w:pStyle w:val="4"/>
        <w:spacing w:before="156" w:after="156"/>
      </w:pPr>
      <w:bookmarkStart w:id="98" w:name="_Toc16001"/>
      <w:r>
        <w:rPr>
          <w:rFonts w:hint="eastAsia"/>
        </w:rPr>
        <w:t>第二节</w:t>
      </w:r>
      <w:r>
        <w:t xml:space="preserve"> </w:t>
      </w:r>
      <w:r>
        <w:rPr>
          <w:rFonts w:hint="eastAsia"/>
        </w:rPr>
        <w:t>深入推进环境整治</w:t>
      </w:r>
      <w:bookmarkEnd w:id="98"/>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坚决打赢污染防治攻坚战。</w:t>
      </w:r>
      <w:r>
        <w:rPr>
          <w:rFonts w:hint="eastAsia" w:ascii="仿宋_GB2312" w:hAnsi="仿宋_GB2312" w:eastAsia="仿宋_GB2312" w:cs="仿宋_GB2312"/>
          <w:szCs w:val="32"/>
        </w:rPr>
        <w:t>坚持精准治污、科学治污、依法治污、继续深入打好污染防治攻坚战，推动生态环境在较高水平上持续改善。纵深推进蓝天保卫战，在城市扬尘、城市餐饮油烟、工业废气、柴油货车污染、农作物秸秆综合利用与禁烧、城市烟花鞭炮禁放、船舶污染等问题上进行协同控制和协同治理，全县空气达到二级标准。全方位打好碧水保卫战，加大入河入湖排污口排查整治力度，坚决取缔非法排污口，实现排放水质实时监控，着力推进城乡河道整治全覆盖工程，完善水质监测监管体系，健全水源地长效治理和保护管理机制。高质量打好净土保卫战，强化建设用地污染管控与修复，组织开展建设用地污染防治专项行动，加强医疗废物和危险废物安全处置，加强塑料污染治理和塑料替代品推广，持续推进化肥农药减量化，确保土壤环境质量安全稳定。加强农业面源污染防治，以基本农田、重要农产品产地、特色农产品基地为监管重点，开展土壤污染防治和修复，严格管控畜禽养殖，实施农药化肥“负增长”行动，推广水产生态化养殖技术。加大城市环境噪声控制力度，充分利用环保举报、环保信访信息管理系统等平台，加强噪声污染信访投诉处置，畅通噪声污染投诉渠道，建立多部门的噪声污染投诉信息共享机制。加强与公安、交通、城管、铁路、民航等部门协调联动，严格各领域噪声排放源单位监管。加大固体废弃物处置力度。强化固体废物污染防治，贯彻落实国家固体废物进口管理制度改革措施，组织开展危险废物规范化管理考核、适时开展打击危险废物擅自处置专项行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0" w:firstLineChars="0"/>
              <w:jc w:val="center"/>
              <w:rPr>
                <w:rFonts w:cs="黑体"/>
              </w:rPr>
            </w:pPr>
            <w:r>
              <w:rPr>
                <w:rFonts w:hint="eastAsia" w:cs="黑体"/>
                <w:b/>
                <w:bCs/>
              </w:rPr>
              <w:t>专栏</w:t>
            </w:r>
            <w:r>
              <w:rPr>
                <w:rFonts w:cs="黑体"/>
                <w:b/>
                <w:bCs/>
              </w:rPr>
              <w:t xml:space="preserve">17  </w:t>
            </w:r>
            <w:r>
              <w:rPr>
                <w:rFonts w:hint="eastAsia" w:cs="黑体"/>
                <w:b/>
                <w:bCs/>
              </w:rPr>
              <w:t>环境治理重大工程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31680"/>
              <w:rPr>
                <w:rFonts w:cs="黑体"/>
                <w:b/>
                <w:bCs/>
              </w:rPr>
            </w:pPr>
            <w:r>
              <w:rPr>
                <w:rFonts w:hint="eastAsia" w:cs="黑体"/>
                <w:b/>
                <w:bCs/>
              </w:rPr>
              <w:t>（一）大气污染物减排工程</w:t>
            </w:r>
          </w:p>
          <w:p>
            <w:pPr>
              <w:pStyle w:val="15"/>
              <w:ind w:firstLine="31680"/>
              <w:rPr>
                <w:rFonts w:cs="黑体"/>
              </w:rPr>
            </w:pPr>
            <w:r>
              <w:rPr>
                <w:rFonts w:hint="eastAsia" w:cs="黑体"/>
              </w:rPr>
              <w:t>对所有大气重点污染源企业完成自动监测安装、联网工作，充分利用星火工业园智慧平台实时监测数据和企业在线监测数据，建设九江市永修县星火工业园废气监控加密及智慧监控平台升级项目。</w:t>
            </w:r>
          </w:p>
          <w:p>
            <w:pPr>
              <w:pStyle w:val="15"/>
              <w:ind w:firstLine="31680"/>
              <w:rPr>
                <w:rFonts w:cs="黑体"/>
                <w:b/>
                <w:bCs/>
              </w:rPr>
            </w:pPr>
            <w:r>
              <w:rPr>
                <w:rFonts w:hint="eastAsia" w:cs="黑体"/>
                <w:b/>
                <w:bCs/>
              </w:rPr>
              <w:t>（二）水环境污染治理工程</w:t>
            </w:r>
          </w:p>
          <w:p>
            <w:pPr>
              <w:pStyle w:val="15"/>
              <w:ind w:firstLine="31680"/>
              <w:rPr>
                <w:rFonts w:cs="黑体"/>
              </w:rPr>
            </w:pPr>
            <w:r>
              <w:rPr>
                <w:rFonts w:hint="eastAsia" w:cs="黑体"/>
              </w:rPr>
              <w:t>完善城镇污水处理管网工程建设，升级改造污水处理设施，强化脱氮除磷功能，落实好污泥处置等问题的整改。推进永修县水环境综合治理监管及应急预警体系建设项目，深入推进鄱阳湖沿线及修潦河沿线吴城镇、恒丰企业集团、三角乡、马口镇、永丰垦殖场、涂埠镇等污水处理项目建设。巩固黑臭水体治理成效，保证城区黑臭水体长治久清，落实建设九江市永修县乡镇集镇污水处理设施及配套管网</w:t>
            </w:r>
            <w:r>
              <w:rPr>
                <w:rFonts w:cs="黑体"/>
              </w:rPr>
              <w:t>PPP</w:t>
            </w:r>
            <w:r>
              <w:rPr>
                <w:rFonts w:hint="eastAsia" w:cs="黑体"/>
              </w:rPr>
              <w:t>项目和九江市永修县星火、云山、城南工业园雨污管网综合整治工程项目。</w:t>
            </w:r>
          </w:p>
          <w:p>
            <w:pPr>
              <w:pStyle w:val="15"/>
              <w:ind w:firstLine="31680"/>
              <w:rPr>
                <w:rFonts w:cs="黑体"/>
                <w:b/>
                <w:bCs/>
              </w:rPr>
            </w:pPr>
            <w:r>
              <w:rPr>
                <w:rFonts w:hint="eastAsia" w:cs="黑体"/>
                <w:b/>
                <w:bCs/>
              </w:rPr>
              <w:t>（三）土壤污染防治工程</w:t>
            </w:r>
          </w:p>
          <w:p>
            <w:pPr>
              <w:pStyle w:val="15"/>
              <w:ind w:firstLine="31680"/>
              <w:rPr>
                <w:rFonts w:cs="黑体"/>
              </w:rPr>
            </w:pPr>
            <w:r>
              <w:rPr>
                <w:rFonts w:hint="eastAsia" w:cs="黑体"/>
              </w:rPr>
              <w:t>组织开展建设用地污染防治专项行动，持续推进重点行业企业用地土壤污染状况调查工作，完成基础信息采集和风险筛查，确定采样调查清单，启动初步采样调查工作，建立建设用地土壤污染风险管控和修复名录。</w:t>
            </w:r>
          </w:p>
          <w:p>
            <w:pPr>
              <w:pStyle w:val="15"/>
              <w:ind w:firstLine="31680"/>
              <w:rPr>
                <w:rFonts w:cs="黑体"/>
                <w:b/>
                <w:bCs/>
              </w:rPr>
            </w:pPr>
            <w:r>
              <w:rPr>
                <w:rFonts w:hint="eastAsia" w:cs="黑体"/>
                <w:b/>
                <w:bCs/>
              </w:rPr>
              <w:t>（四）农业面源污染防治工程</w:t>
            </w:r>
          </w:p>
          <w:p>
            <w:pPr>
              <w:pStyle w:val="15"/>
              <w:ind w:firstLine="31680"/>
              <w:rPr>
                <w:rFonts w:cs="黑体"/>
              </w:rPr>
            </w:pPr>
            <w:r>
              <w:rPr>
                <w:rFonts w:hint="eastAsia" w:cs="黑体"/>
              </w:rPr>
              <w:t>防治畜禽养殖污染。规模化畜禽养殖场（小区）应根据污染防治需要，配套建设粪水贮存、处理、利用设施，规模化畜禽养殖场（小区）配套建设，对废弃物依法依规处置，开展九江市永修县杨柳津河</w:t>
            </w:r>
            <w:r>
              <w:rPr>
                <w:rFonts w:cs="黑体"/>
              </w:rPr>
              <w:t>-</w:t>
            </w:r>
            <w:r>
              <w:rPr>
                <w:rFonts w:hint="eastAsia" w:cs="黑体"/>
              </w:rPr>
              <w:t>修河流域农业面源污染治理项目。</w:t>
            </w:r>
          </w:p>
          <w:p>
            <w:pPr>
              <w:pStyle w:val="15"/>
              <w:ind w:firstLine="31680"/>
              <w:rPr>
                <w:rFonts w:cs="黑体"/>
                <w:b/>
                <w:bCs/>
              </w:rPr>
            </w:pPr>
            <w:r>
              <w:rPr>
                <w:rFonts w:hint="eastAsia" w:cs="黑体"/>
                <w:b/>
                <w:bCs/>
              </w:rPr>
              <w:t>（五）固体废物污染防治工程</w:t>
            </w:r>
          </w:p>
          <w:p>
            <w:pPr>
              <w:pStyle w:val="15"/>
              <w:ind w:firstLine="31680"/>
              <w:rPr>
                <w:rFonts w:cs="黑体"/>
              </w:rPr>
            </w:pPr>
            <w:r>
              <w:rPr>
                <w:rFonts w:hint="eastAsia" w:cs="黑体"/>
              </w:rPr>
              <w:t>推进一般工业固体废物治理，支持因地制宜建设处置点。加快建设九江市永修县垃圾焚烧发电厂项目，提升垃圾处理水平，改善生活环境质量。加快推进医疗废物处置能力建设。</w:t>
            </w:r>
          </w:p>
          <w:p>
            <w:pPr>
              <w:pStyle w:val="15"/>
              <w:ind w:firstLine="31680"/>
              <w:rPr>
                <w:rFonts w:cs="黑体"/>
                <w:b/>
                <w:bCs/>
              </w:rPr>
            </w:pPr>
            <w:r>
              <w:rPr>
                <w:rFonts w:hint="eastAsia" w:cs="黑体"/>
                <w:b/>
                <w:bCs/>
              </w:rPr>
              <w:t>（六）生物多样性保护工程</w:t>
            </w:r>
          </w:p>
          <w:p>
            <w:pPr>
              <w:pStyle w:val="15"/>
              <w:ind w:firstLine="31680"/>
              <w:rPr>
                <w:rFonts w:cs="黑体"/>
              </w:rPr>
            </w:pPr>
            <w:r>
              <w:rPr>
                <w:rFonts w:hint="eastAsia" w:cs="黑体"/>
              </w:rPr>
              <w:t>健全生物多样性保护管理体系，加大自然保护区建设，组织开展野生动植物资源调查，推进永修县吴城候鸟小镇生态系统工程，打造候鸟保护品牌。</w:t>
            </w:r>
          </w:p>
        </w:tc>
      </w:tr>
    </w:tbl>
    <w:p>
      <w:pPr>
        <w:pStyle w:val="4"/>
        <w:spacing w:before="156" w:after="156"/>
      </w:pPr>
      <w:bookmarkStart w:id="99" w:name="_Toc24941"/>
      <w:r>
        <w:rPr>
          <w:rFonts w:hint="eastAsia"/>
        </w:rPr>
        <w:t>第三节</w:t>
      </w:r>
      <w:r>
        <w:t xml:space="preserve"> </w:t>
      </w:r>
      <w:r>
        <w:rPr>
          <w:rFonts w:hint="eastAsia"/>
        </w:rPr>
        <w:t>加快推动绿色低碳发展</w:t>
      </w:r>
      <w:bookmarkEnd w:id="99"/>
    </w:p>
    <w:p>
      <w:pPr>
        <w:ind w:firstLine="31680"/>
        <w:rPr>
          <w:rFonts w:ascii="仿宋_GB2312" w:hAnsi="仿宋_GB2312" w:eastAsia="仿宋_GB2312" w:cs="仿宋_GB2312"/>
          <w:szCs w:val="32"/>
        </w:rPr>
      </w:pPr>
      <w:r>
        <w:rPr>
          <w:rFonts w:hint="eastAsia"/>
          <w:b/>
          <w:bCs/>
        </w:rPr>
        <w:t>推行绿色生产方式。</w:t>
      </w:r>
      <w:r>
        <w:rPr>
          <w:rFonts w:hint="eastAsia" w:ascii="仿宋_GB2312" w:hAnsi="仿宋_GB2312" w:eastAsia="仿宋_GB2312" w:cs="仿宋_GB2312"/>
          <w:szCs w:val="32"/>
        </w:rPr>
        <w:t>大力发展生态循环农业，打造生态环保产业基地，积极推进化肥、农药减量，加快节水农业、生态农业发展，打造绿色农业产业体系。加快传统产业绿色转型升级步伐，积极推动清洁能源低碳安全高效利用，引导企业加大绿色生产技术的应用，实现生产线绿色化改造，鼓励园区企业大力发展清洁生产、清洁能源、基础设施绿色升级等产业。完善绿色产业指导目录，健全落后产能退出机制。大力发展绿色建筑。创新发展绿色金融，支持金融机构创新绿色信贷产品和服务。</w:t>
      </w:r>
    </w:p>
    <w:p>
      <w:pPr>
        <w:ind w:firstLine="31680"/>
        <w:rPr>
          <w:rFonts w:ascii="仿宋_GB2312" w:hAnsi="仿宋_GB2312" w:eastAsia="仿宋_GB2312" w:cs="仿宋_GB2312"/>
          <w:szCs w:val="32"/>
        </w:rPr>
      </w:pPr>
      <w:r>
        <w:rPr>
          <w:rFonts w:hint="eastAsia"/>
          <w:b/>
          <w:bCs/>
        </w:rPr>
        <w:t>倡导绿色生活和消费方式。</w:t>
      </w:r>
      <w:r>
        <w:rPr>
          <w:rFonts w:hint="eastAsia" w:ascii="仿宋_GB2312" w:hAnsi="仿宋_GB2312" w:eastAsia="仿宋_GB2312" w:cs="仿宋_GB2312"/>
          <w:szCs w:val="32"/>
        </w:rPr>
        <w:t>大力开展绿色生活创建活动，全面开展生活垃圾分类，着力构建垃圾分类回收利用和处理体系；推广使用可循环利用物品，推动资源化循环化利用；倡导绿色出行，引导公众养成绿色低碳的生活习惯和理念，实施节能新能源汽车，加快构建便利高效的充电网络体系，提升现代化客运服务水平，推进实施旅客联城联运，引导居民采用“步行</w:t>
      </w:r>
      <w:r>
        <w:rPr>
          <w:rFonts w:ascii="仿宋_GB2312" w:hAnsi="仿宋_GB2312" w:eastAsia="仿宋_GB2312" w:cs="仿宋_GB2312"/>
          <w:szCs w:val="32"/>
        </w:rPr>
        <w:t>+</w:t>
      </w:r>
      <w:r>
        <w:rPr>
          <w:rFonts w:hint="eastAsia" w:ascii="仿宋_GB2312" w:hAnsi="仿宋_GB2312" w:eastAsia="仿宋_GB2312" w:cs="仿宋_GB2312"/>
          <w:szCs w:val="32"/>
        </w:rPr>
        <w:t>公交”“自行车</w:t>
      </w:r>
      <w:r>
        <w:rPr>
          <w:rFonts w:ascii="仿宋_GB2312" w:hAnsi="仿宋_GB2312" w:eastAsia="仿宋_GB2312" w:cs="仿宋_GB2312"/>
          <w:szCs w:val="32"/>
        </w:rPr>
        <w:t>+</w:t>
      </w:r>
      <w:r>
        <w:rPr>
          <w:rFonts w:hint="eastAsia" w:ascii="仿宋_GB2312" w:hAnsi="仿宋_GB2312" w:eastAsia="仿宋_GB2312" w:cs="仿宋_GB2312"/>
          <w:szCs w:val="32"/>
        </w:rPr>
        <w:t>公交”的出行模式；全面实施绿色办公，建立废旧办公用品回收机制。建立完善低碳循环经济体系，增加绿色产品供给和消费。</w:t>
      </w:r>
    </w:p>
    <w:p>
      <w:pPr>
        <w:pStyle w:val="4"/>
        <w:spacing w:before="156" w:after="156"/>
      </w:pPr>
      <w:bookmarkStart w:id="100" w:name="_Toc10124"/>
      <w:r>
        <w:rPr>
          <w:rFonts w:hint="eastAsia"/>
        </w:rPr>
        <w:t>第四节</w:t>
      </w:r>
      <w:r>
        <w:t xml:space="preserve"> </w:t>
      </w:r>
      <w:r>
        <w:rPr>
          <w:rFonts w:hint="eastAsia"/>
        </w:rPr>
        <w:t>完善生态文明制度</w:t>
      </w:r>
      <w:bookmarkEnd w:id="100"/>
    </w:p>
    <w:p>
      <w:pPr>
        <w:ind w:firstLine="31680"/>
        <w:rPr>
          <w:rFonts w:ascii="仿宋_GB2312" w:hAnsi="仿宋_GB2312" w:eastAsia="仿宋_GB2312" w:cs="仿宋_GB2312"/>
          <w:szCs w:val="32"/>
        </w:rPr>
      </w:pPr>
      <w:r>
        <w:rPr>
          <w:rFonts w:hint="eastAsia"/>
          <w:b/>
          <w:bCs/>
        </w:rPr>
        <w:t>完善资源高效利用制度。</w:t>
      </w:r>
      <w:r>
        <w:rPr>
          <w:rFonts w:hint="eastAsia" w:ascii="仿宋_GB2312" w:hAnsi="仿宋_GB2312" w:eastAsia="仿宋_GB2312" w:cs="仿宋_GB2312"/>
          <w:szCs w:val="32"/>
        </w:rPr>
        <w:t>完善环境保护、节能减排约束性指标管理，实行能源、水资源消耗、建设用地等总量和强度双控行动。建立碳排放和水资源刚性约束制度，完善空气污染物预警监测力度，精准科学实施季节性差异化管控措施，建立健全重点领域资源环境价格制度，实现生态环境成本内部化；完善水质监测监管体系，健全水源地长效治理和保护管理机制。全面落实保护发展森林资源目标责任制，建立对重点行业企业用地土壤污染状况的监督和修复机制，建立健全化学品、持久性有机污染物、危险废物等环境风险防范与应急管理工作机制。</w:t>
      </w:r>
    </w:p>
    <w:p>
      <w:pPr>
        <w:ind w:firstLine="31680"/>
        <w:rPr>
          <w:rFonts w:ascii="仿宋_GB2312" w:hAnsi="仿宋_GB2312" w:eastAsia="仿宋_GB2312" w:cs="仿宋_GB2312"/>
          <w:szCs w:val="32"/>
        </w:rPr>
      </w:pPr>
      <w:r>
        <w:rPr>
          <w:rFonts w:hint="eastAsia"/>
          <w:b/>
          <w:bCs/>
        </w:rPr>
        <w:t>深化生态文明体制改革。</w:t>
      </w:r>
      <w:r>
        <w:rPr>
          <w:rFonts w:hint="eastAsia" w:ascii="仿宋_GB2312" w:hAnsi="仿宋_GB2312" w:eastAsia="仿宋_GB2312" w:cs="仿宋_GB2312"/>
          <w:szCs w:val="32"/>
        </w:rPr>
        <w:t>建立安全可靠的生态环保体系。完善空间用途管制措施，严守生态保护红线、耕田和永久基本农田保护红线、水资源保护红线。积极探索开展碳排放权、排污权、用能权、水权等交易试点。提高绿色门槛，强化资源高消耗行业的市场准入条件，强化重点行业污染物减排的监管，加强生态区域保护、环境综合治理和生物多样性保护。健全生态文明长效考核制度体系。加大对城乡环境长效管护机制。完善生态文明建设考核评价、约谈问责制度。将生态文化知识和生态意识教育纳入国民教育和继续教育体系，加强生态教育能力建设。创新环保司法和执法体制，探索成立生态综合执法机构，探索自然资源资产负责表编制试点、党政领导干部自然资源资产离任审计试点。</w:t>
      </w:r>
    </w:p>
    <w:p>
      <w:pPr>
        <w:ind w:firstLine="31680"/>
        <w:rPr>
          <w:rFonts w:ascii="仿宋_GB2312" w:hAnsi="仿宋_GB2312" w:eastAsia="仿宋_GB2312" w:cs="仿宋_GB2312"/>
          <w:szCs w:val="32"/>
        </w:rPr>
      </w:pPr>
      <w:r>
        <w:rPr>
          <w:rFonts w:hint="eastAsia"/>
          <w:b/>
          <w:bCs/>
        </w:rPr>
        <w:t>落实生态环境保护责任制度。</w:t>
      </w:r>
      <w:r>
        <w:rPr>
          <w:rFonts w:hint="eastAsia" w:ascii="仿宋_GB2312" w:hAnsi="仿宋_GB2312" w:eastAsia="仿宋_GB2312" w:cs="仿宋_GB2312"/>
          <w:szCs w:val="32"/>
        </w:rPr>
        <w:t>完善生态文明建设目标评价考核制度，健全绿色发展评估体系，构建党委领导、政府主导、部门协同、企业主体、社会参与的生态环境保护工作机制。严格执行领导干部自然资源资产离任审计和任职期间自然资源资产审计制度。实行生态环境保护综合行政执法，落实中央生态环境保护督察制度，健全县级生态环境保护督察和区域环境监察体制机制。构建科学、独立、权威、高效的生态环境监测和评价体系，制定全覆盖、可追溯的生态环境监测全过程控制制度。规范发展环保社会组织，健全生态环境公益诉讼工作机制，加强检察机关提起公益诉讼工作。落实生态环境损害赔偿制度，实行生态环境损害责任终身追究制。</w:t>
      </w:r>
    </w:p>
    <w:p>
      <w:pPr>
        <w:ind w:firstLine="31680"/>
        <w:rPr>
          <w:rFonts w:ascii="仿宋_GB2312" w:hAnsi="仿宋_GB2312" w:eastAsia="仿宋_GB2312" w:cs="仿宋_GB2312"/>
          <w:szCs w:val="32"/>
        </w:rPr>
      </w:pPr>
      <w:r>
        <w:rPr>
          <w:rFonts w:hint="eastAsia"/>
          <w:b/>
          <w:bCs/>
        </w:rPr>
        <w:t>建立绿水青山与金山银山双向转换机制。</w:t>
      </w:r>
      <w:r>
        <w:rPr>
          <w:rFonts w:hint="eastAsia" w:ascii="仿宋_GB2312" w:hAnsi="仿宋_GB2312" w:eastAsia="仿宋_GB2312" w:cs="仿宋_GB2312"/>
          <w:szCs w:val="32"/>
        </w:rPr>
        <w:t>强化生态有价、绿色资产的观念，提升绿色资源转换率。健全全民所有自然资源资产有偿使用制度改革试点，健全自然资源资产有偿使用制度。建立生态产品价值核算体系，健全生态资产与生态产品市场交易的体制机制，推进环境污染责任保险、企业环境信用评价、绿色信贷等环境政策，不断挖掘和实现生态产品的市场价值。健全生态补偿制度，建立多元化多渠道的补偿资金筹措机制。</w:t>
      </w:r>
    </w:p>
    <w:p>
      <w:pPr>
        <w:ind w:firstLine="31680"/>
      </w:pPr>
      <w:r>
        <w:br w:type="page"/>
      </w:r>
    </w:p>
    <w:p>
      <w:pPr>
        <w:pStyle w:val="3"/>
        <w:spacing w:before="156" w:after="156"/>
      </w:pPr>
      <w:bookmarkStart w:id="101" w:name="_Toc28180"/>
      <w:r>
        <w:rPr>
          <w:rFonts w:hint="eastAsia"/>
        </w:rPr>
        <w:t>第十章</w:t>
      </w:r>
      <w:r>
        <w:t xml:space="preserve"> </w:t>
      </w:r>
      <w:r>
        <w:rPr>
          <w:rFonts w:hint="eastAsia"/>
        </w:rPr>
        <w:t>厚植县域文化内涵，着力打造以文兴城新样板</w:t>
      </w:r>
      <w:bookmarkEnd w:id="10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以社会主义核心价值观引领文化建设，不断提高社会文明程度，挖掘和传承永修特色文化底蕴，坚定文化自信，围绕建设文化强县，坚持文化为人民服务、为社会主义服务，基本形成覆盖城乡普惠式的公共文化供给服务体系，以文化建设的丰硕成果满足人民群众多层次、多方面、多样化的精神文化需求。</w:t>
      </w:r>
    </w:p>
    <w:p>
      <w:pPr>
        <w:pStyle w:val="4"/>
        <w:spacing w:before="156" w:after="156"/>
      </w:pPr>
      <w:bookmarkStart w:id="102" w:name="_Toc2582"/>
      <w:r>
        <w:rPr>
          <w:rFonts w:hint="eastAsia"/>
        </w:rPr>
        <w:t>第一节</w:t>
      </w:r>
      <w:r>
        <w:t xml:space="preserve"> </w:t>
      </w:r>
      <w:r>
        <w:rPr>
          <w:rFonts w:hint="eastAsia"/>
        </w:rPr>
        <w:t>全面提高社会文明程度</w:t>
      </w:r>
      <w:bookmarkEnd w:id="102"/>
    </w:p>
    <w:p>
      <w:pPr>
        <w:ind w:firstLine="31680"/>
        <w:rPr>
          <w:rFonts w:ascii="仿宋_GB2312" w:hAnsi="仿宋_GB2312" w:eastAsia="仿宋_GB2312" w:cs="仿宋_GB2312"/>
          <w:szCs w:val="32"/>
        </w:rPr>
      </w:pPr>
      <w:r>
        <w:rPr>
          <w:rFonts w:hint="eastAsia"/>
          <w:b/>
          <w:bCs/>
        </w:rPr>
        <w:t>落实意识形态工作常态化。</w:t>
      </w:r>
      <w:r>
        <w:rPr>
          <w:rFonts w:hint="eastAsia" w:ascii="仿宋_GB2312" w:hAnsi="仿宋_GB2312" w:eastAsia="仿宋_GB2312" w:cs="仿宋_GB2312"/>
          <w:szCs w:val="32"/>
        </w:rPr>
        <w:t>加强理论宣传阐释，创新学习宣传方式，注重实效，办好“新时代文明实践中心”，加强融媒体中心建设，推广“学习强国”平台应用，推动习近平新时代中国特色社会主义思想进企业、进农村、进机关、进校园、进社区。健全党委</w:t>
      </w:r>
      <w:r>
        <w:rPr>
          <w:rFonts w:ascii="仿宋_GB2312" w:hAnsi="仿宋_GB2312" w:eastAsia="仿宋_GB2312" w:cs="仿宋_GB2312"/>
          <w:szCs w:val="32"/>
        </w:rPr>
        <w:t>(</w:t>
      </w:r>
      <w:r>
        <w:rPr>
          <w:rFonts w:hint="eastAsia" w:ascii="仿宋_GB2312" w:hAnsi="仿宋_GB2312" w:eastAsia="仿宋_GB2312" w:cs="仿宋_GB2312"/>
          <w:szCs w:val="32"/>
        </w:rPr>
        <w:t>党组</w:t>
      </w:r>
      <w:r>
        <w:rPr>
          <w:rFonts w:ascii="仿宋_GB2312" w:hAnsi="仿宋_GB2312" w:eastAsia="仿宋_GB2312" w:cs="仿宋_GB2312"/>
          <w:szCs w:val="32"/>
        </w:rPr>
        <w:t>)</w:t>
      </w:r>
      <w:r>
        <w:rPr>
          <w:rFonts w:hint="eastAsia" w:ascii="仿宋_GB2312" w:hAnsi="仿宋_GB2312" w:eastAsia="仿宋_GB2312" w:cs="仿宋_GB2312"/>
          <w:szCs w:val="32"/>
        </w:rPr>
        <w:t>意识形态领城重大情况分析研判和定期通报制度，常态化开展意识形态工作专项巡察，强化对意识形态领域阵地建设和管理。</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持续提升公民文明素养。</w:t>
      </w:r>
      <w:r>
        <w:rPr>
          <w:rFonts w:hint="eastAsia" w:ascii="仿宋_GB2312" w:hAnsi="仿宋_GB2312" w:eastAsia="仿宋_GB2312" w:cs="仿宋_GB2312"/>
          <w:szCs w:val="32"/>
        </w:rPr>
        <w:t>完善理想信念教育常态化开展机制，弘扬民族精神和时代精神，加强党史、新中国史、改革开放史教育，加强新时代爱国主义、集体主义、社会主义教育，弘扬党和人民在各个历史时期奋斗中形成的伟大精神。以创建“全省文明城市”为契机，推动新时代公民道德建设常态化、制度化，完善守法诚信褒奖、违法失信惩戒机制和文明志愿服务、诚信建设长效机制。完善红色资源保护体系，实施爱国主义教育基地展陈提升工程。实施中华优秀传统文化传承发展工程。完善青少年理想信念教育齐抓共管机制。完善激励诚信、惩戒失信和奖励协同机制，弘扬诚信文化，建设诚信社会。健全志愿服务体系，广泛开展志愿服务关爱行动。</w:t>
      </w:r>
    </w:p>
    <w:p>
      <w:pPr>
        <w:ind w:firstLine="31680"/>
        <w:rPr>
          <w:rFonts w:ascii="仿宋_GB2312" w:hAnsi="仿宋_GB2312" w:eastAsia="仿宋_GB2312" w:cs="仿宋_GB2312"/>
          <w:szCs w:val="32"/>
        </w:rPr>
      </w:pPr>
      <w:r>
        <w:rPr>
          <w:rFonts w:hint="eastAsia"/>
          <w:b/>
          <w:bCs/>
        </w:rPr>
        <w:t>健全人民文化权益保障制度。</w:t>
      </w:r>
      <w:r>
        <w:rPr>
          <w:rFonts w:hint="eastAsia" w:ascii="仿宋_GB2312" w:hAnsi="仿宋_GB2312" w:eastAsia="仿宋_GB2312" w:cs="仿宋_GB2312"/>
          <w:szCs w:val="32"/>
        </w:rPr>
        <w:t>坚持以人民为中心的工作导向，加强文艺创作规划引导，推出更多群众喜爱的文化精品。充分发挥国家公共文化服务体系示范区的引领带动作用，提升文化惠民效能。创新文艺创作评价激励机制，探索建立政府引导、市场主体、多方参与的运作模式，形成科学化、规范化、制度化的文艺创作管理机制。完善文艺工作者职业道德建设工作机制，完善倡导讲格调讲责任、抵制低俗庸俗媚俗的工作机制。</w:t>
      </w:r>
    </w:p>
    <w:p>
      <w:pPr>
        <w:ind w:firstLine="31680"/>
      </w:pPr>
      <w:r>
        <w:rPr>
          <w:rFonts w:hint="eastAsia"/>
          <w:b/>
          <w:bCs/>
        </w:rPr>
        <w:t>加强思想文化阵地建设。</w:t>
      </w:r>
      <w:r>
        <w:rPr>
          <w:rFonts w:hint="eastAsia" w:ascii="仿宋_GB2312" w:hAnsi="仿宋_GB2312" w:eastAsia="仿宋_GB2312" w:cs="仿宋_GB2312"/>
          <w:szCs w:val="32"/>
        </w:rPr>
        <w:t>加强党对新闻舆论工作的全面领导，坚持正确政治方向、舆论导向、价值取向，把握好时度效，唱响主旋律，弘扬正能量，唱响永修好声音。改进和创新正面宣传，推进传统媒体与新兴媒体深度融合，发挥县融媒体中心重要作用，在全县构建网上网下一体、内宣外宣联动的主流舆论格局，建立以内容建设为根本、先进技术为支撑、创新管理为保障的全媒体传播体系。筑牢网络文化阵地，全面净化网络舆论环境，旗帜鲜明反对和抵制各种错误观点，发展积极健康的网络文化，营造清朗的网络空间。</w:t>
      </w:r>
    </w:p>
    <w:p>
      <w:pPr>
        <w:pStyle w:val="4"/>
        <w:spacing w:before="156" w:after="156"/>
      </w:pPr>
      <w:bookmarkStart w:id="103" w:name="_Toc23985"/>
      <w:r>
        <w:rPr>
          <w:rFonts w:hint="eastAsia"/>
        </w:rPr>
        <w:t>第二节</w:t>
      </w:r>
      <w:r>
        <w:t xml:space="preserve"> </w:t>
      </w:r>
      <w:r>
        <w:rPr>
          <w:rFonts w:hint="eastAsia"/>
        </w:rPr>
        <w:t>推进优秀传统文化传承</w:t>
      </w:r>
      <w:bookmarkEnd w:id="103"/>
    </w:p>
    <w:p>
      <w:pPr>
        <w:ind w:firstLine="31680"/>
        <w:rPr>
          <w:rFonts w:ascii="仿宋_GB2312" w:hAnsi="仿宋_GB2312" w:eastAsia="仿宋_GB2312" w:cs="仿宋_GB2312"/>
        </w:rPr>
      </w:pPr>
      <w:r>
        <w:rPr>
          <w:rFonts w:hint="eastAsia" w:ascii="仿宋_GB2312" w:hAnsi="仿宋_GB2312" w:eastAsia="仿宋_GB2312" w:cs="仿宋_GB2312"/>
          <w:b/>
          <w:bCs/>
        </w:rPr>
        <w:t>大力传承红色基因。</w:t>
      </w:r>
      <w:r>
        <w:rPr>
          <w:rFonts w:hint="eastAsia" w:ascii="仿宋_GB2312" w:hAnsi="仿宋_GB2312" w:eastAsia="仿宋_GB2312" w:cs="仿宋_GB2312"/>
        </w:rPr>
        <w:t>加强对赣东北及永修红色革命历史的深度挖掘，整理保护革命文献、遗迹、实物、故事、口述史料等，推出一批红色文化研究成果，诠释永修红色文化的丰富内涵，加大红色教育培训力度，让广大干部群众在红色教育中汲取强大的信仰力量。积极挖掘永修革命历史，讲好永修红色故事。加强红色资源统筹规划，充分用好马口李家祠堂、九合淦氏祠堂、滩溪甘棠祠堂旧址等红色遗存。修建修河保卫战纪念碑，依托王经燕组工干部学院，加大艾城、九合革命烈士纪念馆建设力度，打造永修红色教育基地，策划推出一批红色主题展览。实施红色经典出版文化工程，系统整理永修革命先烈事迹。通过微电影拍摄、微视频制作、丫丫戏编排等方式，大力宣传永修革命历史。持续深入开展诵读红色家书和红色经典故事宣介活动。</w:t>
      </w:r>
    </w:p>
    <w:p>
      <w:pPr>
        <w:ind w:firstLine="31680"/>
        <w:rPr>
          <w:rFonts w:ascii="仿宋_GB2312" w:hAnsi="仿宋_GB2312" w:eastAsia="仿宋_GB2312" w:cs="仿宋_GB2312"/>
          <w:szCs w:val="32"/>
        </w:rPr>
      </w:pPr>
      <w:r>
        <w:rPr>
          <w:rFonts w:hint="eastAsia"/>
          <w:b/>
          <w:bCs/>
        </w:rPr>
        <w:t>加强传统文化传承与保护。</w:t>
      </w:r>
      <w:r>
        <w:rPr>
          <w:rFonts w:hint="eastAsia" w:ascii="仿宋_GB2312" w:hAnsi="仿宋_GB2312" w:eastAsia="仿宋_GB2312" w:cs="仿宋_GB2312"/>
          <w:szCs w:val="32"/>
        </w:rPr>
        <w:t>加强对永修优秀传统文化时代价值的研究阐释，深化赣商文化、禅宗文化、海昏文化、书院文化、磨刀李文化、样式雷文化、红色文化、农垦文化、建昌茶文化、知青文化等十大永修特色文化研究，推出一批研究成果。建立永修县特色文化研究专家指导委员会，挖掘特色文化资料，整理出版永修特色文化丛书。在政府主导的基础上，充分调动民间组织的积极性，有效组织开展系列学术研讨和活化、利用、展示等工作。大力传承和发展民间传统手工艺，建立传统手工民间艺人档案库，举办永修县传统手工艺大赛。加强历史文献整理和档案资源建设，推进永修优秀传统文化丛书编辑出版，建立永修历史文化资源大数据库。深挖永修文化艺术资料，编纂出版《永修县文化艺术志》。</w:t>
      </w:r>
    </w:p>
    <w:p>
      <w:pPr>
        <w:ind w:firstLine="31680"/>
        <w:rPr>
          <w:rFonts w:ascii="仿宋_GB2312" w:hAnsi="仿宋_GB2312" w:eastAsia="仿宋_GB2312" w:cs="仿宋_GB2312"/>
          <w:szCs w:val="32"/>
        </w:rPr>
      </w:pPr>
      <w:r>
        <w:rPr>
          <w:rFonts w:hint="eastAsia"/>
          <w:b/>
          <w:bCs/>
        </w:rPr>
        <w:t>加强文物资源保护利用。</w:t>
      </w:r>
      <w:r>
        <w:rPr>
          <w:rFonts w:hint="eastAsia" w:ascii="仿宋_GB2312" w:hAnsi="仿宋_GB2312" w:eastAsia="仿宋_GB2312" w:cs="仿宋_GB2312"/>
          <w:szCs w:val="32"/>
        </w:rPr>
        <w:t>加强各级别文保单位的保护利用，尤其做好国家、省级文物保护单位的保护利用。加强县级文化物保护单位的资源保护和展示利用，按轻重缓急对存在安全隐患的县级文保单位进行本体维修保护。加强文物周边环境的保护整治，充分利用已维修、好管理、有布展条件的红色文化遗存进行陈列展示，提高县级文保单位保护水平。落实文物保护“五纳入”，提高县本级文物保护管理工作经费投入水平。支持村史馆的建设，重点打造马口李家祠堂（中共永修县委旧址）、九合淦氏祠堂（中共永修县委旧址）、滩溪甘棠祠堂（甘棠暴动旧址）、梅棠新庄村样式雷祖屋、三溪桥横山村磨刀李祠堂、立新北徐村史官（文革前后报纸资料）、燕坊江垅村九山洼知青画苑（文革知青旧址）等地，建立健全革命遗址产权保护机制，将文物遗存逐步收归乡、村两级管理。</w:t>
      </w:r>
    </w:p>
    <w:p>
      <w:pPr>
        <w:ind w:firstLine="31680"/>
        <w:rPr>
          <w:rFonts w:ascii="仿宋_GB2312" w:hAnsi="仿宋_GB2312" w:eastAsia="仿宋_GB2312" w:cs="仿宋_GB2312"/>
          <w:szCs w:val="32"/>
        </w:rPr>
      </w:pPr>
      <w:r>
        <w:rPr>
          <w:rFonts w:hint="eastAsia"/>
          <w:b/>
          <w:bCs/>
        </w:rPr>
        <w:t>加强非遗资源保护传承和利用。</w:t>
      </w:r>
      <w:r>
        <w:rPr>
          <w:rFonts w:hint="eastAsia" w:ascii="仿宋_GB2312" w:hAnsi="仿宋_GB2312" w:eastAsia="仿宋_GB2312" w:cs="仿宋_GB2312"/>
          <w:szCs w:val="32"/>
        </w:rPr>
        <w:t>推进国家、省级非物质文化遗产生产性保护示范基地、研究基地、传承基地和传播基地建设，重点推出一批市场前景广阔、深受群众喜爱的非遗特色企业和特色产品。加快实施传统工艺振兴计划，公布一批“永修县传统工艺振兴目录”。逐年增加县财政非物质文化遗产保护经费投入，完善非物质文化遗产保护体系，建立非物质文化遗产保护长效机制。完善非遗数据库，深入挖掘非遗项目内涵，开展非遗理论研究工作。抓好非遗进校园、进社区、进广场、进企业、进景区，让非遗走进群众日常生活，让文化遗产活起来、用起来、火起来。积极打造非物质文化遗产村（社区）、非物质文化遗产旅游景区。大力打造乡土文化平台，强化县城广场、重要建筑、道路特色文化展示力度和水平。</w:t>
      </w:r>
    </w:p>
    <w:p>
      <w:pPr>
        <w:pStyle w:val="4"/>
        <w:spacing w:before="156" w:after="156"/>
      </w:pPr>
      <w:bookmarkStart w:id="104" w:name="_Toc28331"/>
      <w:r>
        <w:rPr>
          <w:rFonts w:hint="eastAsia"/>
        </w:rPr>
        <w:t>第三节</w:t>
      </w:r>
      <w:r>
        <w:t xml:space="preserve"> </w:t>
      </w:r>
      <w:r>
        <w:rPr>
          <w:rFonts w:hint="eastAsia"/>
        </w:rPr>
        <w:t>促进文化事业繁荣发展</w:t>
      </w:r>
      <w:bookmarkEnd w:id="104"/>
    </w:p>
    <w:p>
      <w:pPr>
        <w:ind w:firstLine="31680"/>
        <w:rPr>
          <w:rFonts w:ascii="仿宋_GB2312" w:hAnsi="仿宋_GB2312" w:eastAsia="仿宋_GB2312" w:cs="仿宋_GB2312"/>
          <w:szCs w:val="32"/>
        </w:rPr>
      </w:pPr>
      <w:r>
        <w:rPr>
          <w:rFonts w:hint="eastAsia"/>
          <w:b/>
          <w:bCs/>
        </w:rPr>
        <w:t>完善公共文化服务体系。</w:t>
      </w:r>
      <w:r>
        <w:rPr>
          <w:rFonts w:hint="eastAsia" w:ascii="仿宋_GB2312" w:hAnsi="仿宋_GB2312" w:eastAsia="仿宋_GB2312" w:cs="仿宋_GB2312"/>
          <w:szCs w:val="32"/>
        </w:rPr>
        <w:t>推进城市书屋、社区书吧、校园书吧及社区阅报栏、电子阅报屏、健身设施建设，把优质公共文化体育服务向基层延伸。逐步形成主城区和中心镇</w:t>
      </w:r>
      <w:r>
        <w:rPr>
          <w:rFonts w:ascii="仿宋_GB2312" w:hAnsi="仿宋_GB2312" w:eastAsia="仿宋_GB2312" w:cs="仿宋_GB2312"/>
          <w:szCs w:val="32"/>
        </w:rPr>
        <w:t>15</w:t>
      </w:r>
      <w:r>
        <w:rPr>
          <w:rFonts w:hint="eastAsia" w:ascii="仿宋_GB2312" w:hAnsi="仿宋_GB2312" w:eastAsia="仿宋_GB2312" w:cs="仿宋_GB2312"/>
          <w:szCs w:val="32"/>
        </w:rPr>
        <w:t>分钟、一般村镇</w:t>
      </w:r>
      <w:r>
        <w:rPr>
          <w:rFonts w:ascii="仿宋_GB2312" w:hAnsi="仿宋_GB2312" w:eastAsia="仿宋_GB2312" w:cs="仿宋_GB2312"/>
          <w:szCs w:val="32"/>
        </w:rPr>
        <w:t>20</w:t>
      </w:r>
      <w:r>
        <w:rPr>
          <w:rFonts w:hint="eastAsia" w:ascii="仿宋_GB2312" w:hAnsi="仿宋_GB2312" w:eastAsia="仿宋_GB2312" w:cs="仿宋_GB2312"/>
          <w:szCs w:val="32"/>
        </w:rPr>
        <w:t>分钟的“公共文化体育服务圈”，形成县有文化馆、图书馆、博物馆、美术馆、体育馆五馆的文化设施网络格局，鼓励公共文化机构在城区、工业园区建设分支机构、服务网点，推进数字广播电视户户通和应急广播村村通。</w:t>
      </w:r>
    </w:p>
    <w:p>
      <w:pPr>
        <w:ind w:firstLine="31680"/>
        <w:rPr>
          <w:rFonts w:ascii="仿宋_GB2312" w:hAnsi="仿宋_GB2312" w:eastAsia="仿宋_GB2312" w:cs="仿宋_GB2312"/>
          <w:szCs w:val="32"/>
        </w:rPr>
      </w:pPr>
      <w:r>
        <w:rPr>
          <w:rFonts w:hint="eastAsia"/>
          <w:b/>
          <w:bCs/>
        </w:rPr>
        <w:t>创新公共文化服务运行机制。</w:t>
      </w:r>
      <w:r>
        <w:rPr>
          <w:rFonts w:hint="eastAsia" w:ascii="仿宋_GB2312" w:hAnsi="仿宋_GB2312" w:eastAsia="仿宋_GB2312" w:cs="仿宋_GB2312"/>
          <w:szCs w:val="32"/>
        </w:rPr>
        <w:t>建立公共文化服务绩效管理平台，破解公共文化服务监管难题。支持民办博物馆、图书馆、体育场馆等公益性文化体育机构发展，用好乡镇综合文化站、村级文化服务中心终端设备，大力开展农村文化“三项”活动、传统工艺展示和民俗表演活动，组织“红色文艺轻骑兵”常态化深入基层，开展公益性文化志愿服务活动。探索推进公共文化服务设施所有权与经营权分离，鼓励引导国有企业和社会力量参与公共文化设施建设运营。推动优秀传统文化进校园、进社区、进机关，定期举办农村文化艺术节，满足基层群众基本文化权益和需求，促进优秀文化作品融入百姓生活。</w:t>
      </w:r>
    </w:p>
    <w:p>
      <w:pPr>
        <w:ind w:firstLine="31680"/>
        <w:rPr>
          <w:rFonts w:ascii="仿宋_GB2312" w:hAnsi="仿宋_GB2312" w:eastAsia="仿宋_GB2312" w:cs="仿宋_GB2312"/>
          <w:szCs w:val="32"/>
        </w:rPr>
      </w:pPr>
      <w:r>
        <w:rPr>
          <w:rFonts w:hint="eastAsia"/>
          <w:b/>
          <w:bCs/>
        </w:rPr>
        <w:t>推动社会主义文艺繁荣发展。</w:t>
      </w:r>
      <w:r>
        <w:rPr>
          <w:rFonts w:hint="eastAsia" w:ascii="仿宋_GB2312" w:hAnsi="仿宋_GB2312" w:eastAsia="仿宋_GB2312" w:cs="仿宋_GB2312"/>
          <w:szCs w:val="32"/>
        </w:rPr>
        <w:t>聚焦“中国梦”时代主题，以精神文明建设“五个一工程”为引领，策划组织创作一批弘扬中华优秀传统文化、弘扬社会主义核心价值观，展现时代精神、民族精神、现实主义、英雄主义题材，展示永修本土历史人文魅力的文学、戏剧、音乐、美术、书法等文艺精品，向主流创作阵地进军。建立文艺精品创作生产项目库，坚持储备一批、扶持一批、生产一批。健全网络文艺创作引导机制，创作更多健康优质的网络文艺作品。深入开展“深入生活、扎根人民”主题实践活动。实施文艺工作者轮训计划，宣传推介优秀文艺工作者，推出一批有影响的文艺领军人物，加强文艺队伍、文艺家协会组织建设。支持少儿文艺、群众文艺工作。建设一批特色鲜明的骨干文艺团队，鼓励支持民间文艺团队发展。</w:t>
      </w:r>
    </w:p>
    <w:p>
      <w:pPr>
        <w:ind w:firstLine="31680"/>
        <w:rPr>
          <w:rFonts w:ascii="仿宋_GB2312" w:hAnsi="仿宋_GB2312" w:eastAsia="仿宋_GB2312" w:cs="仿宋_GB2312"/>
          <w:szCs w:val="32"/>
        </w:rPr>
      </w:pPr>
      <w:r>
        <w:rPr>
          <w:rFonts w:hint="eastAsia"/>
          <w:b/>
          <w:bCs/>
        </w:rPr>
        <w:t>丰富文艺作品的传播渠道。</w:t>
      </w:r>
      <w:r>
        <w:rPr>
          <w:rFonts w:hint="eastAsia" w:ascii="仿宋_GB2312" w:hAnsi="仿宋_GB2312" w:eastAsia="仿宋_GB2312" w:cs="仿宋_GB2312"/>
          <w:szCs w:val="32"/>
        </w:rPr>
        <w:t>分类整合全县公共文化设施和文化服务资源，探索与周边市县建立展演联盟、展览联盟。充分利用各级主流媒体，特别是要发挥新媒体的独特优势，运用广播、电视、刊物、专栏、微博、微信、抖音、移动客户端等载体，同时利用好乡镇综合文化站、村级文化服务中心终端设备，促进优秀文艺作品多渠道传播、多平台展示、多终端推送。定期举办一届永修县农村文化艺术节，每两年举办一届样式雷文化节，精心组织优秀文艺作品专题推介、展演、展示、展播活动。</w:t>
      </w:r>
    </w:p>
    <w:p>
      <w:pPr>
        <w:pStyle w:val="4"/>
        <w:spacing w:before="156" w:after="156"/>
      </w:pPr>
      <w:bookmarkStart w:id="105" w:name="_Toc20550"/>
      <w:r>
        <w:rPr>
          <w:rFonts w:hint="eastAsia"/>
        </w:rPr>
        <w:t>第四节</w:t>
      </w:r>
      <w:r>
        <w:t xml:space="preserve"> </w:t>
      </w:r>
      <w:r>
        <w:rPr>
          <w:rFonts w:hint="eastAsia"/>
        </w:rPr>
        <w:t>加强</w:t>
      </w:r>
      <w:r>
        <w:rPr>
          <w:rFonts w:hint="eastAsia" w:cs="微软雅黑"/>
          <w:szCs w:val="24"/>
        </w:rPr>
        <w:t>现代化文化产业体系建设</w:t>
      </w:r>
      <w:bookmarkEnd w:id="105"/>
    </w:p>
    <w:p>
      <w:pPr>
        <w:ind w:firstLine="31680"/>
        <w:rPr>
          <w:rFonts w:ascii="仿宋_GB2312" w:hAnsi="仿宋_GB2312" w:eastAsia="仿宋_GB2312" w:cs="仿宋_GB2312"/>
          <w:szCs w:val="32"/>
        </w:rPr>
      </w:pPr>
      <w:r>
        <w:rPr>
          <w:rFonts w:hint="eastAsia"/>
          <w:b/>
          <w:bCs/>
        </w:rPr>
        <w:t>培育文化产业新业态。</w:t>
      </w:r>
      <w:r>
        <w:rPr>
          <w:rFonts w:hint="eastAsia" w:ascii="仿宋_GB2312" w:hAnsi="仿宋_GB2312" w:eastAsia="仿宋_GB2312" w:cs="仿宋_GB2312"/>
          <w:szCs w:val="32"/>
        </w:rPr>
        <w:t>充分挖掘我县“十大”特色文化底蕴，加大文创工艺品等衍生产品开发力度，提升“十大”特色文化附加值。促进文化与科技、互联网、旅游等深度融合，建立重点文化项目库，建设文化产业园区，着力引进扶持一批骨干文化企业。大力完善创意包装、广告业、动画制作、网络游戏、信息服务、艺术制作、设计装饰等产品生产、销售和相关服务活动，重点扶持动漫、动画、网游等新媒体形式的创意产业的发展，扶持培育一批“专、精、特、新”文化创意企业。</w:t>
      </w:r>
    </w:p>
    <w:p>
      <w:pPr>
        <w:ind w:firstLine="31680"/>
        <w:rPr>
          <w:rFonts w:ascii="仿宋_GB2312" w:hAnsi="仿宋_GB2312" w:eastAsia="仿宋_GB2312" w:cs="仿宋_GB2312"/>
          <w:szCs w:val="32"/>
        </w:rPr>
      </w:pPr>
      <w:r>
        <w:rPr>
          <w:rFonts w:hint="eastAsia"/>
          <w:b/>
          <w:bCs/>
        </w:rPr>
        <w:t>健全文化产业发展体制机制。</w:t>
      </w:r>
      <w:r>
        <w:rPr>
          <w:rFonts w:hint="eastAsia" w:ascii="仿宋_GB2312" w:hAnsi="仿宋_GB2312" w:eastAsia="仿宋_GB2312" w:cs="仿宋_GB2312"/>
          <w:szCs w:val="32"/>
        </w:rPr>
        <w:t>深化文化领域“放管服”改革，建立健全把社会效益放在首位、社会效益和经济效益相统一的文化创作生产体制机制，完善文化管理体制和生产经营机制。建立健全现代文化产业体系和市场体系，完善以高质量发展为导向的文化经济政策体系。完善文化企业履行社会责任制度。</w:t>
      </w:r>
    </w:p>
    <w:p>
      <w:pPr>
        <w:pStyle w:val="15"/>
        <w:ind w:firstLine="31680"/>
      </w:pPr>
    </w:p>
    <w:p>
      <w:pPr>
        <w:ind w:firstLine="31680"/>
      </w:pPr>
      <w:r>
        <w:br w:type="page"/>
      </w:r>
    </w:p>
    <w:p>
      <w:pPr>
        <w:pStyle w:val="3"/>
        <w:spacing w:before="156" w:after="156"/>
      </w:pPr>
      <w:bookmarkStart w:id="106" w:name="_Toc1550"/>
      <w:r>
        <w:rPr>
          <w:rFonts w:hint="eastAsia"/>
        </w:rPr>
        <w:t>第十一章</w:t>
      </w:r>
      <w:r>
        <w:t xml:space="preserve"> </w:t>
      </w:r>
      <w:r>
        <w:rPr>
          <w:rFonts w:hint="eastAsia"/>
        </w:rPr>
        <w:t>促稳提质民生保障，倾力开创幸福永修新境界</w:t>
      </w:r>
      <w:bookmarkEnd w:id="10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把实现好、维护好、发展好最广大人民根本利益作为发展的出发点和落脚点，进一步完善基本公共服务制度体系，扎实推进共同富裕，增强人民群众获得感幸福感安全感，全面提高就业质量，加快教育现代化，推进健康永修建设，积极应对人口老龄化，健全多层次的社会保障体系，加强社会治理体系建设，促进人的全面发展和社会全面进步。</w:t>
      </w:r>
    </w:p>
    <w:p>
      <w:pPr>
        <w:pStyle w:val="4"/>
        <w:spacing w:before="156" w:after="156"/>
      </w:pPr>
      <w:bookmarkStart w:id="107" w:name="_Toc19551"/>
      <w:r>
        <w:rPr>
          <w:rFonts w:hint="eastAsia"/>
        </w:rPr>
        <w:t>第一节</w:t>
      </w:r>
      <w:r>
        <w:t xml:space="preserve"> </w:t>
      </w:r>
      <w:r>
        <w:rPr>
          <w:rFonts w:hint="eastAsia"/>
        </w:rPr>
        <w:t>完善公共服务体系</w:t>
      </w:r>
      <w:bookmarkEnd w:id="107"/>
    </w:p>
    <w:p>
      <w:pPr>
        <w:ind w:firstLine="31680"/>
        <w:rPr>
          <w:rFonts w:ascii="仿宋_GB2312" w:hAnsi="仿宋_GB2312" w:eastAsia="仿宋_GB2312" w:cs="仿宋_GB2312"/>
          <w:szCs w:val="32"/>
        </w:rPr>
      </w:pPr>
      <w:r>
        <w:rPr>
          <w:rFonts w:hint="eastAsia"/>
          <w:b/>
          <w:bCs/>
        </w:rPr>
        <w:t>落实稳定就业政策。</w:t>
      </w:r>
      <w:r>
        <w:rPr>
          <w:rFonts w:hint="eastAsia" w:ascii="仿宋_GB2312" w:hAnsi="仿宋_GB2312" w:eastAsia="仿宋_GB2312" w:cs="仿宋_GB2312"/>
          <w:szCs w:val="32"/>
        </w:rPr>
        <w:t>完善全方位公共就业服务体系，落实就业扶贫各项政策，全面清理限制灵活就业、灵活创业的各类政策，用足用好支持企业吸纳就业的各项补贴政策，建立困难人群就业帮扶机制，加快落实用工贮备制度，继续完善人力资源信息库和企业用工需求信息库建设，着力稳定和扩大就业总量，改善就业结构，提升企业就业质量。</w:t>
      </w:r>
    </w:p>
    <w:p>
      <w:pPr>
        <w:ind w:firstLine="31680"/>
        <w:rPr>
          <w:rFonts w:ascii="仿宋_GB2312" w:hAnsi="仿宋_GB2312" w:eastAsia="仿宋_GB2312" w:cs="仿宋_GB2312"/>
          <w:szCs w:val="32"/>
        </w:rPr>
      </w:pPr>
      <w:r>
        <w:rPr>
          <w:rFonts w:hint="eastAsia"/>
          <w:b/>
          <w:bCs/>
        </w:rPr>
        <w:t>全面推进重点群体就业。</w:t>
      </w:r>
      <w:r>
        <w:rPr>
          <w:rFonts w:hint="eastAsia" w:ascii="仿宋_GB2312" w:hAnsi="仿宋_GB2312" w:eastAsia="仿宋_GB2312" w:cs="仿宋_GB2312"/>
          <w:szCs w:val="32"/>
        </w:rPr>
        <w:t>围绕高校毕业生、农民工、退役军人、下岗职工、贫困人口等重点群体，实施好“三支一扶”、就业起航等计划。提升困难人群就业帮扶力度，增强远程招聘服务能力，实施就业援助专项行动。依托微信公众号、永修人才网、“村头宝”等线上渠道广泛发布求职招聘信息，精准发送至贫困劳动力手中，继续开展“就业扶贫日”专场招聘活动。</w:t>
      </w:r>
    </w:p>
    <w:p>
      <w:pPr>
        <w:ind w:firstLine="31680"/>
        <w:rPr>
          <w:rFonts w:ascii="仿宋_GB2312" w:hAnsi="仿宋_GB2312" w:eastAsia="仿宋_GB2312" w:cs="仿宋_GB2312"/>
          <w:szCs w:val="32"/>
        </w:rPr>
      </w:pPr>
      <w:r>
        <w:rPr>
          <w:rFonts w:hint="eastAsia"/>
          <w:b/>
          <w:bCs/>
        </w:rPr>
        <w:t>加快职业技能提升。</w:t>
      </w:r>
      <w:r>
        <w:rPr>
          <w:rFonts w:hint="eastAsia" w:ascii="仿宋_GB2312" w:hAnsi="仿宋_GB2312" w:eastAsia="仿宋_GB2312" w:cs="仿宋_GB2312"/>
          <w:szCs w:val="32"/>
        </w:rPr>
        <w:t>加强职业技能培训基础能力建设，支持各类企业和技工院校生化产教融合、校企合作；扩大技能人才培养规模，定时开展有针对性的公共就业技能培训活动，全面做好贫困劳动力的职业技能、农村实用技术、劳动合同法知识和国家就业政策等培训；加大企业新型职工培养力度，制定专项培训计划，确保有培训愿望的劳动力都能获得培训服务。</w:t>
      </w:r>
    </w:p>
    <w:p>
      <w:pPr>
        <w:ind w:firstLine="31680"/>
        <w:rPr>
          <w:rFonts w:ascii="仿宋_GB2312" w:hAnsi="仿宋_GB2312" w:eastAsia="仿宋_GB2312" w:cs="仿宋_GB2312"/>
          <w:szCs w:val="32"/>
        </w:rPr>
      </w:pPr>
      <w:r>
        <w:rPr>
          <w:rFonts w:hint="eastAsia"/>
          <w:b/>
          <w:bCs/>
        </w:rPr>
        <w:t>构建创业带动就业长效机制。</w:t>
      </w:r>
      <w:r>
        <w:rPr>
          <w:rFonts w:hint="eastAsia" w:ascii="仿宋_GB2312" w:hAnsi="仿宋_GB2312" w:eastAsia="仿宋_GB2312" w:cs="仿宋_GB2312"/>
          <w:szCs w:val="32"/>
        </w:rPr>
        <w:t>统筹推进贷款担保、税费减免、社保补贴、公益性岗位、灵活就业和奖励奖补等创业优惠政策，加大对小微企业支持力度，加强业务监督管理和贷款风险控制，积极组织创客参与“中国创翼”创新创业大赛（九江赛区），推进农民工返乡创业孵化和实训基地建设，完善创业培训、开业指导、创业担保贷款等系列创业服务，继续加大对重点人群创业帮扶力度。</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优化收入分配结构。</w:t>
      </w:r>
      <w:r>
        <w:rPr>
          <w:rFonts w:hint="eastAsia" w:ascii="仿宋_GB2312" w:hAnsi="仿宋_GB2312" w:eastAsia="仿宋_GB2312" w:cs="仿宋_GB2312"/>
          <w:szCs w:val="32"/>
        </w:rPr>
        <w:t>坚持以按劳分配为主体、多种分配方式并存的分配制度，健全收入合理增长机制。健全生产要素使用权和收益权，增加中低收入群体要素收入，多渠道增加城乡居民财产性收入。以高校和职业院校毕业生、技能型劳动者、农民工、新型职业农民为重点，不断提高中等收入群体比重。重视发挥慈善等第三次分配作用，改善收入分配格局。</w:t>
      </w:r>
    </w:p>
    <w:p>
      <w:pPr>
        <w:pStyle w:val="4"/>
        <w:spacing w:before="156" w:after="156"/>
      </w:pPr>
      <w:bookmarkStart w:id="108" w:name="_Toc7197"/>
      <w:r>
        <w:rPr>
          <w:rFonts w:hint="eastAsia"/>
        </w:rPr>
        <w:t>第二节</w:t>
      </w:r>
      <w:r>
        <w:t xml:space="preserve"> </w:t>
      </w:r>
      <w:r>
        <w:rPr>
          <w:rFonts w:hint="eastAsia"/>
        </w:rPr>
        <w:t>推进优质均衡教育</w:t>
      </w:r>
      <w:bookmarkEnd w:id="108"/>
    </w:p>
    <w:p>
      <w:pPr>
        <w:ind w:firstLine="31680"/>
        <w:rPr>
          <w:rFonts w:ascii="仿宋_GB2312" w:hAnsi="仿宋_GB2312" w:eastAsia="仿宋_GB2312" w:cs="仿宋_GB2312"/>
          <w:szCs w:val="32"/>
        </w:rPr>
      </w:pPr>
      <w:r>
        <w:rPr>
          <w:rFonts w:hint="eastAsia"/>
          <w:b/>
          <w:bCs/>
        </w:rPr>
        <w:t>推进各类教育协调发展。</w:t>
      </w:r>
      <w:r>
        <w:rPr>
          <w:rFonts w:hint="eastAsia" w:ascii="仿宋_GB2312" w:hAnsi="仿宋_GB2312" w:eastAsia="仿宋_GB2312" w:cs="仿宋_GB2312"/>
          <w:szCs w:val="32"/>
        </w:rPr>
        <w:t>推进学前教育普及普惠优质安全发展，强化城镇小区配套幼儿园专项治理，加大公办幼儿园和农村附属园建设力度，不断扩大公办幼儿占比，规范发展民办幼儿园。推进义务教育优质均衡发展，实施一批重点建设项目，消除“大班额”，全面提升义务教育质量。加大特殊教育投入，提升办学水平，保障残疾适龄儿童少年就学权利。推进高中教育优质特色发展，实施高中普及攻坚计划，稳妥推进高考综合改革，推进高中特色学校建设，保持高中教育水平全市第一方阵。扩大职业教育办学规模，推进永修县职教园建设，深化职普融通、产教融合、校企合作，加大职业技能培训。完善教育城域网，建成“互联网</w:t>
      </w:r>
      <w:r>
        <w:rPr>
          <w:rFonts w:ascii="仿宋_GB2312" w:hAnsi="仿宋_GB2312" w:eastAsia="仿宋_GB2312" w:cs="仿宋_GB2312"/>
          <w:szCs w:val="32"/>
        </w:rPr>
        <w:t>+</w:t>
      </w:r>
      <w:r>
        <w:rPr>
          <w:rFonts w:hint="eastAsia" w:ascii="仿宋_GB2312" w:hAnsi="仿宋_GB2312" w:eastAsia="仿宋_GB2312" w:cs="仿宋_GB2312"/>
          <w:szCs w:val="32"/>
        </w:rPr>
        <w:t>教育”大平台，推进优质教育资源共享。规范校外培训机构，大力发展社区教育和继续教育，完善终身教育体系。</w:t>
      </w:r>
    </w:p>
    <w:p>
      <w:pPr>
        <w:ind w:firstLine="31680"/>
        <w:rPr>
          <w:rFonts w:ascii="仿宋_GB2312" w:hAnsi="仿宋_GB2312" w:eastAsia="仿宋_GB2312" w:cs="仿宋_GB2312"/>
          <w:szCs w:val="32"/>
        </w:rPr>
      </w:pPr>
      <w:r>
        <w:rPr>
          <w:rFonts w:hint="eastAsia"/>
          <w:b/>
          <w:bCs/>
        </w:rPr>
        <w:t>统筹推进城乡教育一体化发展。</w:t>
      </w:r>
      <w:r>
        <w:rPr>
          <w:rFonts w:hint="eastAsia" w:ascii="仿宋_GB2312" w:hAnsi="仿宋_GB2312" w:eastAsia="仿宋_GB2312" w:cs="仿宋_GB2312"/>
          <w:szCs w:val="32"/>
        </w:rPr>
        <w:t>全面均衡城市农村办学条件，建立优势带动机制，推进城区学校和农村学校开展“一对一”交流合作；全面落实农村改薄项目，建立优质资源融通共享机制，构建乡镇中小学以上学校与县级教育专网，优化村级校园局域网，推进建成乡镇以上学校“在线互动课堂”教室；建立教师岗位比例控制机制，采取定期交流轮岗、跨校竞聘、定点支教、乡镇中心学校教师走教等多种途径和方式，全面盘活教育资源消化存量，实现师资配置均衡目标，重点引导优秀校长和骨干教师向乡村学校流动，师资富余学校教师向师资缺额学校流动，优秀教师向相对薄弱学校合理流动，实行择优选派乡村新任教师到县城学校跟岗实习制度。支持乡村教师回原籍任教，建立健全回村任教绿色通道制度。推行统一的办学水平评估考核机制，实现农民工子女就读比率纳入质量评价内容，逐步缩小城乡教育资源差距，促进义务教育优质均衡发展。</w:t>
      </w:r>
    </w:p>
    <w:p>
      <w:pPr>
        <w:ind w:firstLine="31680"/>
        <w:rPr>
          <w:rFonts w:ascii="仿宋_GB2312" w:hAnsi="仿宋_GB2312" w:eastAsia="仿宋_GB2312" w:cs="仿宋_GB2312"/>
          <w:szCs w:val="32"/>
        </w:rPr>
      </w:pPr>
      <w:r>
        <w:rPr>
          <w:rFonts w:hint="eastAsia"/>
          <w:b/>
          <w:bCs/>
        </w:rPr>
        <w:t>创新教育领域综合实践。</w:t>
      </w:r>
      <w:r>
        <w:rPr>
          <w:rFonts w:hint="eastAsia" w:ascii="仿宋_GB2312" w:hAnsi="仿宋_GB2312" w:eastAsia="仿宋_GB2312" w:cs="仿宋_GB2312"/>
          <w:szCs w:val="32"/>
        </w:rPr>
        <w:t>创新教育办学模式，推进综合实践课程教育，将研学实践教育列入综合实践课程，劳动教育纳入大中小学必修课，构建学生综合素质评价体系，系统规划和构建综合实践课程，深化产教融合，加快职业教育发展。全面深化新时代教师队伍建设改革，健全师德师风建设长效机制，推进义务教育教师“县管校聘”改革，深化推动中小学教师职称和考核评价制度改革，健全教师队伍培养培训体系，完善教师待遇保障机制，大力提升教师社会地位，推动落实优秀教师表彰激励制度，促进教师队伍整体素质明显提升。健全职业学校教师管理制度，推进赣江新区永修职教园建设，大力加强职业技能培训工作。健全完善控辍保学机制，积极发展老年教育和继续教育，努力构建终身教育体系。到</w:t>
      </w:r>
      <w:r>
        <w:rPr>
          <w:rFonts w:ascii="仿宋_GB2312" w:hAnsi="仿宋_GB2312" w:eastAsia="仿宋_GB2312" w:cs="仿宋_GB2312"/>
          <w:szCs w:val="32"/>
        </w:rPr>
        <w:t>2025</w:t>
      </w:r>
      <w:r>
        <w:rPr>
          <w:rFonts w:hint="eastAsia" w:ascii="仿宋_GB2312" w:hAnsi="仿宋_GB2312" w:eastAsia="仿宋_GB2312" w:cs="仿宋_GB2312"/>
          <w:szCs w:val="32"/>
        </w:rPr>
        <w:t>年，实现教师综合素质、专业化水平和创新能力显著提升，教师管理体制机制科学高效，尊师重教蔚然成风，广大教师在岗位上有幸福感、事业上有成就感、社会上有荣誉感。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09" w:type="dxa"/>
          </w:tcPr>
          <w:p>
            <w:pPr>
              <w:pStyle w:val="15"/>
              <w:ind w:firstLine="31680"/>
              <w:jc w:val="center"/>
              <w:rPr>
                <w:rFonts w:cs="黑体"/>
              </w:rPr>
            </w:pPr>
            <w:r>
              <w:rPr>
                <w:rFonts w:hint="eastAsia" w:cs="黑体"/>
                <w:b/>
                <w:bCs/>
              </w:rPr>
              <w:t>专栏</w:t>
            </w:r>
            <w:r>
              <w:rPr>
                <w:rFonts w:cs="黑体"/>
                <w:b/>
                <w:bCs/>
              </w:rPr>
              <w:t xml:space="preserve">18  </w:t>
            </w:r>
            <w:r>
              <w:rPr>
                <w:rFonts w:hint="eastAsia" w:cs="黑体"/>
                <w:b/>
                <w:bCs/>
              </w:rPr>
              <w:t>教育发展重大工程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9" w:type="dxa"/>
          </w:tcPr>
          <w:p>
            <w:pPr>
              <w:pStyle w:val="15"/>
              <w:ind w:firstLine="31680"/>
              <w:rPr>
                <w:rFonts w:cs="黑体"/>
                <w:b/>
                <w:bCs/>
              </w:rPr>
            </w:pPr>
            <w:r>
              <w:rPr>
                <w:rFonts w:hint="eastAsia" w:cs="黑体"/>
                <w:b/>
                <w:bCs/>
              </w:rPr>
              <w:t>（一）学前教育普及工程</w:t>
            </w:r>
          </w:p>
          <w:p>
            <w:pPr>
              <w:pStyle w:val="15"/>
              <w:ind w:firstLine="31680"/>
              <w:rPr>
                <w:rFonts w:cs="黑体"/>
              </w:rPr>
            </w:pPr>
            <w:r>
              <w:rPr>
                <w:rFonts w:hint="eastAsia" w:cs="黑体"/>
              </w:rPr>
              <w:t>推进城南幼儿园、新城幼儿园湖东分园建设项目，强化城镇小区配套幼儿园治理。</w:t>
            </w:r>
          </w:p>
          <w:p>
            <w:pPr>
              <w:pStyle w:val="15"/>
              <w:ind w:firstLine="31680"/>
              <w:rPr>
                <w:rFonts w:cs="黑体"/>
                <w:b/>
                <w:bCs/>
              </w:rPr>
            </w:pPr>
            <w:r>
              <w:rPr>
                <w:rFonts w:hint="eastAsia" w:cs="黑体"/>
                <w:b/>
                <w:bCs/>
              </w:rPr>
              <w:t>（二）义务教育优质均衡发展工程</w:t>
            </w:r>
          </w:p>
          <w:p>
            <w:pPr>
              <w:pStyle w:val="15"/>
              <w:ind w:firstLine="31680"/>
              <w:rPr>
                <w:rFonts w:cs="黑体"/>
              </w:rPr>
            </w:pPr>
            <w:r>
              <w:rPr>
                <w:rFonts w:hint="eastAsia" w:cs="黑体"/>
              </w:rPr>
              <w:t>推进新城小学湖东分校建设、城南小学建设、永修县一中扩容、永修县二中扩容、外国语学校扩容等工程，全面缓解“大班额”问题，努力改善办学条件。</w:t>
            </w:r>
          </w:p>
          <w:p>
            <w:pPr>
              <w:pStyle w:val="15"/>
              <w:ind w:firstLine="31680"/>
              <w:rPr>
                <w:rFonts w:cs="黑体"/>
                <w:b/>
                <w:bCs/>
              </w:rPr>
            </w:pPr>
            <w:r>
              <w:rPr>
                <w:rFonts w:hint="eastAsia" w:cs="黑体"/>
                <w:b/>
                <w:bCs/>
              </w:rPr>
              <w:t>（三）高中教育多样化特色发展工程</w:t>
            </w:r>
          </w:p>
          <w:p>
            <w:pPr>
              <w:pStyle w:val="15"/>
              <w:ind w:firstLine="31680"/>
              <w:rPr>
                <w:rFonts w:cs="黑体"/>
              </w:rPr>
            </w:pPr>
            <w:r>
              <w:rPr>
                <w:rFonts w:hint="eastAsia" w:cs="黑体"/>
              </w:rPr>
              <w:t>大力推进普通高中办学模式、育人方式多样化，着力提高高中阶段教育毛入学率，统筹普通高中和中等职业教育协调发展，提高特殊群体接受高中阶段教育的机会。着力打造永修特色教育，形成融合发展的办学特色，实现高中教育多样化特色发展。</w:t>
            </w:r>
          </w:p>
          <w:p>
            <w:pPr>
              <w:pStyle w:val="15"/>
              <w:ind w:firstLine="31680"/>
              <w:rPr>
                <w:rFonts w:cs="黑体"/>
                <w:b/>
                <w:bCs/>
              </w:rPr>
            </w:pPr>
            <w:r>
              <w:rPr>
                <w:rFonts w:hint="eastAsia" w:cs="黑体"/>
                <w:b/>
                <w:bCs/>
              </w:rPr>
              <w:t>（四）教育人才发展工程</w:t>
            </w:r>
          </w:p>
          <w:p>
            <w:pPr>
              <w:pStyle w:val="15"/>
              <w:ind w:firstLine="31680"/>
              <w:rPr>
                <w:rFonts w:cs="黑体"/>
              </w:rPr>
            </w:pPr>
            <w:r>
              <w:rPr>
                <w:rFonts w:hint="eastAsia" w:cs="黑体"/>
              </w:rPr>
              <w:t>加大教育人才引进力度，特别是免费师范生当中的优秀人才选拔。加强在职教育培训工作，惠及更多的教师发展机会。加强与省市级高等教育学院合作，协同开展教师培养工作。</w:t>
            </w:r>
          </w:p>
          <w:p>
            <w:pPr>
              <w:pStyle w:val="15"/>
              <w:ind w:firstLine="31680"/>
              <w:rPr>
                <w:rFonts w:cs="黑体"/>
                <w:b/>
                <w:bCs/>
              </w:rPr>
            </w:pPr>
            <w:r>
              <w:rPr>
                <w:rFonts w:hint="eastAsia" w:cs="黑体"/>
                <w:b/>
                <w:bCs/>
              </w:rPr>
              <w:t>（五）教育现代化推进工程</w:t>
            </w:r>
          </w:p>
          <w:p>
            <w:pPr>
              <w:pStyle w:val="15"/>
              <w:ind w:firstLine="31680"/>
              <w:rPr>
                <w:rFonts w:cs="黑体"/>
              </w:rPr>
            </w:pPr>
            <w:r>
              <w:rPr>
                <w:rFonts w:hint="eastAsia" w:cs="黑体"/>
              </w:rPr>
              <w:t>推进学校标准化建设，加强教育设施装备配备，补齐乡村学校短板，完善乡镇寄宿制学校办学条件和住宿条件，加大乡镇教师周转房建设力度，加快推进教育信息化，完善“三通二平台”建设，构筑千兆教育城域网络。</w:t>
            </w:r>
            <w:r>
              <w:rPr>
                <w:rFonts w:hint="eastAsia" w:cs="宋体"/>
                <w:color w:val="000000"/>
                <w:kern w:val="0"/>
              </w:rPr>
              <w:t>搭建永修智慧教育平台，加快教育“云”资源与学科教学有机整合，</w:t>
            </w:r>
            <w:r>
              <w:rPr>
                <w:rFonts w:hint="eastAsia" w:cs="黑体"/>
              </w:rPr>
              <w:t>为教师和学生发展提供更强有力的支持。</w:t>
            </w:r>
          </w:p>
        </w:tc>
      </w:tr>
    </w:tbl>
    <w:p>
      <w:pPr>
        <w:pStyle w:val="4"/>
        <w:spacing w:before="156" w:after="156"/>
      </w:pPr>
      <w:bookmarkStart w:id="109" w:name="_Toc30658"/>
      <w:r>
        <w:rPr>
          <w:rFonts w:hint="eastAsia"/>
        </w:rPr>
        <w:t>第三节</w:t>
      </w:r>
      <w:r>
        <w:t xml:space="preserve"> </w:t>
      </w:r>
      <w:r>
        <w:rPr>
          <w:rFonts w:hint="eastAsia"/>
        </w:rPr>
        <w:t>加快健康永修建设</w:t>
      </w:r>
      <w:bookmarkEnd w:id="109"/>
    </w:p>
    <w:p>
      <w:pPr>
        <w:ind w:firstLine="31680"/>
        <w:rPr>
          <w:rFonts w:ascii="仿宋_GB2312" w:hAnsi="仿宋_GB2312" w:eastAsia="仿宋_GB2312" w:cs="仿宋_GB2312"/>
          <w:szCs w:val="32"/>
        </w:rPr>
      </w:pPr>
      <w:r>
        <w:rPr>
          <w:rFonts w:hint="eastAsia"/>
          <w:b/>
          <w:bCs/>
        </w:rPr>
        <w:t>构建优质高效医疗卫生服务体系。</w:t>
      </w:r>
      <w:r>
        <w:rPr>
          <w:rFonts w:hint="eastAsia" w:ascii="仿宋_GB2312" w:hAnsi="仿宋_GB2312" w:eastAsia="仿宋_GB2312" w:cs="仿宋_GB2312"/>
          <w:color w:val="000000"/>
          <w:szCs w:val="32"/>
        </w:rPr>
        <w:t>牢固树立“大卫生、大健康”理念，深入贯彻新时代卫生健康工作方针，持续推进“健康永修”建设。建立重大公共卫生事件防控物资调配机制及应急医疗物资启动预案保障机制，提高突发公共卫生事件监测预警处置能力，织牢公共卫生防护网。健全覆盖城乡居民的基本医疗卫生体系，深入实施分级诊疗制度，构建“</w:t>
      </w:r>
      <w:r>
        <w:rPr>
          <w:rFonts w:ascii="仿宋_GB2312" w:hAnsi="仿宋_GB2312" w:eastAsia="仿宋_GB2312" w:cs="仿宋_GB2312"/>
          <w:color w:val="000000"/>
          <w:szCs w:val="32"/>
        </w:rPr>
        <w:t>15</w:t>
      </w:r>
      <w:r>
        <w:rPr>
          <w:rFonts w:hint="eastAsia" w:ascii="仿宋_GB2312" w:hAnsi="仿宋_GB2312" w:eastAsia="仿宋_GB2312" w:cs="仿宋_GB2312"/>
          <w:color w:val="000000"/>
          <w:szCs w:val="32"/>
        </w:rPr>
        <w:t>分钟医疗服务圈”。加快智慧医疗平台应用，强力推进县、乡、村三级卫生计生信息化建设。坚持公立医疗机构的公益性，建立稳定的公共卫生事业投入机制，完善公共卫生服务体系、强化医疗机构公共卫生职能。积极引进社会办专科医院和医养结合产业，加强社会办医疗机构监管，规范诊疗行为。健全重大疾病保险和救助制度，推进医保支付方式改革，进一步完善按病种付费、总额预付等支付方式。进一步完善健康促进教育体系，普及健康知识。大力开展爱国卫生运动，强化预防优先，打造健康环境。</w:t>
      </w:r>
    </w:p>
    <w:p>
      <w:pPr>
        <w:ind w:firstLine="31680"/>
        <w:rPr>
          <w:rFonts w:ascii="仿宋_GB2312" w:hAnsi="仿宋_GB2312" w:eastAsia="仿宋_GB2312" w:cs="仿宋_GB2312"/>
          <w:szCs w:val="32"/>
        </w:rPr>
      </w:pPr>
      <w:r>
        <w:rPr>
          <w:rFonts w:hint="eastAsia"/>
          <w:b/>
          <w:bCs/>
        </w:rPr>
        <w:t>夯实卫生健康服务能力。</w:t>
      </w:r>
      <w:r>
        <w:rPr>
          <w:rFonts w:hint="eastAsia" w:ascii="仿宋_GB2312" w:hAnsi="仿宋_GB2312" w:eastAsia="仿宋_GB2312" w:cs="仿宋_GB2312"/>
        </w:rPr>
        <w:t>加强医疗卫生基础设施建设，构建县域级疾病预防控制中心，扩容和更新先进医疗检验检测设备和冷链保障设备，开展基层医疗机构规范化建设，逐步完善基层疾控基础仪器设备配置。推进“互联网</w:t>
      </w:r>
      <w:r>
        <w:rPr>
          <w:rFonts w:ascii="仿宋_GB2312" w:hAnsi="仿宋_GB2312" w:eastAsia="仿宋_GB2312" w:cs="仿宋_GB2312"/>
        </w:rPr>
        <w:t>+</w:t>
      </w:r>
      <w:r>
        <w:rPr>
          <w:rFonts w:hint="eastAsia" w:ascii="仿宋_GB2312" w:hAnsi="仿宋_GB2312" w:eastAsia="仿宋_GB2312" w:cs="仿宋_GB2312"/>
        </w:rPr>
        <w:t>医疗健康”服务模式，打造智慧就诊区、智慧病房、防护常态化智能一站式服务。加大对医疗卫生人才队伍建设，提高公共卫生专业人员待遇及归属感，保持专业队伍的稳定性，完善专业人员职业技术培训和进修机制。完善基层卫生人才发展体系，规范开展乡村医生岗位培训，全面实施农村订单定向医学生、乡村医生订单定向培养、“三支一扶”及事业单位招录制度，落实乡村医生各项补助政策，完善乡村医生养老政策和推出机制，筑牢农村医疗卫生服务网底</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b/>
          <w:bCs/>
        </w:rPr>
        <w:t>提升卫生健康公共服务水平。</w:t>
      </w:r>
      <w:r>
        <w:rPr>
          <w:rFonts w:hint="eastAsia" w:ascii="仿宋_GB2312" w:hAnsi="仿宋_GB2312" w:eastAsia="仿宋_GB2312" w:cs="仿宋_GB2312"/>
        </w:rPr>
        <w:t>进一步完善基本公共卫生服务，全面落实老年人、孕产妇、</w:t>
      </w:r>
      <w:r>
        <w:rPr>
          <w:rFonts w:ascii="仿宋_GB2312" w:hAnsi="仿宋_GB2312" w:eastAsia="仿宋_GB2312" w:cs="仿宋_GB2312"/>
        </w:rPr>
        <w:t>0-6</w:t>
      </w:r>
      <w:r>
        <w:rPr>
          <w:rFonts w:hint="eastAsia" w:ascii="仿宋_GB2312" w:hAnsi="仿宋_GB2312" w:eastAsia="仿宋_GB2312" w:cs="仿宋_GB2312"/>
        </w:rPr>
        <w:t>岁儿童、慢病患者、残疾人、社会保障兜底人员及计生特殊家庭等重点人群年度健康体检工作，贯彻落实“光明·微笑”工程、社会保障兜底重型精神病人救治、和尿毒症病人免费血透救治、社会保障兜底艾滋病机会性感染者免费救治等重大公共卫生服务项目，加强健康服务与信息化随访建设，规范公共卫生服务补助项目资金使用与管理，提高资金使用效率，持续开展安全宣传“五进”活动，探索应急救护知识传播形式，创新应急救护知识普及手段和内容，扩大公共卫生普及率。积极探索乡村振兴战略面向农村的医疗服务新模式，完善由特惠向普惠逐步转型的惠农医疗健康服务政策。健全慢性病综合防控体系，实施合理膳食行动和全民健身活动，推动形成体医结合的疾病管理和健康服务模式。加强卫生计生综合监督执法工作力度，推进卫生计生监督平台建设，加强职业病防治工作，保障劳动者职业健康权益。到</w:t>
      </w:r>
      <w:r>
        <w:rPr>
          <w:rFonts w:ascii="仿宋_GB2312" w:hAnsi="仿宋_GB2312" w:eastAsia="仿宋_GB2312" w:cs="仿宋_GB2312"/>
        </w:rPr>
        <w:t>2025</w:t>
      </w:r>
      <w:r>
        <w:rPr>
          <w:rFonts w:hint="eastAsia" w:ascii="仿宋_GB2312" w:hAnsi="仿宋_GB2312" w:eastAsia="仿宋_GB2312" w:cs="仿宋_GB2312"/>
        </w:rPr>
        <w:t>年，全县控制和消除重点地方病危害，乡（镇、街道）适龄儿童免疫规划疫苗接种率达到</w:t>
      </w:r>
      <w:r>
        <w:rPr>
          <w:rFonts w:ascii="仿宋_GB2312" w:hAnsi="仿宋_GB2312" w:eastAsia="仿宋_GB2312" w:cs="仿宋_GB2312"/>
        </w:rPr>
        <w:t>95%</w:t>
      </w:r>
      <w:r>
        <w:rPr>
          <w:rFonts w:hint="eastAsia" w:ascii="仿宋_GB2312" w:hAnsi="仿宋_GB2312" w:eastAsia="仿宋_GB2312" w:cs="仿宋_GB2312"/>
        </w:rPr>
        <w:t>。</w:t>
      </w:r>
    </w:p>
    <w:p>
      <w:pPr>
        <w:ind w:firstLine="31680"/>
        <w:rPr>
          <w:rFonts w:ascii="仿宋_GB2312" w:hAnsi="仿宋_GB2312" w:eastAsia="仿宋_GB2312" w:cs="仿宋_GB2312"/>
          <w:szCs w:val="32"/>
        </w:rPr>
      </w:pPr>
      <w:r>
        <w:rPr>
          <w:rFonts w:hint="eastAsia"/>
          <w:b/>
          <w:bCs/>
        </w:rPr>
        <w:t>构建中医传承创新体系。</w:t>
      </w:r>
      <w:r>
        <w:rPr>
          <w:rFonts w:hint="eastAsia" w:ascii="仿宋_GB2312" w:hAnsi="仿宋_GB2312" w:eastAsia="仿宋_GB2312" w:cs="仿宋_GB2312"/>
          <w:szCs w:val="32"/>
        </w:rPr>
        <w:t>扎实推进中医药事业发展，加强中医药应急能力建设，建立完善的西医学习中医制度，加大开展“西学中”培训力度，鼓励西医离职学习中医，培养一批中西医结合人才。积极开展传统医学师承和确有专长资格考核考试以及师承备案、中医医术确有专长医师资格考核报名工作，推进中医药养生保健、健康养老等人才培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6" w:type="dxa"/>
          </w:tcPr>
          <w:p>
            <w:pPr>
              <w:pStyle w:val="15"/>
              <w:ind w:firstLine="31680"/>
              <w:jc w:val="center"/>
              <w:rPr>
                <w:rFonts w:cs="黑体"/>
              </w:rPr>
            </w:pPr>
            <w:r>
              <w:rPr>
                <w:rFonts w:hint="eastAsia" w:cs="黑体"/>
                <w:b/>
                <w:bCs/>
              </w:rPr>
              <w:t>专栏</w:t>
            </w:r>
            <w:r>
              <w:rPr>
                <w:rFonts w:cs="黑体"/>
                <w:b/>
                <w:bCs/>
              </w:rPr>
              <w:t xml:space="preserve">19  </w:t>
            </w:r>
            <w:r>
              <w:rPr>
                <w:rFonts w:hint="eastAsia" w:cs="黑体"/>
                <w:b/>
                <w:bCs/>
              </w:rPr>
              <w:t>医疗卫生发展重大工程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6" w:type="dxa"/>
          </w:tcPr>
          <w:p>
            <w:pPr>
              <w:pStyle w:val="15"/>
              <w:ind w:firstLine="31680"/>
              <w:rPr>
                <w:rFonts w:cs="黑体"/>
                <w:b/>
                <w:bCs/>
              </w:rPr>
            </w:pPr>
            <w:r>
              <w:rPr>
                <w:rFonts w:hint="eastAsia" w:cs="黑体"/>
                <w:b/>
                <w:bCs/>
              </w:rPr>
              <w:t>（一）公共卫生应急提升工程</w:t>
            </w:r>
          </w:p>
          <w:p>
            <w:pPr>
              <w:pStyle w:val="15"/>
              <w:ind w:firstLine="31680"/>
              <w:rPr>
                <w:rFonts w:cs="黑体"/>
              </w:rPr>
            </w:pPr>
            <w:r>
              <w:rPr>
                <w:rFonts w:hint="eastAsia" w:cs="黑体"/>
              </w:rPr>
              <w:t>加快补齐城乡医疗卫生短板，开展核酸检测中心、社区公共卫生服务中心建设，建设公共卫生应急物资储备库项目，加强疾病预防控制机构项目建设，加强地方常见、多发传染病病原体、健康危害因素检测能力和相应应急处置能力。</w:t>
            </w:r>
          </w:p>
          <w:p>
            <w:pPr>
              <w:pStyle w:val="15"/>
              <w:ind w:firstLine="31680"/>
              <w:rPr>
                <w:rFonts w:cs="黑体"/>
                <w:b/>
                <w:bCs/>
              </w:rPr>
            </w:pPr>
            <w:r>
              <w:rPr>
                <w:rFonts w:hint="eastAsia" w:cs="黑体"/>
                <w:b/>
                <w:bCs/>
              </w:rPr>
              <w:t>（二）医疗能力提升工程</w:t>
            </w:r>
          </w:p>
          <w:p>
            <w:pPr>
              <w:pStyle w:val="15"/>
              <w:ind w:firstLine="31680"/>
              <w:rPr>
                <w:rFonts w:cs="黑体"/>
              </w:rPr>
            </w:pPr>
            <w:r>
              <w:rPr>
                <w:rFonts w:hint="eastAsia" w:cs="黑体"/>
              </w:rPr>
              <w:t>提升县域严重危害人民群众健康的心脑血管、呼吸系统疾病、儿科疾病、传染性疾病等重点病种诊疗能力，强化区域优势医疗资源影响力和辐射作用。</w:t>
            </w:r>
          </w:p>
          <w:p>
            <w:pPr>
              <w:pStyle w:val="15"/>
              <w:ind w:firstLine="31680"/>
              <w:rPr>
                <w:rFonts w:cs="黑体"/>
                <w:b/>
                <w:bCs/>
              </w:rPr>
            </w:pPr>
            <w:r>
              <w:rPr>
                <w:rFonts w:hint="eastAsia" w:cs="黑体"/>
                <w:b/>
                <w:bCs/>
              </w:rPr>
              <w:t>（三）医疗资源扩容工程</w:t>
            </w:r>
          </w:p>
          <w:p>
            <w:pPr>
              <w:pStyle w:val="15"/>
              <w:ind w:firstLine="31680"/>
              <w:rPr>
                <w:rFonts w:cs="黑体"/>
              </w:rPr>
            </w:pPr>
            <w:r>
              <w:rPr>
                <w:rFonts w:hint="eastAsia" w:cs="黑体"/>
              </w:rPr>
              <w:t>支持永修县中医院新建康复大楼及改扩建门诊住院医技楼项目、传染病医院建设项目、康养中心项目、疾控中心大楼项目、马口镇中心卫生院大楼项目、新妇幼保健院项目等建设，加快县中医院搬迁，推进基层医疗机构规范化建设。</w:t>
            </w:r>
          </w:p>
        </w:tc>
      </w:tr>
    </w:tbl>
    <w:p>
      <w:pPr>
        <w:pStyle w:val="4"/>
        <w:spacing w:before="156" w:after="156"/>
      </w:pPr>
      <w:bookmarkStart w:id="110" w:name="_Toc11106"/>
      <w:r>
        <w:rPr>
          <w:rFonts w:hint="eastAsia"/>
        </w:rPr>
        <w:t>第四节</w:t>
      </w:r>
      <w:r>
        <w:t xml:space="preserve"> </w:t>
      </w:r>
      <w:r>
        <w:rPr>
          <w:rFonts w:hint="eastAsia"/>
        </w:rPr>
        <w:t>完善社会保障体系</w:t>
      </w:r>
      <w:bookmarkEnd w:id="110"/>
    </w:p>
    <w:p>
      <w:pPr>
        <w:ind w:firstLine="31680"/>
        <w:rPr>
          <w:rFonts w:ascii="仿宋_GB2312" w:hAnsi="仿宋_GB2312" w:eastAsia="仿宋_GB2312" w:cs="仿宋_GB2312"/>
          <w:szCs w:val="32"/>
        </w:rPr>
      </w:pPr>
      <w:r>
        <w:rPr>
          <w:rFonts w:hint="eastAsia"/>
          <w:b/>
          <w:bCs/>
        </w:rPr>
        <w:t>完善城乡居民基本养老保险制度。</w:t>
      </w:r>
      <w:r>
        <w:rPr>
          <w:rFonts w:hint="eastAsia" w:ascii="仿宋_GB2312" w:hAnsi="仿宋_GB2312" w:eastAsia="仿宋_GB2312" w:cs="仿宋_GB2312"/>
          <w:szCs w:val="32"/>
        </w:rPr>
        <w:t>继续完善基本养老保险制度改革总体方案，深入实施社会保险降费减负政策，落实机关事业单位养老保险制度改革，严格企业职工退休审批管理，深入推进渐进式延迟退休制度。完善参保扩面长效机制，以工业园区企业为重点，聚焦灵活就业人员、新业态从业人员等重点人群，提高参保扩面针对性和有效性，实现企业职工基本养老保险法定人员全覆盖，鼓励和引导有参保意愿和能力的城乡居民选择较高档次缴费。完善城乡居民基本养老保险丧葬补助金制度，全面落实被征地农民参加基本养老保险措施，落实城乡居民养老保险基础养老金正常调整机制，确保贫困人员城乡居民养老保险金发放到位。构建城乡居民待遇领取人员互联网生存认证系统，深入开展城乡居民养老保险基金委托投资运营，确保基金保值增值。</w:t>
      </w:r>
    </w:p>
    <w:p>
      <w:pPr>
        <w:ind w:firstLine="31680"/>
        <w:rPr>
          <w:rFonts w:ascii="仿宋_GB2312" w:hAnsi="仿宋_GB2312" w:eastAsia="仿宋_GB2312" w:cs="仿宋_GB2312"/>
          <w:szCs w:val="32"/>
        </w:rPr>
      </w:pPr>
      <w:r>
        <w:rPr>
          <w:rFonts w:hint="eastAsia"/>
          <w:b/>
          <w:bCs/>
        </w:rPr>
        <w:t>完善医疗保险制度。</w:t>
      </w:r>
      <w:r>
        <w:rPr>
          <w:rFonts w:hint="eastAsia" w:ascii="仿宋_GB2312" w:hAnsi="仿宋_GB2312" w:eastAsia="仿宋_GB2312" w:cs="仿宋_GB2312"/>
          <w:szCs w:val="32"/>
        </w:rPr>
        <w:t>继续健全完善统一的城乡居民医保制度和缴费筹资政策。推动县域范围内医疗救助政策、信息系统统一，健全完善重特大疾病医疗保险和医疗救助政策有效衔接，增强大病保障能力，充分发挥医疗保障在乡村振兴战略的保障作用。健全完善医保目录动态调整机制，充分发挥医保战略购买者作用，将更多救命救急的好药纳入医保。继续深化医保支付方式改革，充分借助大数据等手段，促进医疗资源合理配置，推进医保总额预付，扩大按病种付费数量和实施范围，积极探索按床日付费等多种医保支付方式。加大对中医药产业发展的支持力度。推进医疗保障标准化和信息化建设，提升经办服务水平，做好异地就医直接结算，提升医保法制化水平。</w:t>
      </w:r>
    </w:p>
    <w:p>
      <w:pPr>
        <w:ind w:firstLine="31680"/>
        <w:rPr>
          <w:rFonts w:ascii="仿宋_GB2312" w:hAnsi="仿宋_GB2312" w:eastAsia="仿宋_GB2312" w:cs="仿宋_GB2312"/>
          <w:szCs w:val="32"/>
        </w:rPr>
      </w:pPr>
      <w:r>
        <w:rPr>
          <w:rFonts w:hint="eastAsia"/>
          <w:b/>
          <w:bCs/>
        </w:rPr>
        <w:t>完善失业工伤生育保险制度。</w:t>
      </w:r>
      <w:r>
        <w:rPr>
          <w:rFonts w:hint="eastAsia" w:ascii="仿宋_GB2312" w:hAnsi="仿宋_GB2312" w:eastAsia="仿宋_GB2312" w:cs="仿宋_GB2312"/>
          <w:szCs w:val="32"/>
        </w:rPr>
        <w:t>健全失业保险制度，建立个人缴费记录和失业保险预警机制；实现从“伤后保障”到“事前预防”的转变，建立工伤预防、康复、补偿相结合的工伤保险制度体系。深入开展职业伤害保险工作，全面落实建筑、交通运输、铁路、水利、能源和机场等项目参加工伤保险，确保新开工工程建设按项目参保率达到百分百全覆盖。持续开展尘肺病重点行业工伤保险扩面专项行动，提高因工致残人员伤残津贴待遇，推进职业康复训练队伍建设。完善生育保险制度，扩大用人单位生育保险覆盖范围。</w:t>
      </w:r>
    </w:p>
    <w:p>
      <w:pPr>
        <w:ind w:firstLine="31680"/>
        <w:rPr>
          <w:rFonts w:ascii="仿宋_GB2312" w:hAnsi="仿宋_GB2312" w:eastAsia="仿宋_GB2312" w:cs="仿宋_GB2312"/>
          <w:szCs w:val="32"/>
        </w:rPr>
      </w:pPr>
      <w:r>
        <w:rPr>
          <w:rFonts w:hint="eastAsia"/>
          <w:b/>
          <w:bCs/>
        </w:rPr>
        <w:t>完善社会救助制度。</w:t>
      </w:r>
      <w:r>
        <w:rPr>
          <w:rFonts w:hint="eastAsia" w:ascii="仿宋_GB2312" w:hAnsi="仿宋_GB2312" w:eastAsia="仿宋_GB2312" w:cs="仿宋_GB2312"/>
          <w:szCs w:val="32"/>
        </w:rPr>
        <w:t>稳步提高城乡困难群众生活保障标准，切实做好城乡低保的动态管理，完善城乡贫困家庭教育、医疗、住房、就业专项救助制度，增加面向贫困老年人和残疾人的康复救助项目。统筹衔接社会保险、社会救助和社会福利政策，提升管理效率和制度效益，激发救助对象内生性动力和可持续发展能力，健全脱贫解困工作机制，建立健全反贫政策措施。关注潜在救助群体，完善救助对象分级分类管理，提供差异化、个性化救助，建立动态调整机制。完善“数字民政”工作，推进救助信息和资源互通共享，加强救助资源统筹，形成合作共治的智慧社会救助体系。巩固和完善临时救助备用金制度，加强对乡镇临时救助资金使用情况的监督。</w:t>
      </w:r>
    </w:p>
    <w:p>
      <w:pPr>
        <w:ind w:firstLine="31680"/>
        <w:rPr>
          <w:rFonts w:ascii="仿宋_GB2312" w:hAnsi="仿宋_GB2312" w:eastAsia="仿宋_GB2312" w:cs="仿宋_GB2312"/>
          <w:szCs w:val="32"/>
        </w:rPr>
      </w:pPr>
      <w:r>
        <w:rPr>
          <w:rFonts w:hint="eastAsia"/>
          <w:b/>
          <w:bCs/>
        </w:rPr>
        <w:t>完善住房保障制度。</w:t>
      </w:r>
      <w:r>
        <w:rPr>
          <w:rFonts w:hint="eastAsia" w:ascii="仿宋_GB2312" w:hAnsi="仿宋_GB2312" w:eastAsia="仿宋_GB2312" w:cs="仿宋_GB2312"/>
          <w:szCs w:val="32"/>
        </w:rPr>
        <w:t>坚持“房住不炒”定位，稳妥实施房地产市场长效管理机制，扩大保障性租赁住房供给，规范发展住房租赁市场，建立健全住房租赁管理服务平台，建成多主体供给、多渠道保障、租购并举的住房制度。重点建设一批公共租赁住房，大力推进城市老旧小区改造项目，全面落实保障性住房建设资金管理，解决困难家庭安居问题，实现当地居民和外来务工人民安居乐业。</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9" w:type="dxa"/>
            <w:vAlign w:val="center"/>
          </w:tcPr>
          <w:p>
            <w:pPr>
              <w:pStyle w:val="15"/>
              <w:ind w:firstLine="31680"/>
              <w:jc w:val="center"/>
              <w:rPr>
                <w:rFonts w:cs="黑体"/>
              </w:rPr>
            </w:pPr>
            <w:r>
              <w:rPr>
                <w:rFonts w:hint="eastAsia" w:cs="黑体"/>
                <w:b/>
                <w:bCs/>
              </w:rPr>
              <w:t>专栏</w:t>
            </w:r>
            <w:r>
              <w:rPr>
                <w:rFonts w:cs="黑体"/>
                <w:b/>
                <w:bCs/>
              </w:rPr>
              <w:t xml:space="preserve">20  </w:t>
            </w:r>
            <w:r>
              <w:rPr>
                <w:rFonts w:hint="eastAsia" w:cs="黑体"/>
                <w:b/>
                <w:bCs/>
              </w:rPr>
              <w:t>特殊人群基本权益保障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9" w:type="dxa"/>
          </w:tcPr>
          <w:p>
            <w:pPr>
              <w:pStyle w:val="15"/>
              <w:numPr>
                <w:ilvl w:val="0"/>
                <w:numId w:val="4"/>
              </w:numPr>
              <w:ind w:firstLine="31680"/>
              <w:rPr>
                <w:rFonts w:cs="黑体"/>
                <w:b/>
                <w:bCs/>
              </w:rPr>
            </w:pPr>
            <w:r>
              <w:rPr>
                <w:rFonts w:hint="eastAsia" w:cs="黑体"/>
                <w:b/>
                <w:bCs/>
              </w:rPr>
              <w:t>妇女儿童权益保障</w:t>
            </w:r>
          </w:p>
          <w:p>
            <w:pPr>
              <w:pStyle w:val="15"/>
              <w:numPr>
                <w:ilvl w:val="255"/>
                <w:numId w:val="0"/>
              </w:numPr>
              <w:ind w:firstLine="480"/>
              <w:rPr>
                <w:rFonts w:cs="黑体"/>
                <w:highlight w:val="yellow"/>
              </w:rPr>
            </w:pPr>
            <w:r>
              <w:rPr>
                <w:rFonts w:hint="eastAsia" w:cs="黑体"/>
              </w:rPr>
              <w:t>切实保障妇女享有平等经济权益，依法享有产假和生育津贴，消除就业性别歧视。扩大城乡“儿童两病”“妇女两癌”筛查范围。完善农村留守儿童教育关爱服务体系，建立困难儿童福利保障制度，保障儿童的各项权利。到</w:t>
            </w:r>
            <w:r>
              <w:rPr>
                <w:rFonts w:cs="黑体"/>
              </w:rPr>
              <w:t>2025</w:t>
            </w:r>
            <w:r>
              <w:rPr>
                <w:rFonts w:hint="eastAsia" w:cs="黑体"/>
              </w:rPr>
              <w:t>年，力争妇女“两癌”筛查率提高到</w:t>
            </w:r>
            <w:r>
              <w:rPr>
                <w:rFonts w:cs="黑体"/>
              </w:rPr>
              <w:t>85%</w:t>
            </w:r>
            <w:r>
              <w:rPr>
                <w:rFonts w:hint="eastAsia" w:cs="黑体"/>
              </w:rPr>
              <w:t>以上。</w:t>
            </w:r>
          </w:p>
          <w:p>
            <w:pPr>
              <w:pStyle w:val="15"/>
              <w:numPr>
                <w:ilvl w:val="0"/>
                <w:numId w:val="4"/>
              </w:numPr>
              <w:ind w:firstLine="31680"/>
              <w:rPr>
                <w:rFonts w:cs="黑体"/>
                <w:b/>
                <w:bCs/>
              </w:rPr>
            </w:pPr>
            <w:r>
              <w:rPr>
                <w:rFonts w:hint="eastAsia" w:cs="黑体"/>
                <w:b/>
                <w:bCs/>
              </w:rPr>
              <w:t>青少年健康成长关爱</w:t>
            </w:r>
          </w:p>
          <w:p>
            <w:pPr>
              <w:pStyle w:val="15"/>
              <w:numPr>
                <w:ilvl w:val="255"/>
                <w:numId w:val="0"/>
              </w:numPr>
              <w:ind w:firstLine="480"/>
              <w:rPr>
                <w:rFonts w:cs="黑体"/>
              </w:rPr>
            </w:pPr>
            <w:r>
              <w:rPr>
                <w:rFonts w:hint="eastAsia" w:cs="黑体"/>
              </w:rPr>
              <w:t>加强青少年心理健康指导，开展青少年生命教育和挫折教育，开展青少年性健康、性安全宣传教育，提高青春期性知识的普及率。优化青少年成长环境，加强学校及周边社会治安综合治理，严厉打击危害青少年权益的违法行为。推进少年宫等未成年人校外活动场所建设项目。</w:t>
            </w:r>
          </w:p>
          <w:p>
            <w:pPr>
              <w:pStyle w:val="15"/>
              <w:numPr>
                <w:ilvl w:val="0"/>
                <w:numId w:val="4"/>
              </w:numPr>
              <w:ind w:firstLine="31680"/>
              <w:rPr>
                <w:rFonts w:cs="黑体"/>
                <w:b/>
                <w:bCs/>
              </w:rPr>
            </w:pPr>
            <w:r>
              <w:rPr>
                <w:rFonts w:hint="eastAsia" w:cs="黑体"/>
                <w:b/>
                <w:bCs/>
              </w:rPr>
              <w:t>残疾人权益保障</w:t>
            </w:r>
          </w:p>
          <w:p>
            <w:pPr>
              <w:pStyle w:val="15"/>
              <w:numPr>
                <w:ilvl w:val="255"/>
                <w:numId w:val="0"/>
              </w:numPr>
              <w:ind w:firstLine="480"/>
              <w:rPr>
                <w:rFonts w:cs="黑体"/>
              </w:rPr>
            </w:pPr>
            <w:r>
              <w:rPr>
                <w:rFonts w:hint="eastAsia" w:cs="黑体"/>
              </w:rPr>
              <w:t>健全困难残疾人生活补贴和护理补贴标准动态调整机制，完善残疾人医疗报销制度，保障残疾人基本住房制度。加强公共场所无障碍设施建设和维护，鼓励残疾人提升自身能力进行就业创业，完善就业创业扶持政策，鼓励社会力量为残疾人提供便利服务。</w:t>
            </w:r>
          </w:p>
        </w:tc>
      </w:tr>
    </w:tbl>
    <w:p>
      <w:pPr>
        <w:pStyle w:val="4"/>
        <w:spacing w:before="156" w:after="156"/>
      </w:pPr>
      <w:bookmarkStart w:id="111" w:name="_Toc1859"/>
      <w:r>
        <w:rPr>
          <w:rFonts w:hint="eastAsia"/>
        </w:rPr>
        <w:t>第五节</w:t>
      </w:r>
      <w:r>
        <w:t xml:space="preserve"> </w:t>
      </w:r>
      <w:r>
        <w:rPr>
          <w:rFonts w:hint="eastAsia"/>
        </w:rPr>
        <w:t>积极应对人口老龄化</w:t>
      </w:r>
      <w:bookmarkEnd w:id="111"/>
    </w:p>
    <w:p>
      <w:pPr>
        <w:ind w:firstLine="31680"/>
        <w:rPr>
          <w:rFonts w:ascii="仿宋_GB2312" w:hAnsi="仿宋_GB2312" w:eastAsia="仿宋_GB2312" w:cs="仿宋_GB2312"/>
          <w:szCs w:val="32"/>
        </w:rPr>
      </w:pPr>
      <w:r>
        <w:rPr>
          <w:rFonts w:hint="eastAsia"/>
          <w:b/>
          <w:bCs/>
        </w:rPr>
        <w:t>构建多元养老服务体系。</w:t>
      </w:r>
      <w:r>
        <w:rPr>
          <w:rFonts w:hint="eastAsia" w:ascii="仿宋_GB2312" w:hAnsi="仿宋_GB2312" w:eastAsia="仿宋_GB2312" w:cs="仿宋_GB2312"/>
          <w:szCs w:val="32"/>
        </w:rPr>
        <w:t>持续加快县级康养中心建设，完善县级养老服务体系，加快发展居家养老服务和社区养老服务建设，重点发展医养结合的老年护理机构，增加社区嵌入式养老服务设施供给，提升养老服务规范化、标准化管理；促进公办养老机构转型升级，完善农村颐养之家建设，补齐农村养老服务基础设施短板，推进普惠养老城企联动试点，探索尝试长期护理保险试点。积极申请燕坊、艾城和梅棠敬老院建设专项债，加强养老服务队伍建设，提升敬老院工作人员管理水平。</w:t>
      </w:r>
    </w:p>
    <w:p>
      <w:pPr>
        <w:ind w:firstLine="31680"/>
        <w:rPr>
          <w:rFonts w:ascii="仿宋_GB2312" w:hAnsi="仿宋_GB2312" w:eastAsia="仿宋_GB2312" w:cs="仿宋_GB2312"/>
          <w:szCs w:val="32"/>
        </w:rPr>
      </w:pPr>
      <w:r>
        <w:rPr>
          <w:rFonts w:hint="eastAsia"/>
          <w:b/>
          <w:bCs/>
        </w:rPr>
        <w:t>打造智慧化养老服务。</w:t>
      </w:r>
      <w:r>
        <w:rPr>
          <w:rFonts w:hint="eastAsia" w:ascii="仿宋_GB2312" w:hAnsi="仿宋_GB2312" w:eastAsia="仿宋_GB2312" w:cs="仿宋_GB2312"/>
          <w:szCs w:val="32"/>
        </w:rPr>
        <w:t>依托移动互联网、物联网和智能终端等大数据平台，积极推动“互联网</w:t>
      </w:r>
      <w:r>
        <w:rPr>
          <w:rFonts w:ascii="仿宋_GB2312" w:hAnsi="仿宋_GB2312" w:eastAsia="仿宋_GB2312" w:cs="仿宋_GB2312"/>
          <w:szCs w:val="32"/>
        </w:rPr>
        <w:t>+</w:t>
      </w:r>
      <w:r>
        <w:rPr>
          <w:rFonts w:hint="eastAsia" w:ascii="仿宋_GB2312" w:hAnsi="仿宋_GB2312" w:eastAsia="仿宋_GB2312" w:cs="仿宋_GB2312"/>
          <w:szCs w:val="32"/>
        </w:rPr>
        <w:t>居家养老”服务融合发展，推动传统养老模式向智慧社区、智能居家养老全面转型，加强智能监控系统和紧急救援系统设施建设，提升风险防范能力，安装人体感应探测、门磁感应器、燃气泄漏报警、一键呼叫等智能化设备，畅通居家监测数据与老年人子女、养老机构的信息传输。建立全县老年人服务账簿，针对特殊老年人群体，提供更全面的智慧医护和养老服务。</w:t>
      </w:r>
    </w:p>
    <w:p>
      <w:pPr>
        <w:widowControl/>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推动实现适度生育水平。</w:t>
      </w:r>
      <w:r>
        <w:rPr>
          <w:rFonts w:hint="eastAsia" w:ascii="仿宋_GB2312" w:hAnsi="仿宋_GB2312" w:eastAsia="仿宋_GB2312" w:cs="仿宋_GB2312"/>
          <w:color w:val="000000"/>
          <w:szCs w:val="32"/>
        </w:rPr>
        <w:t>全面启动计划生育家庭特别扶助制度，为计划生育特殊困难家庭办理人身意外伤害及重大疾病保险续保工作。始终把宣传教育作为综合治理出生人口性别比升高问题的治本之策，充分发挥教育、卫生、文广、人口计生及相关部门优势，搭建出生人口性别比综合治理工作宣传教育平台，组织实施系列活动</w:t>
      </w:r>
      <w:r>
        <w:rPr>
          <w:rFonts w:hint="eastAsia" w:ascii="仿宋_GB2312" w:hAnsi="仿宋_GB2312" w:eastAsia="仿宋_GB2312" w:cs="仿宋_GB2312"/>
          <w:szCs w:val="32"/>
        </w:rPr>
        <w:t>，努力提升计划生育家庭的发展能力</w:t>
      </w:r>
      <w:r>
        <w:rPr>
          <w:rFonts w:hint="eastAsia" w:ascii="仿宋_GB2312" w:hAnsi="仿宋_GB2312" w:eastAsia="仿宋_GB2312" w:cs="仿宋_GB2312"/>
          <w:color w:val="000000"/>
          <w:szCs w:val="32"/>
        </w:rPr>
        <w:t>。</w:t>
      </w:r>
    </w:p>
    <w:p>
      <w:pPr>
        <w:ind w:firstLine="31680"/>
      </w:pPr>
      <w:r>
        <w:rPr>
          <w:rFonts w:hint="eastAsia" w:ascii="仿宋_GB2312" w:hAnsi="仿宋_GB2312" w:eastAsia="仿宋_GB2312" w:cs="仿宋_GB2312"/>
          <w:b/>
          <w:bCs/>
          <w:szCs w:val="32"/>
        </w:rPr>
        <w:t>健全婴幼儿发展政策。</w:t>
      </w:r>
      <w:r>
        <w:rPr>
          <w:rFonts w:hint="eastAsia" w:ascii="仿宋_GB2312" w:hAnsi="仿宋_GB2312" w:eastAsia="仿宋_GB2312" w:cs="仿宋_GB2312"/>
          <w:szCs w:val="32"/>
        </w:rPr>
        <w:t>根据《国务院办公厅关于促进</w:t>
      </w:r>
      <w:r>
        <w:rPr>
          <w:rFonts w:ascii="仿宋_GB2312" w:hAnsi="仿宋_GB2312" w:eastAsia="仿宋_GB2312" w:cs="仿宋_GB2312"/>
          <w:szCs w:val="32"/>
        </w:rPr>
        <w:t>3</w:t>
      </w:r>
      <w:r>
        <w:rPr>
          <w:rFonts w:hint="eastAsia" w:ascii="仿宋_GB2312" w:hAnsi="仿宋_GB2312" w:eastAsia="仿宋_GB2312" w:cs="仿宋_GB2312"/>
          <w:szCs w:val="32"/>
        </w:rPr>
        <w:t>岁以下婴幼儿照护服务发展的指导意见》及省、市相关文件精神，健全支持婴幼儿照护服务和早期教育的政策体系。积极开展多种形式的婴幼儿照护服务机构，支持企事业单位、社会团体等社会力量提供普惠托育服务，鼓励幼儿园发展托幼一体化服务。推进婴幼儿照护服务和早期教育专业化、规范化发展。</w:t>
      </w:r>
      <w:r>
        <w:br w:type="page"/>
      </w:r>
    </w:p>
    <w:p>
      <w:pPr>
        <w:pStyle w:val="3"/>
        <w:spacing w:before="156" w:after="156"/>
      </w:pPr>
      <w:bookmarkStart w:id="112" w:name="_Toc28688"/>
      <w:r>
        <w:rPr>
          <w:rFonts w:hint="eastAsia"/>
        </w:rPr>
        <w:t>第十二章</w:t>
      </w:r>
      <w:r>
        <w:t xml:space="preserve"> </w:t>
      </w:r>
      <w:r>
        <w:rPr>
          <w:rFonts w:hint="eastAsia"/>
        </w:rPr>
        <w:t>提升社会治理能力，开启平安永修建设新征程</w:t>
      </w:r>
      <w:bookmarkEnd w:id="112"/>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推进社会治理体系和治理能力现代化建设，科学统筹发展和安全关系，将安全融入新发展理念，将安全纳入新发展格局，维护社会稳定，防范化解影响现代化进程的各种风险，加快建立应急管理体系和能力，建设更高水平的平安永修。</w:t>
      </w:r>
    </w:p>
    <w:p>
      <w:pPr>
        <w:pStyle w:val="4"/>
        <w:spacing w:before="156" w:after="156"/>
      </w:pPr>
      <w:bookmarkStart w:id="113" w:name="_Toc23250"/>
      <w:bookmarkStart w:id="114" w:name="_Toc24140"/>
      <w:r>
        <w:rPr>
          <w:rFonts w:hint="eastAsia"/>
        </w:rPr>
        <w:t>第一节</w:t>
      </w:r>
      <w:r>
        <w:t xml:space="preserve"> </w:t>
      </w:r>
      <w:r>
        <w:rPr>
          <w:rFonts w:hint="eastAsia"/>
        </w:rPr>
        <w:t>聚焦聚力建设平安永修</w:t>
      </w:r>
      <w:bookmarkEnd w:id="113"/>
      <w:bookmarkEnd w:id="114"/>
    </w:p>
    <w:p>
      <w:pPr>
        <w:ind w:firstLine="31680"/>
        <w:rPr>
          <w:b/>
          <w:bCs/>
        </w:rPr>
      </w:pPr>
      <w:r>
        <w:rPr>
          <w:rFonts w:hint="eastAsia"/>
          <w:b/>
          <w:bCs/>
        </w:rPr>
        <w:t>坚定维护国家安全。</w:t>
      </w:r>
      <w:r>
        <w:rPr>
          <w:rFonts w:hint="eastAsia" w:ascii="仿宋_GB2312" w:hAnsi="仿宋_GB2312" w:eastAsia="仿宋_GB2312" w:cs="仿宋_GB2312"/>
        </w:rPr>
        <w:t>坚持维护集中统一，高效权威的国家安全领导体制，进一步完善国家安全工作体系和制度体系，强化“大安全”工作格局，进一步完善重点领域专项工作机制。健全国家安全审查和监管制度，加强国家安全执法，加强国家安全宣传教育，增强全民国家安全意识，巩固国家安全人民防线，坚定维护国家政权安全、制度安全、意识形态安全，全面加强网络安全、信息安全、数据安全保障体系和能力建设。建立重点群体反渗透工作机制，严厉打击邪教组织和非法宗教组织各类非法活动，严密防范和严厉打击敌对势力渗透、破坏、颠覆、分裂活动。</w:t>
      </w:r>
    </w:p>
    <w:p>
      <w:pPr>
        <w:pStyle w:val="12"/>
        <w:widowControl/>
        <w:ind w:right="120" w:firstLine="31680"/>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rPr>
        <w:t>保障人民生命安全。</w:t>
      </w:r>
      <w:r>
        <w:rPr>
          <w:rFonts w:hint="eastAsia" w:ascii="仿宋_GB2312" w:hAnsi="仿宋_GB2312" w:eastAsia="仿宋_GB2312" w:cs="仿宋_GB2312"/>
          <w:sz w:val="32"/>
          <w:szCs w:val="32"/>
        </w:rPr>
        <w:t>坚持人民至上，生命至上，把保护人民生命安全摆在首位。全面提高公共安全保障能力，建立统一指挥、专常兼备、反应灵敏、上下联动的应急管理体制。提高防灾减灾抗灾救灾能力，严格落实安全生产责任制，完善安全隐患排查和安全预防控制体系，开展安全生产专项整治，坚决遏制重特大事故发生。强化生物安全保障，提高食品药品等关系人民健康产品和服务的安全保障水平。</w:t>
      </w:r>
    </w:p>
    <w:p>
      <w:pPr>
        <w:ind w:firstLine="31680"/>
        <w:rPr>
          <w:rFonts w:ascii="仿宋_GB2312" w:hAnsi="仿宋_GB2312" w:eastAsia="仿宋_GB2312" w:cs="仿宋_GB2312"/>
          <w:szCs w:val="32"/>
        </w:rPr>
      </w:pPr>
      <w:r>
        <w:rPr>
          <w:rFonts w:hint="eastAsia" w:ascii="仿宋_GB2312" w:hAnsi="仿宋_GB2312" w:eastAsia="仿宋_GB2312" w:cs="仿宋_GB2312"/>
          <w:b/>
          <w:bCs/>
          <w:color w:val="000000"/>
          <w:szCs w:val="32"/>
        </w:rPr>
        <w:t>维护经济安全</w:t>
      </w:r>
      <w:r>
        <w:rPr>
          <w:rFonts w:hint="eastAsia" w:ascii="仿宋_GB2312" w:hAnsi="仿宋_GB2312" w:eastAsia="仿宋_GB2312" w:cs="仿宋_GB2312"/>
          <w:b/>
          <w:bCs/>
          <w:szCs w:val="32"/>
        </w:rPr>
        <w:t>。</w:t>
      </w:r>
      <w:r>
        <w:rPr>
          <w:rFonts w:hint="eastAsia" w:ascii="仿宋_GB2312" w:hAnsi="仿宋_GB2312" w:eastAsia="仿宋_GB2312" w:cs="仿宋_GB2312"/>
          <w:szCs w:val="32"/>
        </w:rPr>
        <w:t>牢固树立风险意识，底线思维，聚焦防范化解经济领域风险，维护经济安全。加强经济安全风险预警防控机制和能力建设，实现重要产业、基础设施、战略资源等关键领域安全可控。稳定粮食和蔬菜等重要农产品有效供给，构建更高层次粮食安全保障体系。科学评估各类物资储备水平，强化储备物资保障体系建设。合理确定政府储备、企业储备、实物物资储备和产能储备规模，完善责任体系，维护水利、电力、供水、油气、交通、通信、网络、金融等重要基础设施安全。坚持以兜底线为重点，维护财政平衡运行。积极稳妥做好“僵尸企业”处置工作。强化互联网金融监管，严厉打击金融犯罪活动，完善防范化解金融领域风险长效机制。</w:t>
      </w:r>
    </w:p>
    <w:p>
      <w:pPr>
        <w:ind w:firstLine="31680"/>
        <w:rPr>
          <w:rFonts w:ascii="仿宋_GB2312" w:hAnsi="仿宋_GB2312" w:eastAsia="仿宋_GB2312" w:cs="仿宋_GB2312"/>
          <w:szCs w:val="32"/>
        </w:rPr>
      </w:pPr>
      <w:r>
        <w:rPr>
          <w:rFonts w:hint="eastAsia"/>
          <w:b/>
          <w:bCs/>
        </w:rPr>
        <w:t>严格落实安全生产责任制。</w:t>
      </w:r>
      <w:r>
        <w:rPr>
          <w:rFonts w:hint="eastAsia" w:ascii="仿宋_GB2312" w:hAnsi="仿宋_GB2312" w:eastAsia="仿宋_GB2312" w:cs="仿宋_GB2312"/>
          <w:szCs w:val="32"/>
        </w:rPr>
        <w:t>制定完善城市和行业安全风险分级管控和隐患排查治理标准规范，开展危险有害因素辨识评估，建立安全生产责任落实机制、压力传导机制，推动安全生产系统治理、终端治理和常态治理，坚决防范遏制重特大安全事故发生。梳理完善安全生产</w:t>
      </w:r>
      <w:r>
        <w:rPr>
          <w:rFonts w:hint="eastAsia" w:ascii="仿宋_GB2312" w:hAnsi="仿宋_GB2312" w:eastAsia="仿宋_GB2312" w:cs="仿宋_GB2312"/>
          <w:szCs w:val="32"/>
          <w:lang w:eastAsia="zh-CN"/>
        </w:rPr>
        <w:t>权力清单</w:t>
      </w:r>
      <w:r>
        <w:rPr>
          <w:rFonts w:hint="eastAsia" w:ascii="仿宋_GB2312" w:hAnsi="仿宋_GB2312" w:eastAsia="仿宋_GB2312" w:cs="仿宋_GB2312"/>
          <w:szCs w:val="32"/>
        </w:rPr>
        <w:t>，加强安全生产监管执法，加快健全安全生产应急指挥体系，强化源头防控，有效遏制永修县各大非煤矿矿山、建筑施工等重大安全事故。推进食品安全</w:t>
      </w:r>
      <w:r>
        <w:rPr>
          <w:rFonts w:ascii="仿宋_GB2312" w:hAnsi="仿宋_GB2312" w:eastAsia="仿宋_GB2312" w:cs="仿宋_GB2312"/>
          <w:szCs w:val="32"/>
        </w:rPr>
        <w:t>?</w:t>
      </w:r>
      <w:r>
        <w:rPr>
          <w:rFonts w:hint="eastAsia" w:ascii="仿宋_GB2312" w:hAnsi="仿宋_GB2312" w:eastAsia="仿宋_GB2312" w:cs="仿宋_GB2312"/>
          <w:szCs w:val="32"/>
        </w:rPr>
        <w:t>°双安双创</w:t>
      </w:r>
      <w:r>
        <w:rPr>
          <w:rFonts w:ascii="仿宋_GB2312" w:hAnsi="仿宋_GB2312" w:eastAsia="仿宋_GB2312" w:cs="仿宋_GB2312"/>
          <w:szCs w:val="32"/>
        </w:rPr>
        <w:t>?</w:t>
      </w:r>
      <w:r>
        <w:rPr>
          <w:rFonts w:hint="eastAsia" w:ascii="仿宋_GB2312" w:hAnsi="仿宋_GB2312" w:eastAsia="仿宋_GB2312" w:cs="仿宋_GB2312"/>
          <w:szCs w:val="32"/>
        </w:rPr>
        <w:t>±工作，落实食品药品安全监管制度，严厉打击非法野生动物市场和贸易，全面建立安全的生产环境。</w:t>
      </w:r>
    </w:p>
    <w:p>
      <w:pPr>
        <w:ind w:firstLine="31680"/>
      </w:pPr>
      <w:r>
        <w:rPr>
          <w:rFonts w:hint="eastAsia"/>
          <w:b/>
          <w:bCs/>
        </w:rPr>
        <w:t>推进精准化智能化科学化安全监管。</w:t>
      </w:r>
      <w:r>
        <w:rPr>
          <w:rFonts w:hint="eastAsia" w:ascii="仿宋_GB2312" w:hAnsi="仿宋_GB2312" w:eastAsia="仿宋_GB2312" w:cs="仿宋_GB2312"/>
          <w:szCs w:val="32"/>
        </w:rPr>
        <w:t>构建全县安全生产信息畅通、上下联动、反映灵敏的安全生产监管信息平台和保障机制，建立“互联网</w:t>
      </w:r>
      <w:r>
        <w:rPr>
          <w:rFonts w:ascii="仿宋_GB2312" w:hAnsi="仿宋_GB2312" w:eastAsia="仿宋_GB2312" w:cs="仿宋_GB2312"/>
          <w:szCs w:val="32"/>
        </w:rPr>
        <w:t>+</w:t>
      </w:r>
      <w:r>
        <w:rPr>
          <w:rFonts w:hint="eastAsia" w:ascii="仿宋_GB2312" w:hAnsi="仿宋_GB2312" w:eastAsia="仿宋_GB2312" w:cs="仿宋_GB2312"/>
          <w:szCs w:val="32"/>
        </w:rPr>
        <w:t>督查考核</w:t>
      </w:r>
      <w:r>
        <w:rPr>
          <w:rFonts w:ascii="仿宋_GB2312" w:hAnsi="仿宋_GB2312" w:eastAsia="仿宋_GB2312" w:cs="仿宋_GB2312"/>
          <w:szCs w:val="32"/>
        </w:rPr>
        <w:t>+</w:t>
      </w:r>
      <w:r>
        <w:rPr>
          <w:rFonts w:hint="eastAsia" w:ascii="仿宋_GB2312" w:hAnsi="仿宋_GB2312" w:eastAsia="仿宋_GB2312" w:cs="仿宋_GB2312"/>
          <w:szCs w:val="32"/>
        </w:rPr>
        <w:t>执法检查”工作机制，启动智慧应急建设工作，推进监测预警系统全覆盖和智能化，加快高水平安全生产、城乡安全风险监测预警平台建设。对标“监测精密、预报精准、服务精细”，实施“防灾减灾能力提升工程”，健全气象防灾减灾体系，不断提升气象监测预报预警能力。建立区域安全风险数据库、重大危险源数据库，实行差异化动态监管，增强危险事件安全预警能力，加强自然灾害宣传力度，加大应急管理资金投入，建立防灾救灾公益性基金，加强专业救援队伍建设，探索建立社会救援力量与消防救援力量、专业救援力量的共训、共练、共战机制。</w:t>
      </w:r>
    </w:p>
    <w:p>
      <w:pPr>
        <w:ind w:firstLine="31680"/>
        <w:rPr>
          <w:rFonts w:ascii="仿宋_GB2312" w:hAnsi="仿宋_GB2312" w:eastAsia="仿宋_GB2312" w:cs="仿宋_GB2312"/>
          <w:szCs w:val="32"/>
        </w:rPr>
      </w:pPr>
      <w:r>
        <w:rPr>
          <w:rFonts w:hint="eastAsia"/>
          <w:b/>
          <w:bCs/>
        </w:rPr>
        <w:t>完善公共安全治理体系。</w:t>
      </w:r>
      <w:r>
        <w:rPr>
          <w:rFonts w:hint="eastAsia" w:ascii="仿宋_GB2312" w:hAnsi="仿宋_GB2312" w:eastAsia="仿宋_GB2312" w:cs="仿宋_GB2312"/>
          <w:szCs w:val="32"/>
        </w:rPr>
        <w:t>以人工智能和大数据技术为关键，打造大整合、高共享、深应用的社会治理大数据应用平台，着力把县级指挥平台、街道运行平台、社区（村）操作平台三级综治中心打造成为基层社会治理的智能监管中心、智能服务中心和智辅决策中心。加强社会治安防控体系建设，提高社会治安防控立体化、法治化、专业化、智能化水平，构建问题联治、工作联动、平安联创的工作机制。深入完善社会治安防控体系建设目标责任和领导责任，建立全面客观、重点突出、操作性强的防控体系建设考核机制，着力构建“点线面”治安防控体系，实施定人定岗定责策略，加大工作推进力度，形成“打防结合、预防为主”的社会治安防控长效机制。推进“雪亮工程”向城市和农村深度延伸，全面落实“智能安防小区”建设，增强社会治安防控体系效能，织密织牢各条社会治安防线，规范公安检查站、治安卡口建设管理和勤务运行，打造城乡统筹、网上网下融合、人防物防技防结合、打防管控一体的社会治安防控新格局。持续推进扫黑除恶长效常治，坚决防范和打击暴力恐怖、黑恶势力、新型网络犯罪等各类违法犯罪，完善“打、防、控、管”社会综合治理机制，加大“打伞破网”“打财断血”力度，构建人民银行、证监、税务等部门共同参与的黑恶财产查控平台，深化扫黑除恶专项斗争。深入排查受过刑事处罚、存在“村霸”和涉黑涉恶等问题的村干部，健全落实村“两委”成员资格县级联审制度，筑牢防黑防恶堤坝。加大工作保障力度，打造忠诚干净担当的公安铁军，构建关爱扶助牺牲伤残干警家庭常态化机制。持续加大</w:t>
      </w:r>
      <w:r>
        <w:rPr>
          <w:rFonts w:hint="eastAsia" w:ascii="仿宋_GB2312" w:hAnsi="仿宋_GB2312" w:eastAsia="仿宋_GB2312" w:cs="仿宋_GB2312"/>
          <w:szCs w:val="32"/>
          <w:lang w:eastAsia="zh-CN"/>
        </w:rPr>
        <w:t>扫黑除恶</w:t>
      </w:r>
      <w:r>
        <w:rPr>
          <w:rFonts w:hint="eastAsia" w:ascii="仿宋_GB2312" w:hAnsi="仿宋_GB2312" w:eastAsia="仿宋_GB2312" w:cs="仿宋_GB2312"/>
          <w:szCs w:val="32"/>
        </w:rPr>
        <w:t>宣传力度，全面落实打击“黄赌毒骗”专项行动，彻底铲除黑恶势力滋生土壤。</w:t>
      </w:r>
    </w:p>
    <w:p>
      <w:pPr>
        <w:pStyle w:val="4"/>
        <w:spacing w:before="156" w:after="156"/>
      </w:pPr>
      <w:bookmarkStart w:id="115" w:name="_Toc7357"/>
      <w:bookmarkStart w:id="116" w:name="_Toc32733"/>
      <w:bookmarkStart w:id="117" w:name="_Toc12652"/>
      <w:r>
        <w:rPr>
          <w:rFonts w:hint="eastAsia"/>
        </w:rPr>
        <w:t>第二节</w:t>
      </w:r>
      <w:r>
        <w:t xml:space="preserve"> </w:t>
      </w:r>
      <w:r>
        <w:rPr>
          <w:rFonts w:hint="eastAsia"/>
        </w:rPr>
        <w:t>全面加强法治信用建设</w:t>
      </w:r>
      <w:bookmarkEnd w:id="115"/>
      <w:bookmarkEnd w:id="116"/>
      <w:bookmarkEnd w:id="117"/>
    </w:p>
    <w:p>
      <w:pPr>
        <w:ind w:firstLine="31680"/>
        <w:rPr>
          <w:rFonts w:ascii="仿宋_GB2312" w:hAnsi="仿宋_GB2312" w:eastAsia="仿宋_GB2312" w:cs="仿宋_GB2312"/>
          <w:szCs w:val="32"/>
        </w:rPr>
      </w:pPr>
      <w:r>
        <w:rPr>
          <w:rFonts w:hint="eastAsia"/>
          <w:b/>
          <w:bCs/>
        </w:rPr>
        <w:t>统筹推进法治永修建设。</w:t>
      </w:r>
      <w:r>
        <w:rPr>
          <w:rFonts w:hint="eastAsia" w:ascii="仿宋_GB2312" w:hAnsi="仿宋_GB2312" w:eastAsia="仿宋_GB2312" w:cs="仿宋_GB2312"/>
          <w:szCs w:val="32"/>
        </w:rPr>
        <w:t>坚定不移走中国特色社会主义法治道路，坚持依法治区、依法执政、依法行政共同推进，坚持法治永修、法治政府、法治社会一体建设，健全完善党内法规，全面推进科学立法、严格执法、公正司法、全民守法。保证宪法和民法典全面有效实施，弘扬宪法精神。把民法典作为行政决策、行政管理、行政监督的重要标尺。完善人民有序参与立法的法律规定，建立健全立法论证、听证、评估机制。完善法治市场环境，构建集政治安全、经济安全、文化安全、生态安全、社会安全、科技安全、资源安全等于一体的县域安全体系，建立健全安全风险研判、防控协同、防范化解机制，健全县域安全审查评估机制和安全监管制度，加强安全执法检查。全面落实依法治县。加强公安机关办案中心建设，推动警务辅助人员管理体制改革，把政务履约和守诺服务纳入政府绩效评价体系。加大重点领域执法督察力度</w:t>
      </w:r>
      <w:r>
        <w:rPr>
          <w:rFonts w:ascii="仿宋_GB2312" w:hAnsi="仿宋_GB2312" w:eastAsia="仿宋_GB2312" w:cs="仿宋_GB2312"/>
          <w:szCs w:val="32"/>
        </w:rPr>
        <w:t>,</w:t>
      </w:r>
      <w:r>
        <w:rPr>
          <w:rFonts w:hint="eastAsia" w:ascii="仿宋_GB2312" w:hAnsi="仿宋_GB2312" w:eastAsia="仿宋_GB2312" w:cs="仿宋_GB2312"/>
          <w:szCs w:val="32"/>
        </w:rPr>
        <w:t>深入实施“七五”普法规划，全面落实“谁执法谁普法”普法责任制，持续加强法治文化建设，实施农村“法律明白人”培养工程，贯彻落实青少年法治教育大纲，加强全县学校法治教师和法治辅导员队伍建设，继续开展“青少年零犯罪零受害社区（村）”项目建设，增强全县人民的法律意识和法治观念。</w:t>
      </w:r>
    </w:p>
    <w:p>
      <w:pPr>
        <w:ind w:firstLine="31680"/>
      </w:pPr>
      <w:r>
        <w:rPr>
          <w:rFonts w:hint="eastAsia"/>
          <w:b/>
          <w:bCs/>
        </w:rPr>
        <w:t>健全社会信用体系</w:t>
      </w:r>
      <w:r>
        <w:rPr>
          <w:rFonts w:hint="eastAsia" w:ascii="仿宋_GB2312" w:hAnsi="仿宋_GB2312" w:eastAsia="仿宋_GB2312" w:cs="仿宋_GB2312"/>
          <w:szCs w:val="32"/>
        </w:rPr>
        <w:t>。大力推进诚信建设制度化，升级县级公共信息信用平台，加快打造全县统一的信息交换共享平台；在各领域开展重点人群信用应用试点，应用信用记录和信用报告，健全信用信息“红黑榜”及信用联合奖惩机制，健全守信联合激励、失信联合惩戒联动机制。加大企业信用数据归集力度，做到部门内部涉企信息“应归尽归”，加强失信企业信息推送，做好失信信息在市场监管各项业务系统嵌入工作，实施信用惠民便企“信易</w:t>
      </w:r>
      <w:r>
        <w:rPr>
          <w:rFonts w:ascii="仿宋_GB2312" w:hAnsi="仿宋_GB2312" w:eastAsia="仿宋_GB2312" w:cs="仿宋_GB2312"/>
          <w:szCs w:val="32"/>
        </w:rPr>
        <w:t>+</w:t>
      </w:r>
      <w:r>
        <w:rPr>
          <w:rFonts w:hint="eastAsia" w:ascii="仿宋_GB2312" w:hAnsi="仿宋_GB2312" w:eastAsia="仿宋_GB2312" w:cs="仿宋_GB2312"/>
          <w:szCs w:val="32"/>
        </w:rPr>
        <w:t>”工程，保持日常监管“双随机”全覆盖。构建个人信用评价体系，建立市民信用积分制度，构建以信用为基础的新型监管机制，探索“互联网</w:t>
      </w:r>
      <w:r>
        <w:rPr>
          <w:rFonts w:ascii="仿宋_GB2312" w:hAnsi="仿宋_GB2312" w:eastAsia="仿宋_GB2312" w:cs="仿宋_GB2312"/>
          <w:szCs w:val="32"/>
        </w:rPr>
        <w:t>+</w:t>
      </w:r>
      <w:r>
        <w:rPr>
          <w:rFonts w:hint="eastAsia" w:ascii="仿宋_GB2312" w:hAnsi="仿宋_GB2312" w:eastAsia="仿宋_GB2312" w:cs="仿宋_GB2312"/>
          <w:szCs w:val="32"/>
        </w:rPr>
        <w:t>监管”模式，实施信用分级分类精准监管，依法依规对重点领域失信主体实施市场、行业措施。健全信用修复机制，加强对新业态的包容审慎监管。组织“诚信宣传”主题活动，积极创建“诚信示范商圈”和“诚信经营文明商户”活动。运用互联网、大数据、云计算、人工智能等信息技术手段，广泛发动公众监督举报网上失信行为，开展诚信等级评价，加强信用恢复培训，营造“诚信永修”健康网络生态。</w:t>
      </w:r>
    </w:p>
    <w:p>
      <w:pPr>
        <w:pStyle w:val="4"/>
        <w:spacing w:before="156" w:after="156"/>
      </w:pPr>
      <w:bookmarkStart w:id="118" w:name="_Toc25335"/>
      <w:bookmarkStart w:id="119" w:name="_Toc25547"/>
      <w:bookmarkStart w:id="120" w:name="_Toc18484"/>
      <w:r>
        <w:rPr>
          <w:rFonts w:hint="eastAsia"/>
        </w:rPr>
        <w:t>第三节</w:t>
      </w:r>
      <w:r>
        <w:t xml:space="preserve"> </w:t>
      </w:r>
      <w:r>
        <w:rPr>
          <w:rFonts w:hint="eastAsia"/>
        </w:rPr>
        <w:t>提升社会治理现代化</w:t>
      </w:r>
      <w:bookmarkEnd w:id="118"/>
      <w:bookmarkEnd w:id="119"/>
      <w:bookmarkEnd w:id="120"/>
    </w:p>
    <w:p>
      <w:pPr>
        <w:ind w:firstLine="31680"/>
        <w:rPr>
          <w:rFonts w:ascii="仿宋_GB2312" w:hAnsi="仿宋_GB2312" w:eastAsia="仿宋_GB2312" w:cs="仿宋_GB2312"/>
          <w:szCs w:val="32"/>
        </w:rPr>
      </w:pPr>
      <w:r>
        <w:rPr>
          <w:rFonts w:hint="eastAsia"/>
          <w:b/>
          <w:bCs/>
        </w:rPr>
        <w:t>推动社会治理重心向基层下移。</w:t>
      </w:r>
      <w:r>
        <w:rPr>
          <w:rFonts w:hint="eastAsia" w:ascii="仿宋_GB2312" w:hAnsi="仿宋_GB2312" w:eastAsia="仿宋_GB2312" w:cs="仿宋_GB2312"/>
          <w:szCs w:val="32"/>
        </w:rPr>
        <w:t>加强基层社会治理体系建设，发挥群团组织和社会组织在社会治理中的作用，畅通和规范市场主体、社会工作者和志愿者等参与社会治理的途径，构建基层社会治理共同体。推动社会治理重心向基层下移、资源下倾、权限下放，构建网格化管理、精细化服务、信息化支撑、开放共享的基层管理服务平台，加强和创新乡村社会治理，推进乡村新时代文明实践中心站所建设，支持社会力量参与社会治理模式。加快构建基层治理队伍能力建设，制定灵活高效的用人制度，壮大基层服务队伍建设。</w:t>
      </w:r>
    </w:p>
    <w:p>
      <w:pPr>
        <w:ind w:firstLine="31680"/>
        <w:rPr>
          <w:rFonts w:ascii="仿宋_GB2312" w:hAnsi="仿宋_GB2312" w:eastAsia="仿宋_GB2312" w:cs="仿宋_GB2312"/>
          <w:szCs w:val="32"/>
        </w:rPr>
      </w:pPr>
      <w:r>
        <w:rPr>
          <w:rFonts w:hint="eastAsia"/>
          <w:b/>
          <w:bCs/>
        </w:rPr>
        <w:t>健全社会矛盾综合治理体制。</w:t>
      </w:r>
      <w:r>
        <w:rPr>
          <w:rFonts w:hint="eastAsia" w:ascii="仿宋_GB2312" w:hAnsi="仿宋_GB2312" w:eastAsia="仿宋_GB2312" w:cs="仿宋_GB2312"/>
          <w:szCs w:val="32"/>
        </w:rPr>
        <w:t>坚持和发展新时代“枫桥经验”，完善社会矛盾纠纷多元化预防调处化解综合机制，全面落实重大决策社会稳定风险评估机制，建立健全议稳工作机制，完善落实涉稳突出问题分类归口处理机制。深入推进律师、第三方社会组织等力量参与矛盾化解，加快专业性社会矛盾调解平台建设，建立农村土地承包经营纠纷调解仲裁体系，完善“民转刑”案件预防机制，健全人民调解、行政调解、司法调解等多元化解纠纷联动工作体系。完善信访工作制度，严格落实领导干部接访下访包联化解信访矛盾制度，着力提升解决群众合理诉求、维护群众合法权益的水平，推进信访工作专业化、法治化、信息化建设，全面推行阳光信访，畅通和规范群众诉求表达、利益协调、权益保障通道，注重抓源头化解矛盾纠纷，及时发现并消除诱发群体性事件的各种因素，切实做到把问题解决在基层、解决在萌芽状态，健全社会心理服务体系和危机干预机制。大力推进“互联网</w:t>
      </w:r>
      <w:r>
        <w:rPr>
          <w:rFonts w:ascii="仿宋_GB2312" w:hAnsi="仿宋_GB2312" w:eastAsia="仿宋_GB2312" w:cs="仿宋_GB2312"/>
          <w:szCs w:val="32"/>
        </w:rPr>
        <w:t>+</w:t>
      </w:r>
      <w:r>
        <w:rPr>
          <w:rFonts w:hint="eastAsia" w:ascii="仿宋_GB2312" w:hAnsi="仿宋_GB2312" w:eastAsia="仿宋_GB2312" w:cs="仿宋_GB2312"/>
          <w:szCs w:val="32"/>
        </w:rPr>
        <w:t>政法服务”建设，近距离、高效率服务人民群众，构建民生智能服务网，打通服务群众</w:t>
      </w:r>
      <w:r>
        <w:rPr>
          <w:rFonts w:hint="eastAsia" w:ascii="仿宋_GB2312" w:hAnsi="仿宋_GB2312" w:eastAsia="仿宋_GB2312" w:cs="仿宋_GB2312"/>
          <w:szCs w:val="32"/>
          <w:lang w:eastAsia="zh-CN"/>
        </w:rPr>
        <w:t>“最后一公里”</w:t>
      </w:r>
      <w:r>
        <w:rPr>
          <w:rFonts w:hint="eastAsia" w:ascii="仿宋_GB2312" w:hAnsi="仿宋_GB2312" w:eastAsia="仿宋_GB2312" w:cs="仿宋_GB2312"/>
          <w:szCs w:val="32"/>
        </w:rPr>
        <w:t>。</w:t>
      </w:r>
    </w:p>
    <w:p>
      <w:pPr>
        <w:spacing w:line="240" w:lineRule="auto"/>
        <w:ind w:firstLine="31680"/>
        <w:rPr>
          <w:rFonts w:ascii="仿宋_GB2312" w:hAnsi="仿宋_GB2312" w:eastAsia="仿宋_GB2312" w:cs="仿宋_GB2312"/>
          <w:szCs w:val="32"/>
        </w:rPr>
      </w:pPr>
      <w:r>
        <w:rPr>
          <w:rFonts w:hint="eastAsia"/>
          <w:b/>
          <w:bCs/>
        </w:rPr>
        <w:t>优化应急管理能力体系建设。</w:t>
      </w:r>
      <w:r>
        <w:rPr>
          <w:rFonts w:hint="eastAsia" w:ascii="仿宋_GB2312" w:hAnsi="仿宋_GB2312" w:eastAsia="仿宋_GB2312" w:cs="仿宋_GB2312"/>
          <w:szCs w:val="32"/>
        </w:rPr>
        <w:t>完善应急管理和防灾减灾救灾体制机制，强化联防联控联处机制，推进实施灾害防治重点工程，提高应急管理水平和自然灾害防治救援能力，加强对次生灾害预报，提高局部强降雨、台风、山洪等预测预报水平，强化重要堤防、重要设施防护，全面推进堤防和蓄滞洪区建设。完善重大疫情防控体系，提高突发公共卫生事件应急处置及医疗救治能力。</w:t>
      </w:r>
    </w:p>
    <w:p>
      <w:pPr>
        <w:spacing w:line="240" w:lineRule="auto"/>
        <w:ind w:firstLine="0" w:firstLineChars="0"/>
        <w:jc w:val="left"/>
        <w:rPr>
          <w:rFonts w:ascii="仿宋_GB2312" w:hAnsi="仿宋_GB2312" w:eastAsia="仿宋_GB2312" w:cs="仿宋_GB2312"/>
          <w:szCs w:val="32"/>
        </w:rPr>
      </w:pPr>
      <w:r>
        <w:rPr>
          <w:rFonts w:ascii="仿宋_GB2312" w:hAnsi="仿宋_GB2312" w:eastAsia="仿宋_GB2312" w:cs="仿宋_GB2312"/>
          <w:szCs w:val="32"/>
        </w:rPr>
        <w:t xml:space="preserve">    </w:t>
      </w:r>
      <w:r>
        <w:rPr>
          <w:rFonts w:hint="eastAsia"/>
          <w:b/>
          <w:bCs/>
        </w:rPr>
        <w:t>防范化解重大风险。</w:t>
      </w:r>
      <w:r>
        <w:rPr>
          <w:rFonts w:hint="eastAsia" w:ascii="仿宋_GB2312" w:hAnsi="仿宋_GB2312" w:eastAsia="仿宋_GB2312" w:cs="仿宋_GB2312"/>
          <w:szCs w:val="32"/>
        </w:rPr>
        <w:t>构建科学风险处置机制。牢固树立风险意识、底线思维，聚焦防范化解各领域风险，系统建立应对经济危机、自然灾害、恐怖事件、泄毒事件、严重传染病等重大风险的治理体系。加强对各种风险源的调查研判，完善相关风险信息统计报告制度、整理分析及风险预测制度、风险信息反馈及告警制度，健全防范化解风险机制，增强预测、研判、防范、化解风险能力，提高防范化解风险的整体效能。继续落实县政府债务风险评估和预警工作，进一步规范地方政府的举债主体、举债方式、规模控制，建立防范债务风险制度保障，不断加强与相关部门协调配合，确保政府债务风险可控；全面防范金融风险，守住不发生区域性金融风险底线。建立风险监测预警体系，提高动态监测、实时预警、应急处置能力，加强对股市、债市、汇市实时监测，建立融资平台公司资金动态监管机制，摸清融资平台公司的货币资金情况，防控融资平台债务支付风险。</w:t>
      </w:r>
    </w:p>
    <w:p>
      <w:pPr>
        <w:pStyle w:val="4"/>
        <w:spacing w:before="156" w:after="156"/>
      </w:pPr>
      <w:bookmarkStart w:id="121" w:name="_Toc30156"/>
      <w:bookmarkStart w:id="122" w:name="_Toc9270"/>
      <w:bookmarkStart w:id="123" w:name="_Toc1617"/>
      <w:bookmarkStart w:id="124" w:name="_Toc28116"/>
      <w:bookmarkStart w:id="125" w:name="_Toc26698"/>
      <w:r>
        <w:rPr>
          <w:rFonts w:hint="eastAsia"/>
        </w:rPr>
        <w:t>第四节</w:t>
      </w:r>
      <w:r>
        <w:t xml:space="preserve"> </w:t>
      </w:r>
      <w:r>
        <w:rPr>
          <w:rFonts w:hint="eastAsia"/>
        </w:rPr>
        <w:t>推进社会主义民主政治永修实践</w:t>
      </w:r>
      <w:bookmarkEnd w:id="121"/>
      <w:bookmarkEnd w:id="122"/>
      <w:bookmarkEnd w:id="123"/>
      <w:bookmarkEnd w:id="124"/>
      <w:bookmarkEnd w:id="125"/>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坚持和完善人民代表大会制度。</w:t>
      </w:r>
      <w:r>
        <w:rPr>
          <w:rFonts w:hint="eastAsia" w:ascii="仿宋_GB2312" w:hAnsi="仿宋_GB2312" w:eastAsia="仿宋_GB2312" w:cs="仿宋_GB2312"/>
          <w:color w:val="000000"/>
          <w:szCs w:val="32"/>
        </w:rPr>
        <w:t>高举人民民主旗帜，毫不动摇坚持人民代表大会制度，与时俱进完善人民代表大会制度，坚定不移走中国特色社会主义政治发展道路，继续推进社会主义民主政治建设、发展社会主义政治文明。健全人大对“一府一委两院”监督制度，完善人大常委会听取审议专项工作报告制度，改进执法检查、专题询问、专项工作评议组织方式，探索运用质询、特定问题调查等监督方式，切实增强监督实效。</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落实中国共产党领导的多党合作和政治协商制度。</w:t>
      </w:r>
      <w:r>
        <w:rPr>
          <w:rFonts w:hint="eastAsia" w:ascii="仿宋_GB2312" w:hAnsi="仿宋_GB2312" w:eastAsia="仿宋_GB2312" w:cs="仿宋_GB2312"/>
          <w:color w:val="000000"/>
          <w:szCs w:val="32"/>
        </w:rPr>
        <w:t>发挥人民政协作为政治组织和民主形式的效能，提高政治协商、民主监督、参政议政水平，更好疑聚共识。强化政协委员责任担当制度、专门委员会工作制度、人民政协理论研究制度、</w:t>
      </w:r>
      <w:r>
        <w:rPr>
          <w:rFonts w:hint="eastAsia" w:ascii="仿宋_GB2312" w:hAnsi="仿宋_GB2312" w:eastAsia="仿宋_GB2312" w:cs="仿宋_GB2312"/>
          <w:szCs w:val="32"/>
        </w:rPr>
        <w:t>县</w:t>
      </w:r>
      <w:r>
        <w:rPr>
          <w:rFonts w:hint="eastAsia" w:ascii="仿宋_GB2312" w:hAnsi="仿宋_GB2312" w:eastAsia="仿宋_GB2312" w:cs="仿宋_GB2312"/>
          <w:color w:val="000000"/>
          <w:szCs w:val="32"/>
        </w:rPr>
        <w:t>政协工作制度、政协系统联系指导工作制度。完善人民政协专门协商机构制度，丰富协商形式，健全协商规则，优化界别设置，健全发扬民主和增进团结相互贯通、建言资政和凝聚共识双向发力的程序机制。</w:t>
      </w:r>
    </w:p>
    <w:p>
      <w:pPr>
        <w:ind w:firstLine="31680"/>
        <w:rPr>
          <w:rFonts w:ascii="仿宋_GB2312" w:hAnsi="仿宋_GB2312" w:eastAsia="仿宋_GB2312" w:cs="仿宋_GB2312"/>
          <w:szCs w:val="32"/>
        </w:rPr>
      </w:pPr>
      <w:r>
        <w:rPr>
          <w:rFonts w:hint="eastAsia" w:ascii="仿宋_GB2312" w:hAnsi="仿宋_GB2312" w:eastAsia="仿宋_GB2312" w:cs="仿宋_GB2312"/>
          <w:b/>
          <w:bCs/>
          <w:color w:val="000000"/>
          <w:szCs w:val="32"/>
        </w:rPr>
        <w:t>巩固和发展最广泛的爱国统一战线。</w:t>
      </w:r>
      <w:r>
        <w:rPr>
          <w:rFonts w:hint="eastAsia" w:ascii="仿宋_GB2312" w:hAnsi="仿宋_GB2312" w:eastAsia="仿宋_GB2312" w:cs="仿宋_GB2312"/>
          <w:color w:val="000000"/>
          <w:szCs w:val="32"/>
        </w:rPr>
        <w:t>坚持党委统一领导、统战部牵头协调、有关方面各负其责的大统战工作格局，形成工作合力，完善照顾好同盟者利益政策，促进政党关系、民族关系、宗教关系、阶层关系、海内外同胞关系和谐。积极引导宗教与社会主义社会相适应。健全党外代表人士队伍建设制度，完善联系民主党派和无党派人士、非公有制经济人士、党外知识分子、新的社会阶层人士工作机制，凝聚港澳同胞、台湾同胞、海外侨胞力量。健全基层党组织领导的基层群众自治机制，广泛实行群众自我管理、自我服务、自我教育、自我监督，拓宽人民群众反映意见和建议的渠道，着力推进基层直接民主制度化、规范化、程序化。</w:t>
      </w:r>
    </w:p>
    <w:p>
      <w:pPr>
        <w:ind w:firstLine="31680"/>
      </w:pPr>
      <w:r>
        <w:br w:type="page"/>
      </w:r>
    </w:p>
    <w:p>
      <w:pPr>
        <w:pStyle w:val="3"/>
        <w:spacing w:before="156" w:after="156"/>
      </w:pPr>
      <w:bookmarkStart w:id="126" w:name="_Toc32605"/>
      <w:r>
        <w:rPr>
          <w:rFonts w:hint="eastAsia"/>
        </w:rPr>
        <w:t>第十三章</w:t>
      </w:r>
      <w:r>
        <w:t xml:space="preserve"> </w:t>
      </w:r>
      <w:r>
        <w:rPr>
          <w:rFonts w:hint="eastAsia"/>
        </w:rPr>
        <w:t>坚持党的全面领导，实现永修规划新蓝图</w:t>
      </w:r>
      <w:bookmarkEnd w:id="12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实现</w:t>
      </w:r>
      <w:r>
        <w:rPr>
          <w:rFonts w:ascii="仿宋_GB2312" w:hAnsi="仿宋_GB2312" w:eastAsia="仿宋_GB2312" w:cs="仿宋_GB2312"/>
          <w:szCs w:val="32"/>
        </w:rPr>
        <w:t>?</w:t>
      </w:r>
      <w:r>
        <w:rPr>
          <w:rFonts w:hint="eastAsia" w:ascii="仿宋_GB2312" w:hAnsi="仿宋_GB2312" w:eastAsia="仿宋_GB2312" w:cs="仿宋_GB2312"/>
          <w:szCs w:val="32"/>
        </w:rPr>
        <w:t>°十四五</w:t>
      </w:r>
      <w:r>
        <w:rPr>
          <w:rFonts w:ascii="仿宋_GB2312" w:hAnsi="仿宋_GB2312" w:eastAsia="仿宋_GB2312" w:cs="仿宋_GB2312"/>
          <w:szCs w:val="32"/>
        </w:rPr>
        <w:t>?</w:t>
      </w:r>
      <w:r>
        <w:rPr>
          <w:rFonts w:hint="eastAsia" w:ascii="仿宋_GB2312" w:hAnsi="仿宋_GB2312" w:eastAsia="仿宋_GB2312" w:cs="仿宋_GB2312"/>
          <w:szCs w:val="32"/>
        </w:rPr>
        <w:t>±规划和二〇三五年远景目标，必须坚持和加强党的全面领导，充分调动一切积极因素，广泛团结一切可以团结的力量，形成推动高质量跨越式发展的强大合力，为奋力谱写全面建设社会主义现代化国家永修篇章提供坚实保障。</w:t>
      </w:r>
    </w:p>
    <w:p>
      <w:pPr>
        <w:pStyle w:val="4"/>
        <w:spacing w:before="156" w:after="156"/>
      </w:pPr>
      <w:bookmarkStart w:id="127" w:name="_Toc31007"/>
      <w:r>
        <w:rPr>
          <w:rFonts w:hint="eastAsia"/>
        </w:rPr>
        <w:t>第一节</w:t>
      </w:r>
      <w:r>
        <w:t xml:space="preserve"> </w:t>
      </w:r>
      <w:r>
        <w:rPr>
          <w:rFonts w:hint="eastAsia"/>
        </w:rPr>
        <w:t>全面加强党的领导</w:t>
      </w:r>
      <w:bookmarkEnd w:id="12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坚持党总揽全局协调各方。</w:t>
      </w:r>
      <w:r>
        <w:rPr>
          <w:rFonts w:hint="eastAsia" w:ascii="仿宋_GB2312" w:hAnsi="仿宋_GB2312" w:eastAsia="仿宋_GB2312" w:cs="仿宋_GB2312"/>
          <w:szCs w:val="32"/>
        </w:rPr>
        <w:t>坚决贯彻落实中央、省委、市委的各项决策部署，充分发挥各级党委在经济社会发展工作中把握方向、谋划全局、制定政策、推进改革的领导核心作用，完善党委定期分析经济形势、研究重大举措、破解发展难题的工作机制，深化干部人事制度改革，优化领导班子知识结构和专业结构，提升引领经济发展新常态的能力，大力推进治理体系和治理能力现代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完善党领导社会经济发展的体制机制。</w:t>
      </w:r>
      <w:r>
        <w:rPr>
          <w:rFonts w:hint="eastAsia" w:ascii="仿宋_GB2312" w:hAnsi="仿宋_GB2312" w:eastAsia="仿宋_GB2312" w:cs="仿宋_GB2312"/>
          <w:szCs w:val="32"/>
        </w:rPr>
        <w:t>健全决策机制，完善党委研究经济社会发展战略，研究重大方针政策的工作机制。全面贯彻新时代党的组织路线，加强干部队伍建设，落实好干部标准，提高各级领导班子和干部适应新时代要求抓改革、促发展、促稳定水平和专业化能力。加强对敢担当善作为干部的激励保护，以正确用人导向引领干事创业导向。坚持党管人才原则，完善人才工作，培养造就大批德才兼备的高素质人才。</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推进清廉永修建设。</w:t>
      </w:r>
      <w:r>
        <w:rPr>
          <w:rFonts w:hint="eastAsia" w:ascii="仿宋_GB2312" w:hAnsi="仿宋_GB2312" w:eastAsia="仿宋_GB2312" w:cs="仿宋_GB2312"/>
          <w:szCs w:val="32"/>
        </w:rPr>
        <w:t>落实全面从严治党主体责任、监督责任，提高党的建设质量。大力弘扬井冈山精神和苏区精神，锲而不舍落实中央八项规定精神，持续纠正治形式主义、官僚主义，深入整治“怕、慢、假、庸、散”作风顽疾，持之以恒加强作风建设，把严的主基调长期坚持下去，保持惩治腐败高压态势。健全作风建设长效机制，营造风清气正的良好政治生态。</w:t>
      </w:r>
    </w:p>
    <w:p>
      <w:pPr>
        <w:pStyle w:val="4"/>
        <w:spacing w:before="156" w:after="156"/>
        <w:rPr>
          <w:rFonts w:ascii="仿宋_GB2312" w:hAnsi="仿宋_GB2312" w:eastAsia="仿宋_GB2312" w:cs="仿宋_GB2312"/>
          <w:color w:val="auto"/>
          <w:szCs w:val="32"/>
        </w:rPr>
      </w:pPr>
      <w:bookmarkStart w:id="128" w:name="_Toc2280"/>
      <w:r>
        <w:rPr>
          <w:rFonts w:hint="eastAsia"/>
        </w:rPr>
        <w:t>第二节</w:t>
      </w:r>
      <w:r>
        <w:t xml:space="preserve"> </w:t>
      </w:r>
      <w:r>
        <w:rPr>
          <w:rFonts w:hint="eastAsia"/>
        </w:rPr>
        <w:t>积极争取政策支持</w:t>
      </w:r>
      <w:bookmarkEnd w:id="12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用好用足国家在政策、项目、资金等方面的支持，挖掘政策潜力，释放政策效应。重点在产业发展、基础设施、城市建设、农林水利和社会民生等领域积极争取国家、省、市政策和资金支持。准确把握国家、省政策支持的重点领域，积极做好政策和项目申报准备，做好上级申报部门的对接，积极争取上级政策支持。对纳入国家、省级、市级层面的重大工程项目，应简化审批核准程序，优先保障重大工程项目选址、土地供应和融资安排。</w:t>
      </w:r>
    </w:p>
    <w:p>
      <w:pPr>
        <w:pStyle w:val="4"/>
        <w:spacing w:before="156" w:after="156"/>
        <w:rPr>
          <w:rFonts w:ascii="仿宋_GB2312" w:hAnsi="仿宋_GB2312" w:eastAsia="仿宋_GB2312" w:cs="仿宋_GB2312"/>
          <w:color w:val="auto"/>
          <w:szCs w:val="32"/>
        </w:rPr>
      </w:pPr>
      <w:bookmarkStart w:id="129" w:name="_Toc24845"/>
      <w:r>
        <w:rPr>
          <w:rFonts w:hint="eastAsia"/>
        </w:rPr>
        <w:t>第三节</w:t>
      </w:r>
      <w:r>
        <w:t xml:space="preserve"> </w:t>
      </w:r>
      <w:r>
        <w:rPr>
          <w:rFonts w:hint="eastAsia"/>
        </w:rPr>
        <w:t>健全规划联动机制</w:t>
      </w:r>
      <w:bookmarkEnd w:id="129"/>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强化规划衔接与政策协调。</w:t>
      </w:r>
      <w:r>
        <w:rPr>
          <w:rFonts w:hint="eastAsia" w:ascii="仿宋_GB2312" w:hAnsi="仿宋_GB2312" w:eastAsia="仿宋_GB2312" w:cs="仿宋_GB2312"/>
          <w:szCs w:val="32"/>
        </w:rPr>
        <w:t>强化国民经济和社会发展总体规划的纲领性和指导性地位，加强各级规划与总体规划的衔接协调，注重政策目标与政策工具、短期政策与长期政策的衔接配合。优化财政支出结构和政府投资结构，建立与规划任务相匹配的政府投资规模机制。加强部门联动，推动相关专项领域的发展思路和规划研究编制，并与上级部门衔接，谋划一批重大项目、一批重大工程、一批重大政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突出规划实施支撑。</w:t>
      </w:r>
      <w:r>
        <w:rPr>
          <w:rFonts w:hint="eastAsia" w:ascii="仿宋_GB2312" w:hAnsi="仿宋_GB2312" w:eastAsia="仿宋_GB2312" w:cs="仿宋_GB2312"/>
          <w:szCs w:val="32"/>
        </w:rPr>
        <w:t>对规划确定的目标，落实项目、任务、资金和政策等责任分工单位，制定具体的实施方案。强化人力资源和资金保障，改善财政支出和政府投资结构，中期财政规划和年度预算要结合本规划提出的目标任务和财力可能，年度预算安排要优先考虑本规划实施的年度需要。加强存量整合，优化增量安排，优先安排本规划提出的设计民生保障、公共服务、公共安全、生态环境等领域的财政投入，加强财政资金使用的审计监督，厉行勤俭节约，严控行政成本。</w:t>
      </w:r>
    </w:p>
    <w:p>
      <w:pPr>
        <w:pStyle w:val="4"/>
        <w:spacing w:before="156" w:after="156"/>
      </w:pPr>
      <w:bookmarkStart w:id="130" w:name="_Toc1549"/>
      <w:r>
        <w:rPr>
          <w:rFonts w:hint="eastAsia"/>
        </w:rPr>
        <w:t>第四节</w:t>
      </w:r>
      <w:r>
        <w:t xml:space="preserve"> </w:t>
      </w:r>
      <w:r>
        <w:rPr>
          <w:rFonts w:hint="eastAsia"/>
        </w:rPr>
        <w:t>加强规划监管评估</w:t>
      </w:r>
      <w:bookmarkEnd w:id="13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建立长效化的监督考核机制。搭建好监督平台，自觉接受新闻媒体、群众社团在规划实施全过程中的监督，充分听取社会各界、广大群众对规划实施的意见建议。强化对民生改善、生态文明、经济发展和基本公共服务等目标任务完成情况的综合评价考核，建立科学合理的各级政府考核机制，考核结果作为各级政府领导班子调整和领导干部选拔任用、奖励惩戒的重要依据。引导正确的发展观和政绩观，注重主要指标和工作任务落实情况的动态数据采集、监测、评估和考核。完善规划中期评估和末期全面评估制度，对重点领域的突出问题适时开展专题评估，创新评估方式，积极引入社会机构参与评估，评估报告提请市人大常委会审议。加强规划实施情况动态监测，及时发现规划实施存在的问题。对规划进行修订调整，由县政府提出方案报县人民代表大会常务委员会批准。加大规划宣传力度，积极探索创新公众参与形式，拓宽公众参与渠道，完善规划实施的公众参与和民主监督机制。及时公开规划实施情况，主动接受社会监督。</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8"/>
                  <w:ind w:firstLine="31680"/>
                </w:pPr>
                <w:r>
                  <w:fldChar w:fldCharType="begin"/>
                </w:r>
                <w:r>
                  <w:instrText xml:space="preserve"> PAGE  \* MERGEFORMAT </w:instrText>
                </w:r>
                <w:r>
                  <w:fldChar w:fldCharType="separate"/>
                </w:r>
                <w:r>
                  <w:t>120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6851E"/>
    <w:multiLevelType w:val="singleLevel"/>
    <w:tmpl w:val="AD96851E"/>
    <w:lvl w:ilvl="0" w:tentative="0">
      <w:start w:val="4"/>
      <w:numFmt w:val="chineseCounting"/>
      <w:suff w:val="nothing"/>
      <w:lvlText w:val="（%1）"/>
      <w:lvlJc w:val="left"/>
      <w:rPr>
        <w:rFonts w:hint="eastAsia" w:cs="Times New Roman"/>
      </w:rPr>
    </w:lvl>
  </w:abstractNum>
  <w:abstractNum w:abstractNumId="1">
    <w:nsid w:val="B1D530EC"/>
    <w:multiLevelType w:val="singleLevel"/>
    <w:tmpl w:val="B1D530EC"/>
    <w:lvl w:ilvl="0" w:tentative="0">
      <w:start w:val="1"/>
      <w:numFmt w:val="chineseCounting"/>
      <w:suff w:val="nothing"/>
      <w:lvlText w:val="（%1）"/>
      <w:lvlJc w:val="left"/>
      <w:rPr>
        <w:rFonts w:hint="eastAsia" w:cs="Times New Roman"/>
      </w:rPr>
    </w:lvl>
  </w:abstractNum>
  <w:abstractNum w:abstractNumId="2">
    <w:nsid w:val="0A5045D9"/>
    <w:multiLevelType w:val="singleLevel"/>
    <w:tmpl w:val="0A5045D9"/>
    <w:lvl w:ilvl="0" w:tentative="0">
      <w:start w:val="1"/>
      <w:numFmt w:val="chineseCounting"/>
      <w:suff w:val="nothing"/>
      <w:lvlText w:val="（%1）"/>
      <w:lvlJc w:val="left"/>
      <w:rPr>
        <w:rFonts w:hint="eastAsia" w:cs="Times New Roman"/>
      </w:rPr>
    </w:lvl>
  </w:abstractNum>
  <w:abstractNum w:abstractNumId="3">
    <w:nsid w:val="44CA074B"/>
    <w:multiLevelType w:val="singleLevel"/>
    <w:tmpl w:val="44CA074B"/>
    <w:lvl w:ilvl="0" w:tentative="0">
      <w:start w:val="1"/>
      <w:numFmt w:val="chineseCounting"/>
      <w:suff w:val="nothing"/>
      <w:lvlText w:val="（%1）"/>
      <w:lvlJc w:val="left"/>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kxZTNkYTE4MzcwZjBiNTE3ZTU5YTYxZWM3NjgzODMifQ=="/>
  </w:docVars>
  <w:rsids>
    <w:rsidRoot w:val="002013EE"/>
    <w:rsid w:val="000247EA"/>
    <w:rsid w:val="0004769E"/>
    <w:rsid w:val="000F4940"/>
    <w:rsid w:val="001507B6"/>
    <w:rsid w:val="00167E91"/>
    <w:rsid w:val="001D3E27"/>
    <w:rsid w:val="002013EE"/>
    <w:rsid w:val="00226155"/>
    <w:rsid w:val="00314A4A"/>
    <w:rsid w:val="003C1B3D"/>
    <w:rsid w:val="003C6C9B"/>
    <w:rsid w:val="003E33D9"/>
    <w:rsid w:val="00414697"/>
    <w:rsid w:val="004A31D9"/>
    <w:rsid w:val="004D431F"/>
    <w:rsid w:val="005224F3"/>
    <w:rsid w:val="005940C7"/>
    <w:rsid w:val="005B5660"/>
    <w:rsid w:val="005C499B"/>
    <w:rsid w:val="005E0611"/>
    <w:rsid w:val="00647839"/>
    <w:rsid w:val="006E3F9B"/>
    <w:rsid w:val="00705040"/>
    <w:rsid w:val="00721B6D"/>
    <w:rsid w:val="00722237"/>
    <w:rsid w:val="00762460"/>
    <w:rsid w:val="00803E37"/>
    <w:rsid w:val="00853973"/>
    <w:rsid w:val="00885805"/>
    <w:rsid w:val="008E16DA"/>
    <w:rsid w:val="008E5517"/>
    <w:rsid w:val="0096384E"/>
    <w:rsid w:val="00976892"/>
    <w:rsid w:val="009A48DE"/>
    <w:rsid w:val="009C1D2C"/>
    <w:rsid w:val="009E30CA"/>
    <w:rsid w:val="009E7678"/>
    <w:rsid w:val="00A17E64"/>
    <w:rsid w:val="00A430BA"/>
    <w:rsid w:val="00AA6BA6"/>
    <w:rsid w:val="00B549D6"/>
    <w:rsid w:val="00B65EC9"/>
    <w:rsid w:val="00BB018D"/>
    <w:rsid w:val="00BF72CD"/>
    <w:rsid w:val="00C45DA8"/>
    <w:rsid w:val="00C924DF"/>
    <w:rsid w:val="00CC6D6D"/>
    <w:rsid w:val="00CD1009"/>
    <w:rsid w:val="00CE4F2D"/>
    <w:rsid w:val="00D02CFA"/>
    <w:rsid w:val="00D17F91"/>
    <w:rsid w:val="00D364F9"/>
    <w:rsid w:val="00DB6108"/>
    <w:rsid w:val="00E13AAF"/>
    <w:rsid w:val="00E86B65"/>
    <w:rsid w:val="00EA19D7"/>
    <w:rsid w:val="00EE6392"/>
    <w:rsid w:val="00F10AC6"/>
    <w:rsid w:val="010E213E"/>
    <w:rsid w:val="01103506"/>
    <w:rsid w:val="011461BF"/>
    <w:rsid w:val="011B73AA"/>
    <w:rsid w:val="01292701"/>
    <w:rsid w:val="014D002C"/>
    <w:rsid w:val="016C73FA"/>
    <w:rsid w:val="016F6B2B"/>
    <w:rsid w:val="01734EDC"/>
    <w:rsid w:val="01767D72"/>
    <w:rsid w:val="019E13C9"/>
    <w:rsid w:val="01A02570"/>
    <w:rsid w:val="01AB1BF7"/>
    <w:rsid w:val="01B0670B"/>
    <w:rsid w:val="01B558D1"/>
    <w:rsid w:val="01D400B4"/>
    <w:rsid w:val="01E435F5"/>
    <w:rsid w:val="01E86F87"/>
    <w:rsid w:val="01EB4D2F"/>
    <w:rsid w:val="01F36CE7"/>
    <w:rsid w:val="021A4900"/>
    <w:rsid w:val="022A67B9"/>
    <w:rsid w:val="023D26C3"/>
    <w:rsid w:val="028F5133"/>
    <w:rsid w:val="02A66E86"/>
    <w:rsid w:val="02B45C3A"/>
    <w:rsid w:val="02FD3AE3"/>
    <w:rsid w:val="031D167F"/>
    <w:rsid w:val="0328683D"/>
    <w:rsid w:val="037B29F1"/>
    <w:rsid w:val="03930C40"/>
    <w:rsid w:val="0395449D"/>
    <w:rsid w:val="03973603"/>
    <w:rsid w:val="03C625F2"/>
    <w:rsid w:val="03D617B3"/>
    <w:rsid w:val="03EA2398"/>
    <w:rsid w:val="040A0015"/>
    <w:rsid w:val="040E7FAF"/>
    <w:rsid w:val="04260A6E"/>
    <w:rsid w:val="044741F5"/>
    <w:rsid w:val="04504662"/>
    <w:rsid w:val="04706E0D"/>
    <w:rsid w:val="0470722E"/>
    <w:rsid w:val="04847CBE"/>
    <w:rsid w:val="04C04B4A"/>
    <w:rsid w:val="04CE1143"/>
    <w:rsid w:val="04DB2699"/>
    <w:rsid w:val="04DB2C18"/>
    <w:rsid w:val="04EA590F"/>
    <w:rsid w:val="04EB0220"/>
    <w:rsid w:val="05002322"/>
    <w:rsid w:val="0504077C"/>
    <w:rsid w:val="05062976"/>
    <w:rsid w:val="050D7F81"/>
    <w:rsid w:val="05271629"/>
    <w:rsid w:val="053D3ECE"/>
    <w:rsid w:val="054034CF"/>
    <w:rsid w:val="05433C0A"/>
    <w:rsid w:val="055B0AA9"/>
    <w:rsid w:val="05696795"/>
    <w:rsid w:val="05730685"/>
    <w:rsid w:val="057C443F"/>
    <w:rsid w:val="058006CD"/>
    <w:rsid w:val="05821377"/>
    <w:rsid w:val="058B44A4"/>
    <w:rsid w:val="058D2F8B"/>
    <w:rsid w:val="0590368B"/>
    <w:rsid w:val="059973A1"/>
    <w:rsid w:val="059E417E"/>
    <w:rsid w:val="05B258A0"/>
    <w:rsid w:val="05B33981"/>
    <w:rsid w:val="05C402BF"/>
    <w:rsid w:val="061B47BB"/>
    <w:rsid w:val="06422298"/>
    <w:rsid w:val="064D0701"/>
    <w:rsid w:val="069355F8"/>
    <w:rsid w:val="06A61CCB"/>
    <w:rsid w:val="06B16C80"/>
    <w:rsid w:val="0710522B"/>
    <w:rsid w:val="071D508F"/>
    <w:rsid w:val="07372AAB"/>
    <w:rsid w:val="073F41A8"/>
    <w:rsid w:val="07414A52"/>
    <w:rsid w:val="0745059D"/>
    <w:rsid w:val="07484799"/>
    <w:rsid w:val="075B76F9"/>
    <w:rsid w:val="076956C9"/>
    <w:rsid w:val="07772832"/>
    <w:rsid w:val="07836E6D"/>
    <w:rsid w:val="07937D76"/>
    <w:rsid w:val="07954FFD"/>
    <w:rsid w:val="079C039E"/>
    <w:rsid w:val="07D15A4A"/>
    <w:rsid w:val="07D249CA"/>
    <w:rsid w:val="07D80651"/>
    <w:rsid w:val="07E36BD3"/>
    <w:rsid w:val="07E44512"/>
    <w:rsid w:val="07ED0C7C"/>
    <w:rsid w:val="08043367"/>
    <w:rsid w:val="080E50B5"/>
    <w:rsid w:val="08147CF7"/>
    <w:rsid w:val="082453C9"/>
    <w:rsid w:val="083F1108"/>
    <w:rsid w:val="08527492"/>
    <w:rsid w:val="08657F26"/>
    <w:rsid w:val="087A17FB"/>
    <w:rsid w:val="08960DEA"/>
    <w:rsid w:val="08995C41"/>
    <w:rsid w:val="08C05FC7"/>
    <w:rsid w:val="08C46084"/>
    <w:rsid w:val="08E50193"/>
    <w:rsid w:val="08F604EB"/>
    <w:rsid w:val="09041FC9"/>
    <w:rsid w:val="090D0C7F"/>
    <w:rsid w:val="090D1930"/>
    <w:rsid w:val="09167FAD"/>
    <w:rsid w:val="091A35E6"/>
    <w:rsid w:val="091F04D8"/>
    <w:rsid w:val="093330A2"/>
    <w:rsid w:val="09344230"/>
    <w:rsid w:val="093D668A"/>
    <w:rsid w:val="093F13B3"/>
    <w:rsid w:val="09506D3C"/>
    <w:rsid w:val="0963378D"/>
    <w:rsid w:val="098346C0"/>
    <w:rsid w:val="09A64442"/>
    <w:rsid w:val="09AC071C"/>
    <w:rsid w:val="09B04DFB"/>
    <w:rsid w:val="09D56B8F"/>
    <w:rsid w:val="09F563CA"/>
    <w:rsid w:val="09FB2AB9"/>
    <w:rsid w:val="0A0D1213"/>
    <w:rsid w:val="0A1A4591"/>
    <w:rsid w:val="0A1D3B3C"/>
    <w:rsid w:val="0A3953C2"/>
    <w:rsid w:val="0A3A223B"/>
    <w:rsid w:val="0A3C1CD9"/>
    <w:rsid w:val="0A4A5A86"/>
    <w:rsid w:val="0A525563"/>
    <w:rsid w:val="0A564CF1"/>
    <w:rsid w:val="0A5D7320"/>
    <w:rsid w:val="0A786118"/>
    <w:rsid w:val="0A813371"/>
    <w:rsid w:val="0A8B50FC"/>
    <w:rsid w:val="0A9D4E74"/>
    <w:rsid w:val="0AAB0FD6"/>
    <w:rsid w:val="0ABD66CF"/>
    <w:rsid w:val="0ABF7CCC"/>
    <w:rsid w:val="0AD565C3"/>
    <w:rsid w:val="0AE07936"/>
    <w:rsid w:val="0AE9763E"/>
    <w:rsid w:val="0AF4531E"/>
    <w:rsid w:val="0B18130C"/>
    <w:rsid w:val="0B1A4955"/>
    <w:rsid w:val="0B1B16BD"/>
    <w:rsid w:val="0B1B66BD"/>
    <w:rsid w:val="0B1D52AB"/>
    <w:rsid w:val="0B34514F"/>
    <w:rsid w:val="0B3947D9"/>
    <w:rsid w:val="0B5A77FD"/>
    <w:rsid w:val="0B7A10C9"/>
    <w:rsid w:val="0B840455"/>
    <w:rsid w:val="0BAA2618"/>
    <w:rsid w:val="0BF2721A"/>
    <w:rsid w:val="0BFD472B"/>
    <w:rsid w:val="0C046185"/>
    <w:rsid w:val="0C08752D"/>
    <w:rsid w:val="0C3C11C6"/>
    <w:rsid w:val="0C410C2B"/>
    <w:rsid w:val="0C5A453B"/>
    <w:rsid w:val="0C75638A"/>
    <w:rsid w:val="0C774FBD"/>
    <w:rsid w:val="0C955E46"/>
    <w:rsid w:val="0CA423D6"/>
    <w:rsid w:val="0CB43BE0"/>
    <w:rsid w:val="0CC404B0"/>
    <w:rsid w:val="0CC93AC5"/>
    <w:rsid w:val="0CE24CC4"/>
    <w:rsid w:val="0CE973E4"/>
    <w:rsid w:val="0CF04E10"/>
    <w:rsid w:val="0D035C1B"/>
    <w:rsid w:val="0D062FC9"/>
    <w:rsid w:val="0D073CAC"/>
    <w:rsid w:val="0D165EEB"/>
    <w:rsid w:val="0D172C27"/>
    <w:rsid w:val="0D2E7445"/>
    <w:rsid w:val="0D433A76"/>
    <w:rsid w:val="0D4E744E"/>
    <w:rsid w:val="0D500031"/>
    <w:rsid w:val="0D6D7936"/>
    <w:rsid w:val="0D7F1609"/>
    <w:rsid w:val="0DA17F56"/>
    <w:rsid w:val="0DA74823"/>
    <w:rsid w:val="0DC14333"/>
    <w:rsid w:val="0DE13A3C"/>
    <w:rsid w:val="0DF10B7B"/>
    <w:rsid w:val="0DF324BD"/>
    <w:rsid w:val="0E040BE6"/>
    <w:rsid w:val="0E0C7101"/>
    <w:rsid w:val="0E337100"/>
    <w:rsid w:val="0E5270C5"/>
    <w:rsid w:val="0E692BC4"/>
    <w:rsid w:val="0E845FF0"/>
    <w:rsid w:val="0E8544BF"/>
    <w:rsid w:val="0E932C48"/>
    <w:rsid w:val="0EBE4DDC"/>
    <w:rsid w:val="0EC24749"/>
    <w:rsid w:val="0ECB331B"/>
    <w:rsid w:val="0EDE30B9"/>
    <w:rsid w:val="0EF6176A"/>
    <w:rsid w:val="0F022FE2"/>
    <w:rsid w:val="0F181733"/>
    <w:rsid w:val="0F184D11"/>
    <w:rsid w:val="0F19451D"/>
    <w:rsid w:val="0F204F36"/>
    <w:rsid w:val="0F291A00"/>
    <w:rsid w:val="0F366B49"/>
    <w:rsid w:val="0F3B3443"/>
    <w:rsid w:val="0F426EEA"/>
    <w:rsid w:val="0F460052"/>
    <w:rsid w:val="0F57095D"/>
    <w:rsid w:val="0F9E69EB"/>
    <w:rsid w:val="0FA84F60"/>
    <w:rsid w:val="0FBF7694"/>
    <w:rsid w:val="0FC55B54"/>
    <w:rsid w:val="0FC944A5"/>
    <w:rsid w:val="0FCB62E3"/>
    <w:rsid w:val="0FD30F60"/>
    <w:rsid w:val="0FD45D83"/>
    <w:rsid w:val="0FD96CD3"/>
    <w:rsid w:val="0FFD129C"/>
    <w:rsid w:val="100306B7"/>
    <w:rsid w:val="1008065C"/>
    <w:rsid w:val="103A50AD"/>
    <w:rsid w:val="10403240"/>
    <w:rsid w:val="105D5919"/>
    <w:rsid w:val="109D04CD"/>
    <w:rsid w:val="109E3B6C"/>
    <w:rsid w:val="10AD07BE"/>
    <w:rsid w:val="10AF44F9"/>
    <w:rsid w:val="10CE6CD7"/>
    <w:rsid w:val="10D66461"/>
    <w:rsid w:val="10DD0E42"/>
    <w:rsid w:val="10E429C9"/>
    <w:rsid w:val="1102188C"/>
    <w:rsid w:val="11252D80"/>
    <w:rsid w:val="11420A5E"/>
    <w:rsid w:val="11586810"/>
    <w:rsid w:val="118872E3"/>
    <w:rsid w:val="119E10D0"/>
    <w:rsid w:val="11A805AD"/>
    <w:rsid w:val="11AC0C43"/>
    <w:rsid w:val="11B432DE"/>
    <w:rsid w:val="11B842ED"/>
    <w:rsid w:val="11BA7293"/>
    <w:rsid w:val="11BD0CCA"/>
    <w:rsid w:val="11D8320F"/>
    <w:rsid w:val="11DC1482"/>
    <w:rsid w:val="12000937"/>
    <w:rsid w:val="122D6C63"/>
    <w:rsid w:val="12364A90"/>
    <w:rsid w:val="12367057"/>
    <w:rsid w:val="12386078"/>
    <w:rsid w:val="123B45B2"/>
    <w:rsid w:val="123C0AEE"/>
    <w:rsid w:val="124A5DFC"/>
    <w:rsid w:val="124B0617"/>
    <w:rsid w:val="125F57D8"/>
    <w:rsid w:val="12711948"/>
    <w:rsid w:val="12935FE0"/>
    <w:rsid w:val="12A0090D"/>
    <w:rsid w:val="12B34845"/>
    <w:rsid w:val="12C73C1B"/>
    <w:rsid w:val="132C39A5"/>
    <w:rsid w:val="133E1B0D"/>
    <w:rsid w:val="13744834"/>
    <w:rsid w:val="1378768A"/>
    <w:rsid w:val="13814C70"/>
    <w:rsid w:val="13A75EC2"/>
    <w:rsid w:val="13C723DD"/>
    <w:rsid w:val="13C9573D"/>
    <w:rsid w:val="13DB3E6F"/>
    <w:rsid w:val="13DF6F57"/>
    <w:rsid w:val="13E01742"/>
    <w:rsid w:val="13EC2F21"/>
    <w:rsid w:val="13EF63BD"/>
    <w:rsid w:val="14104007"/>
    <w:rsid w:val="143C791C"/>
    <w:rsid w:val="145033F2"/>
    <w:rsid w:val="146B6E84"/>
    <w:rsid w:val="14776E15"/>
    <w:rsid w:val="14942216"/>
    <w:rsid w:val="149A0B32"/>
    <w:rsid w:val="14CA1052"/>
    <w:rsid w:val="14CA3BA5"/>
    <w:rsid w:val="14CB4DB3"/>
    <w:rsid w:val="14E3727B"/>
    <w:rsid w:val="14F8451B"/>
    <w:rsid w:val="15081A73"/>
    <w:rsid w:val="153A6B4A"/>
    <w:rsid w:val="15497209"/>
    <w:rsid w:val="156718B4"/>
    <w:rsid w:val="15694377"/>
    <w:rsid w:val="156F15B2"/>
    <w:rsid w:val="156F3EB5"/>
    <w:rsid w:val="159211A2"/>
    <w:rsid w:val="15A21AE0"/>
    <w:rsid w:val="15A74564"/>
    <w:rsid w:val="15A93EBD"/>
    <w:rsid w:val="15AD12A6"/>
    <w:rsid w:val="15B527DE"/>
    <w:rsid w:val="15BF4E6D"/>
    <w:rsid w:val="15C52343"/>
    <w:rsid w:val="15C77B49"/>
    <w:rsid w:val="15DC4A28"/>
    <w:rsid w:val="15E6499B"/>
    <w:rsid w:val="16060405"/>
    <w:rsid w:val="161D4F59"/>
    <w:rsid w:val="163152AD"/>
    <w:rsid w:val="163F3D34"/>
    <w:rsid w:val="164D5135"/>
    <w:rsid w:val="167571D5"/>
    <w:rsid w:val="167D4E6D"/>
    <w:rsid w:val="16B63BA3"/>
    <w:rsid w:val="16BA03E0"/>
    <w:rsid w:val="16D42358"/>
    <w:rsid w:val="16D720AF"/>
    <w:rsid w:val="16F510EA"/>
    <w:rsid w:val="17042AD3"/>
    <w:rsid w:val="17435F1C"/>
    <w:rsid w:val="17571508"/>
    <w:rsid w:val="175B70E2"/>
    <w:rsid w:val="176546C5"/>
    <w:rsid w:val="179153C8"/>
    <w:rsid w:val="17BF6F65"/>
    <w:rsid w:val="18024791"/>
    <w:rsid w:val="181A10A0"/>
    <w:rsid w:val="18365552"/>
    <w:rsid w:val="18391F58"/>
    <w:rsid w:val="18491850"/>
    <w:rsid w:val="185B70BB"/>
    <w:rsid w:val="186D54C7"/>
    <w:rsid w:val="187C4929"/>
    <w:rsid w:val="187E6C5C"/>
    <w:rsid w:val="189C3E6E"/>
    <w:rsid w:val="18AB1106"/>
    <w:rsid w:val="18C60E71"/>
    <w:rsid w:val="18D679A9"/>
    <w:rsid w:val="18D74BFA"/>
    <w:rsid w:val="18E01E70"/>
    <w:rsid w:val="18F37254"/>
    <w:rsid w:val="191E3F25"/>
    <w:rsid w:val="19255180"/>
    <w:rsid w:val="192F5FCB"/>
    <w:rsid w:val="193B6202"/>
    <w:rsid w:val="19405BC9"/>
    <w:rsid w:val="1943749F"/>
    <w:rsid w:val="195E5AEC"/>
    <w:rsid w:val="19607FFC"/>
    <w:rsid w:val="19680C7F"/>
    <w:rsid w:val="19790226"/>
    <w:rsid w:val="198357F2"/>
    <w:rsid w:val="19A8502B"/>
    <w:rsid w:val="19B41A97"/>
    <w:rsid w:val="19E45FBB"/>
    <w:rsid w:val="19E47931"/>
    <w:rsid w:val="19EC4A81"/>
    <w:rsid w:val="19F22787"/>
    <w:rsid w:val="1A154F48"/>
    <w:rsid w:val="1A235842"/>
    <w:rsid w:val="1A2A57F1"/>
    <w:rsid w:val="1A3948AA"/>
    <w:rsid w:val="1A477B3C"/>
    <w:rsid w:val="1A502852"/>
    <w:rsid w:val="1A5E2637"/>
    <w:rsid w:val="1A600BA2"/>
    <w:rsid w:val="1A6D64AE"/>
    <w:rsid w:val="1A7A7359"/>
    <w:rsid w:val="1A850620"/>
    <w:rsid w:val="1A9A79BF"/>
    <w:rsid w:val="1AA5237F"/>
    <w:rsid w:val="1ABB636E"/>
    <w:rsid w:val="1AC97069"/>
    <w:rsid w:val="1AD95B99"/>
    <w:rsid w:val="1AE45A56"/>
    <w:rsid w:val="1AEA6E3A"/>
    <w:rsid w:val="1AEB088C"/>
    <w:rsid w:val="1AEF1A55"/>
    <w:rsid w:val="1AF7698C"/>
    <w:rsid w:val="1B0E56D7"/>
    <w:rsid w:val="1B105105"/>
    <w:rsid w:val="1B1F2C1C"/>
    <w:rsid w:val="1B2B6D1B"/>
    <w:rsid w:val="1B3E33A4"/>
    <w:rsid w:val="1B4E400E"/>
    <w:rsid w:val="1B883458"/>
    <w:rsid w:val="1B9C3D98"/>
    <w:rsid w:val="1BA10774"/>
    <w:rsid w:val="1BD02D5A"/>
    <w:rsid w:val="1BD23BE5"/>
    <w:rsid w:val="1BED4184"/>
    <w:rsid w:val="1BF61E22"/>
    <w:rsid w:val="1BF90081"/>
    <w:rsid w:val="1C1112A0"/>
    <w:rsid w:val="1C145C28"/>
    <w:rsid w:val="1C160BC6"/>
    <w:rsid w:val="1C2F5B5F"/>
    <w:rsid w:val="1C535A38"/>
    <w:rsid w:val="1C5702B7"/>
    <w:rsid w:val="1C5A57EC"/>
    <w:rsid w:val="1C632559"/>
    <w:rsid w:val="1C7A4094"/>
    <w:rsid w:val="1C8076AC"/>
    <w:rsid w:val="1C85796E"/>
    <w:rsid w:val="1C9175FE"/>
    <w:rsid w:val="1C985C1E"/>
    <w:rsid w:val="1CA00FB0"/>
    <w:rsid w:val="1CAD36D0"/>
    <w:rsid w:val="1CDD418E"/>
    <w:rsid w:val="1D071379"/>
    <w:rsid w:val="1D0F2284"/>
    <w:rsid w:val="1D0F651C"/>
    <w:rsid w:val="1D186248"/>
    <w:rsid w:val="1D1950F6"/>
    <w:rsid w:val="1D1D0F02"/>
    <w:rsid w:val="1D3475C4"/>
    <w:rsid w:val="1D4829FA"/>
    <w:rsid w:val="1D5149D2"/>
    <w:rsid w:val="1D517B37"/>
    <w:rsid w:val="1D8043C9"/>
    <w:rsid w:val="1D8B21AF"/>
    <w:rsid w:val="1D9069E8"/>
    <w:rsid w:val="1D9735BB"/>
    <w:rsid w:val="1DB06877"/>
    <w:rsid w:val="1DC3437B"/>
    <w:rsid w:val="1DE25B92"/>
    <w:rsid w:val="1DED02AA"/>
    <w:rsid w:val="1E104D86"/>
    <w:rsid w:val="1E2E718E"/>
    <w:rsid w:val="1E50457A"/>
    <w:rsid w:val="1E583A07"/>
    <w:rsid w:val="1E5C2732"/>
    <w:rsid w:val="1E8F793B"/>
    <w:rsid w:val="1EB57B82"/>
    <w:rsid w:val="1EC42155"/>
    <w:rsid w:val="1ECB1F74"/>
    <w:rsid w:val="1EDA7F0B"/>
    <w:rsid w:val="1F095B09"/>
    <w:rsid w:val="1F0D5E8D"/>
    <w:rsid w:val="1F0D6A59"/>
    <w:rsid w:val="1F2757CF"/>
    <w:rsid w:val="1F3B2440"/>
    <w:rsid w:val="1F3D57A8"/>
    <w:rsid w:val="1F6701DA"/>
    <w:rsid w:val="1F793673"/>
    <w:rsid w:val="1F895D43"/>
    <w:rsid w:val="1F8E2057"/>
    <w:rsid w:val="1F9F402C"/>
    <w:rsid w:val="1F9F4516"/>
    <w:rsid w:val="1FA8285A"/>
    <w:rsid w:val="1FAB5A21"/>
    <w:rsid w:val="1FB24926"/>
    <w:rsid w:val="1FC069D1"/>
    <w:rsid w:val="1FC55F32"/>
    <w:rsid w:val="1FCF7380"/>
    <w:rsid w:val="1FEA2B63"/>
    <w:rsid w:val="1FEF2429"/>
    <w:rsid w:val="1FEF63F0"/>
    <w:rsid w:val="201153D9"/>
    <w:rsid w:val="20146B69"/>
    <w:rsid w:val="20173F5C"/>
    <w:rsid w:val="201D2F98"/>
    <w:rsid w:val="203336F4"/>
    <w:rsid w:val="203915C0"/>
    <w:rsid w:val="204F06C7"/>
    <w:rsid w:val="2054468E"/>
    <w:rsid w:val="20570C17"/>
    <w:rsid w:val="2075634D"/>
    <w:rsid w:val="20922056"/>
    <w:rsid w:val="20A011B7"/>
    <w:rsid w:val="20A11B28"/>
    <w:rsid w:val="20A464EA"/>
    <w:rsid w:val="20D91945"/>
    <w:rsid w:val="20E2221C"/>
    <w:rsid w:val="21013C0B"/>
    <w:rsid w:val="2105452E"/>
    <w:rsid w:val="210844F1"/>
    <w:rsid w:val="214A21BE"/>
    <w:rsid w:val="217203F3"/>
    <w:rsid w:val="2192285C"/>
    <w:rsid w:val="21AE7616"/>
    <w:rsid w:val="21B13686"/>
    <w:rsid w:val="21B87425"/>
    <w:rsid w:val="21E40597"/>
    <w:rsid w:val="22097856"/>
    <w:rsid w:val="22124FA0"/>
    <w:rsid w:val="22436C2A"/>
    <w:rsid w:val="226E25D2"/>
    <w:rsid w:val="22767DCE"/>
    <w:rsid w:val="22822B80"/>
    <w:rsid w:val="22970225"/>
    <w:rsid w:val="22A7778F"/>
    <w:rsid w:val="22AE402B"/>
    <w:rsid w:val="22B17903"/>
    <w:rsid w:val="22DD4407"/>
    <w:rsid w:val="22E05C94"/>
    <w:rsid w:val="22E345AB"/>
    <w:rsid w:val="233B3A6A"/>
    <w:rsid w:val="23501216"/>
    <w:rsid w:val="23597AC9"/>
    <w:rsid w:val="235A56BD"/>
    <w:rsid w:val="236731B9"/>
    <w:rsid w:val="23837DBA"/>
    <w:rsid w:val="23A55522"/>
    <w:rsid w:val="23D42613"/>
    <w:rsid w:val="23D50F60"/>
    <w:rsid w:val="23D52B4F"/>
    <w:rsid w:val="23D674F2"/>
    <w:rsid w:val="23D87294"/>
    <w:rsid w:val="23DB773B"/>
    <w:rsid w:val="23DF0B45"/>
    <w:rsid w:val="23F7138C"/>
    <w:rsid w:val="24043E1F"/>
    <w:rsid w:val="2406710D"/>
    <w:rsid w:val="24091D3A"/>
    <w:rsid w:val="240C762B"/>
    <w:rsid w:val="242000CF"/>
    <w:rsid w:val="243D1F05"/>
    <w:rsid w:val="24424BFF"/>
    <w:rsid w:val="2446588D"/>
    <w:rsid w:val="24512501"/>
    <w:rsid w:val="24632F1C"/>
    <w:rsid w:val="24844C11"/>
    <w:rsid w:val="248C68AA"/>
    <w:rsid w:val="24940EE2"/>
    <w:rsid w:val="24957F21"/>
    <w:rsid w:val="24AD72D2"/>
    <w:rsid w:val="24BA3B75"/>
    <w:rsid w:val="24D12554"/>
    <w:rsid w:val="24EB7FB5"/>
    <w:rsid w:val="24F87246"/>
    <w:rsid w:val="250D6929"/>
    <w:rsid w:val="251E3E54"/>
    <w:rsid w:val="2524032F"/>
    <w:rsid w:val="25257ED3"/>
    <w:rsid w:val="252A4034"/>
    <w:rsid w:val="2539133C"/>
    <w:rsid w:val="253A6E1C"/>
    <w:rsid w:val="254F5BD4"/>
    <w:rsid w:val="256504A3"/>
    <w:rsid w:val="25A5060F"/>
    <w:rsid w:val="25B44EA3"/>
    <w:rsid w:val="25C257A3"/>
    <w:rsid w:val="25C4249C"/>
    <w:rsid w:val="25D41950"/>
    <w:rsid w:val="25D55085"/>
    <w:rsid w:val="25E25300"/>
    <w:rsid w:val="25E9496B"/>
    <w:rsid w:val="26283B81"/>
    <w:rsid w:val="266430A0"/>
    <w:rsid w:val="267A5DCD"/>
    <w:rsid w:val="268462BB"/>
    <w:rsid w:val="268769D3"/>
    <w:rsid w:val="26895FAC"/>
    <w:rsid w:val="269041EF"/>
    <w:rsid w:val="26AA4A7F"/>
    <w:rsid w:val="26E85956"/>
    <w:rsid w:val="26ED4984"/>
    <w:rsid w:val="26F41495"/>
    <w:rsid w:val="26F83884"/>
    <w:rsid w:val="270C6FB0"/>
    <w:rsid w:val="270F66DC"/>
    <w:rsid w:val="272356B1"/>
    <w:rsid w:val="27291654"/>
    <w:rsid w:val="272B722C"/>
    <w:rsid w:val="27326CE9"/>
    <w:rsid w:val="275C0224"/>
    <w:rsid w:val="275F42AB"/>
    <w:rsid w:val="2777394E"/>
    <w:rsid w:val="27837746"/>
    <w:rsid w:val="279055E1"/>
    <w:rsid w:val="279450D3"/>
    <w:rsid w:val="27BA3F0D"/>
    <w:rsid w:val="27BB6F4E"/>
    <w:rsid w:val="281B639F"/>
    <w:rsid w:val="28337550"/>
    <w:rsid w:val="283408F2"/>
    <w:rsid w:val="28361E74"/>
    <w:rsid w:val="284731AD"/>
    <w:rsid w:val="287F0E26"/>
    <w:rsid w:val="28843587"/>
    <w:rsid w:val="289803B8"/>
    <w:rsid w:val="292F312A"/>
    <w:rsid w:val="2976165B"/>
    <w:rsid w:val="29A7330A"/>
    <w:rsid w:val="29AB2C9D"/>
    <w:rsid w:val="29D07EA6"/>
    <w:rsid w:val="29FB62B2"/>
    <w:rsid w:val="2A030261"/>
    <w:rsid w:val="2A180B0E"/>
    <w:rsid w:val="2A2A4E89"/>
    <w:rsid w:val="2A421C9B"/>
    <w:rsid w:val="2A425E95"/>
    <w:rsid w:val="2A4F4E72"/>
    <w:rsid w:val="2A530049"/>
    <w:rsid w:val="2A5C189E"/>
    <w:rsid w:val="2A793977"/>
    <w:rsid w:val="2A7B7F5B"/>
    <w:rsid w:val="2A7C4F98"/>
    <w:rsid w:val="2A946224"/>
    <w:rsid w:val="2AAC5AB3"/>
    <w:rsid w:val="2AF36A2E"/>
    <w:rsid w:val="2B0C6E11"/>
    <w:rsid w:val="2B120F9F"/>
    <w:rsid w:val="2B3A677B"/>
    <w:rsid w:val="2B3A7DF8"/>
    <w:rsid w:val="2B5D3D8E"/>
    <w:rsid w:val="2B702D8A"/>
    <w:rsid w:val="2B723711"/>
    <w:rsid w:val="2B907666"/>
    <w:rsid w:val="2BA142ED"/>
    <w:rsid w:val="2BA3194D"/>
    <w:rsid w:val="2BB66224"/>
    <w:rsid w:val="2BB70D23"/>
    <w:rsid w:val="2BC522D0"/>
    <w:rsid w:val="2BC9437C"/>
    <w:rsid w:val="2BD778D4"/>
    <w:rsid w:val="2BDC5375"/>
    <w:rsid w:val="2BE60BF2"/>
    <w:rsid w:val="2BE64369"/>
    <w:rsid w:val="2BF6602A"/>
    <w:rsid w:val="2BFB0A66"/>
    <w:rsid w:val="2BFE0515"/>
    <w:rsid w:val="2C015E32"/>
    <w:rsid w:val="2C1649BF"/>
    <w:rsid w:val="2C50287F"/>
    <w:rsid w:val="2C6746F2"/>
    <w:rsid w:val="2C6F42E7"/>
    <w:rsid w:val="2C731681"/>
    <w:rsid w:val="2C963F14"/>
    <w:rsid w:val="2CA2792B"/>
    <w:rsid w:val="2CAD20C8"/>
    <w:rsid w:val="2CC335F2"/>
    <w:rsid w:val="2CC46855"/>
    <w:rsid w:val="2CC909FC"/>
    <w:rsid w:val="2CCC588B"/>
    <w:rsid w:val="2CCE15EB"/>
    <w:rsid w:val="2CDB0B58"/>
    <w:rsid w:val="2CE36EB0"/>
    <w:rsid w:val="2D2E573E"/>
    <w:rsid w:val="2D323CB8"/>
    <w:rsid w:val="2D4C64ED"/>
    <w:rsid w:val="2D500E89"/>
    <w:rsid w:val="2D574E84"/>
    <w:rsid w:val="2D711BC5"/>
    <w:rsid w:val="2D7925B9"/>
    <w:rsid w:val="2D893657"/>
    <w:rsid w:val="2D9B68F7"/>
    <w:rsid w:val="2DB70046"/>
    <w:rsid w:val="2DBA2A4D"/>
    <w:rsid w:val="2DD012A7"/>
    <w:rsid w:val="2DE05843"/>
    <w:rsid w:val="2DEE0A33"/>
    <w:rsid w:val="2E1019B8"/>
    <w:rsid w:val="2E210E31"/>
    <w:rsid w:val="2E23416F"/>
    <w:rsid w:val="2E262AA2"/>
    <w:rsid w:val="2E2C0537"/>
    <w:rsid w:val="2E2C1A56"/>
    <w:rsid w:val="2E4436C8"/>
    <w:rsid w:val="2E4A3AC1"/>
    <w:rsid w:val="2E6455D4"/>
    <w:rsid w:val="2E6C7859"/>
    <w:rsid w:val="2E8C2EF4"/>
    <w:rsid w:val="2E9C37B8"/>
    <w:rsid w:val="2EA051D3"/>
    <w:rsid w:val="2EA54E64"/>
    <w:rsid w:val="2EA61350"/>
    <w:rsid w:val="2EB36727"/>
    <w:rsid w:val="2EB51650"/>
    <w:rsid w:val="2EBC06B9"/>
    <w:rsid w:val="2EBE43C4"/>
    <w:rsid w:val="2EC525C8"/>
    <w:rsid w:val="2ED23F81"/>
    <w:rsid w:val="2EE4243C"/>
    <w:rsid w:val="2EEE7E66"/>
    <w:rsid w:val="2EF26DE4"/>
    <w:rsid w:val="2EFE4290"/>
    <w:rsid w:val="2F1F0E0C"/>
    <w:rsid w:val="2F3D282E"/>
    <w:rsid w:val="2F43478B"/>
    <w:rsid w:val="2F4566A9"/>
    <w:rsid w:val="2F5217B4"/>
    <w:rsid w:val="2F573957"/>
    <w:rsid w:val="2F6974F3"/>
    <w:rsid w:val="2F7C26FE"/>
    <w:rsid w:val="2F9A4E22"/>
    <w:rsid w:val="2F9D711F"/>
    <w:rsid w:val="2FA859A7"/>
    <w:rsid w:val="2FC42CBB"/>
    <w:rsid w:val="2FCC7B48"/>
    <w:rsid w:val="2FD40DC7"/>
    <w:rsid w:val="2FE15537"/>
    <w:rsid w:val="30355522"/>
    <w:rsid w:val="303A5FC1"/>
    <w:rsid w:val="304E0FDE"/>
    <w:rsid w:val="30555469"/>
    <w:rsid w:val="305C2F6C"/>
    <w:rsid w:val="305D7510"/>
    <w:rsid w:val="305F7018"/>
    <w:rsid w:val="307210B7"/>
    <w:rsid w:val="30794473"/>
    <w:rsid w:val="308228BB"/>
    <w:rsid w:val="308F3097"/>
    <w:rsid w:val="30954ABC"/>
    <w:rsid w:val="309638A9"/>
    <w:rsid w:val="309707B4"/>
    <w:rsid w:val="309F6422"/>
    <w:rsid w:val="30A21437"/>
    <w:rsid w:val="30A42555"/>
    <w:rsid w:val="30AE3E11"/>
    <w:rsid w:val="30AE5683"/>
    <w:rsid w:val="30B139D6"/>
    <w:rsid w:val="30BF03E3"/>
    <w:rsid w:val="30D7607D"/>
    <w:rsid w:val="30E03CFB"/>
    <w:rsid w:val="30EA784A"/>
    <w:rsid w:val="30F27BA3"/>
    <w:rsid w:val="30FF6DF1"/>
    <w:rsid w:val="310A7D01"/>
    <w:rsid w:val="3131498D"/>
    <w:rsid w:val="31386C32"/>
    <w:rsid w:val="315324E3"/>
    <w:rsid w:val="31763CDC"/>
    <w:rsid w:val="317912CF"/>
    <w:rsid w:val="31796A20"/>
    <w:rsid w:val="318538F3"/>
    <w:rsid w:val="31957A46"/>
    <w:rsid w:val="31A20AC7"/>
    <w:rsid w:val="31A87802"/>
    <w:rsid w:val="31B303C6"/>
    <w:rsid w:val="31D72ECA"/>
    <w:rsid w:val="31D77320"/>
    <w:rsid w:val="31D82C37"/>
    <w:rsid w:val="31EE6C1A"/>
    <w:rsid w:val="31F23B1C"/>
    <w:rsid w:val="31F94323"/>
    <w:rsid w:val="32015662"/>
    <w:rsid w:val="32344E80"/>
    <w:rsid w:val="325F21FE"/>
    <w:rsid w:val="326F4770"/>
    <w:rsid w:val="326F6BDA"/>
    <w:rsid w:val="32745ED6"/>
    <w:rsid w:val="327D121A"/>
    <w:rsid w:val="328E7AE3"/>
    <w:rsid w:val="329C27FE"/>
    <w:rsid w:val="32B94561"/>
    <w:rsid w:val="32C41C74"/>
    <w:rsid w:val="32D05D1D"/>
    <w:rsid w:val="32DC21DB"/>
    <w:rsid w:val="32E553E6"/>
    <w:rsid w:val="32EF47C4"/>
    <w:rsid w:val="331C5836"/>
    <w:rsid w:val="332C380D"/>
    <w:rsid w:val="332D6CAC"/>
    <w:rsid w:val="334E10D3"/>
    <w:rsid w:val="33586E2D"/>
    <w:rsid w:val="3366103F"/>
    <w:rsid w:val="337D33EB"/>
    <w:rsid w:val="338437D3"/>
    <w:rsid w:val="33B83E62"/>
    <w:rsid w:val="33BA2A88"/>
    <w:rsid w:val="33C57445"/>
    <w:rsid w:val="33CE03F9"/>
    <w:rsid w:val="33E65CFE"/>
    <w:rsid w:val="33F74F84"/>
    <w:rsid w:val="33F91E2F"/>
    <w:rsid w:val="34077365"/>
    <w:rsid w:val="342C58BA"/>
    <w:rsid w:val="34351241"/>
    <w:rsid w:val="34404D2F"/>
    <w:rsid w:val="34457823"/>
    <w:rsid w:val="34616B98"/>
    <w:rsid w:val="349072AE"/>
    <w:rsid w:val="34950D1F"/>
    <w:rsid w:val="34A601BD"/>
    <w:rsid w:val="34A80681"/>
    <w:rsid w:val="34AC0ED5"/>
    <w:rsid w:val="34AD7BB3"/>
    <w:rsid w:val="34B332AF"/>
    <w:rsid w:val="34BE002F"/>
    <w:rsid w:val="34D80354"/>
    <w:rsid w:val="34E04EDC"/>
    <w:rsid w:val="34E069B4"/>
    <w:rsid w:val="350C4464"/>
    <w:rsid w:val="35101BF6"/>
    <w:rsid w:val="35200A50"/>
    <w:rsid w:val="353035D2"/>
    <w:rsid w:val="35380C7A"/>
    <w:rsid w:val="354C3998"/>
    <w:rsid w:val="356F39E0"/>
    <w:rsid w:val="357618D2"/>
    <w:rsid w:val="35992A80"/>
    <w:rsid w:val="35B6337A"/>
    <w:rsid w:val="35C71F28"/>
    <w:rsid w:val="35CE69F4"/>
    <w:rsid w:val="35D02C3A"/>
    <w:rsid w:val="35D4610D"/>
    <w:rsid w:val="35D902E0"/>
    <w:rsid w:val="35EC45E0"/>
    <w:rsid w:val="35F56D43"/>
    <w:rsid w:val="36013627"/>
    <w:rsid w:val="3604524B"/>
    <w:rsid w:val="364C322D"/>
    <w:rsid w:val="36553D90"/>
    <w:rsid w:val="366B71F2"/>
    <w:rsid w:val="366D2428"/>
    <w:rsid w:val="36760DF9"/>
    <w:rsid w:val="36827777"/>
    <w:rsid w:val="36A2121B"/>
    <w:rsid w:val="36A70B78"/>
    <w:rsid w:val="36A82AB0"/>
    <w:rsid w:val="36CC14DB"/>
    <w:rsid w:val="36F3070F"/>
    <w:rsid w:val="36FC4315"/>
    <w:rsid w:val="370F6531"/>
    <w:rsid w:val="371A0B46"/>
    <w:rsid w:val="373735A9"/>
    <w:rsid w:val="373A6A13"/>
    <w:rsid w:val="374F01DA"/>
    <w:rsid w:val="37667C6B"/>
    <w:rsid w:val="37752275"/>
    <w:rsid w:val="377F554A"/>
    <w:rsid w:val="37900ED1"/>
    <w:rsid w:val="37967624"/>
    <w:rsid w:val="379F566D"/>
    <w:rsid w:val="37D2493D"/>
    <w:rsid w:val="37DA3B4C"/>
    <w:rsid w:val="37E03AB1"/>
    <w:rsid w:val="37F3316A"/>
    <w:rsid w:val="3830531D"/>
    <w:rsid w:val="38391A53"/>
    <w:rsid w:val="38710182"/>
    <w:rsid w:val="387462EB"/>
    <w:rsid w:val="38765A38"/>
    <w:rsid w:val="387A4D72"/>
    <w:rsid w:val="38841C6E"/>
    <w:rsid w:val="388654B0"/>
    <w:rsid w:val="388C39CA"/>
    <w:rsid w:val="388D537A"/>
    <w:rsid w:val="38DA7387"/>
    <w:rsid w:val="38DC2EC8"/>
    <w:rsid w:val="38E2448E"/>
    <w:rsid w:val="39135045"/>
    <w:rsid w:val="39136297"/>
    <w:rsid w:val="39144B31"/>
    <w:rsid w:val="39213BF1"/>
    <w:rsid w:val="39285786"/>
    <w:rsid w:val="392C5BAD"/>
    <w:rsid w:val="39312C73"/>
    <w:rsid w:val="393951BC"/>
    <w:rsid w:val="393D3041"/>
    <w:rsid w:val="397E28B1"/>
    <w:rsid w:val="39852CAA"/>
    <w:rsid w:val="39AC09FA"/>
    <w:rsid w:val="39B27155"/>
    <w:rsid w:val="39FD72A7"/>
    <w:rsid w:val="3A0540E4"/>
    <w:rsid w:val="3A39302A"/>
    <w:rsid w:val="3A4C23CB"/>
    <w:rsid w:val="3A503A1B"/>
    <w:rsid w:val="3A5740FC"/>
    <w:rsid w:val="3A6122C6"/>
    <w:rsid w:val="3A7D5DBC"/>
    <w:rsid w:val="3A851CF2"/>
    <w:rsid w:val="3A90787A"/>
    <w:rsid w:val="3A993E59"/>
    <w:rsid w:val="3AB16CD2"/>
    <w:rsid w:val="3AB243FE"/>
    <w:rsid w:val="3AC84CC9"/>
    <w:rsid w:val="3B0C19FE"/>
    <w:rsid w:val="3B0D14F2"/>
    <w:rsid w:val="3B197F8C"/>
    <w:rsid w:val="3B281E68"/>
    <w:rsid w:val="3B345D52"/>
    <w:rsid w:val="3B4921A7"/>
    <w:rsid w:val="3B540E92"/>
    <w:rsid w:val="3B627A8D"/>
    <w:rsid w:val="3B6406D4"/>
    <w:rsid w:val="3B7B6BBF"/>
    <w:rsid w:val="3B83008F"/>
    <w:rsid w:val="3B917EAA"/>
    <w:rsid w:val="3B956D1E"/>
    <w:rsid w:val="3B9845BF"/>
    <w:rsid w:val="3B9D26EA"/>
    <w:rsid w:val="3B9E67C6"/>
    <w:rsid w:val="3BB35963"/>
    <w:rsid w:val="3BE936C9"/>
    <w:rsid w:val="3C004837"/>
    <w:rsid w:val="3C1B61F4"/>
    <w:rsid w:val="3C202EEB"/>
    <w:rsid w:val="3C322B00"/>
    <w:rsid w:val="3C452BB5"/>
    <w:rsid w:val="3C4647FE"/>
    <w:rsid w:val="3C472224"/>
    <w:rsid w:val="3C616A08"/>
    <w:rsid w:val="3C702E14"/>
    <w:rsid w:val="3C757996"/>
    <w:rsid w:val="3C916E59"/>
    <w:rsid w:val="3CA97971"/>
    <w:rsid w:val="3CC231F5"/>
    <w:rsid w:val="3CC9542E"/>
    <w:rsid w:val="3CE9599A"/>
    <w:rsid w:val="3CED6B84"/>
    <w:rsid w:val="3CF43443"/>
    <w:rsid w:val="3D0128A3"/>
    <w:rsid w:val="3D06047A"/>
    <w:rsid w:val="3D117A53"/>
    <w:rsid w:val="3D346BD9"/>
    <w:rsid w:val="3D3C64E0"/>
    <w:rsid w:val="3D527C90"/>
    <w:rsid w:val="3D527EEA"/>
    <w:rsid w:val="3D5E3582"/>
    <w:rsid w:val="3D695F19"/>
    <w:rsid w:val="3D7D16BE"/>
    <w:rsid w:val="3D966D6D"/>
    <w:rsid w:val="3D971DA8"/>
    <w:rsid w:val="3DBD5302"/>
    <w:rsid w:val="3DD23BCE"/>
    <w:rsid w:val="3DE56D78"/>
    <w:rsid w:val="3DEE2921"/>
    <w:rsid w:val="3DF24BED"/>
    <w:rsid w:val="3E121C4B"/>
    <w:rsid w:val="3E211BAA"/>
    <w:rsid w:val="3E221E36"/>
    <w:rsid w:val="3E2A312F"/>
    <w:rsid w:val="3E4140EC"/>
    <w:rsid w:val="3E623AF5"/>
    <w:rsid w:val="3E693DB6"/>
    <w:rsid w:val="3E6A4C15"/>
    <w:rsid w:val="3E72356E"/>
    <w:rsid w:val="3E9251ED"/>
    <w:rsid w:val="3EC13BBD"/>
    <w:rsid w:val="3ECC4266"/>
    <w:rsid w:val="3F084059"/>
    <w:rsid w:val="3F2E046D"/>
    <w:rsid w:val="3F2E1FD7"/>
    <w:rsid w:val="3F386C0E"/>
    <w:rsid w:val="3F3B2FAB"/>
    <w:rsid w:val="3F4165B8"/>
    <w:rsid w:val="3F561C06"/>
    <w:rsid w:val="3F585CC9"/>
    <w:rsid w:val="3F626C91"/>
    <w:rsid w:val="3F7F2076"/>
    <w:rsid w:val="3F801483"/>
    <w:rsid w:val="3F89558A"/>
    <w:rsid w:val="3FA36C4E"/>
    <w:rsid w:val="3FA4277E"/>
    <w:rsid w:val="3FA92653"/>
    <w:rsid w:val="3FAB5A97"/>
    <w:rsid w:val="3FB57C4F"/>
    <w:rsid w:val="3FC64F89"/>
    <w:rsid w:val="3FD16B2B"/>
    <w:rsid w:val="3FDD030C"/>
    <w:rsid w:val="3FEF04DA"/>
    <w:rsid w:val="3FF31CF3"/>
    <w:rsid w:val="3FF92665"/>
    <w:rsid w:val="40052486"/>
    <w:rsid w:val="402B5862"/>
    <w:rsid w:val="40420E2C"/>
    <w:rsid w:val="4042308D"/>
    <w:rsid w:val="404A47E6"/>
    <w:rsid w:val="40522D0E"/>
    <w:rsid w:val="40542644"/>
    <w:rsid w:val="40614C23"/>
    <w:rsid w:val="406839FF"/>
    <w:rsid w:val="40692DC0"/>
    <w:rsid w:val="409B5E03"/>
    <w:rsid w:val="409C4EBC"/>
    <w:rsid w:val="40A22E9A"/>
    <w:rsid w:val="40A30234"/>
    <w:rsid w:val="40BA1B0F"/>
    <w:rsid w:val="40DF6667"/>
    <w:rsid w:val="40E7031D"/>
    <w:rsid w:val="40EB5FB2"/>
    <w:rsid w:val="411C454D"/>
    <w:rsid w:val="411D6243"/>
    <w:rsid w:val="4155722D"/>
    <w:rsid w:val="415C37AD"/>
    <w:rsid w:val="41607264"/>
    <w:rsid w:val="416E6640"/>
    <w:rsid w:val="417901CB"/>
    <w:rsid w:val="418F559B"/>
    <w:rsid w:val="41943C5C"/>
    <w:rsid w:val="41982BE3"/>
    <w:rsid w:val="41AC2342"/>
    <w:rsid w:val="41B962A1"/>
    <w:rsid w:val="41DB17C5"/>
    <w:rsid w:val="41FA669C"/>
    <w:rsid w:val="42254B93"/>
    <w:rsid w:val="422F4116"/>
    <w:rsid w:val="422F7929"/>
    <w:rsid w:val="4235447A"/>
    <w:rsid w:val="423A32A4"/>
    <w:rsid w:val="424C645E"/>
    <w:rsid w:val="426C4AC6"/>
    <w:rsid w:val="42766080"/>
    <w:rsid w:val="42994621"/>
    <w:rsid w:val="42A91B85"/>
    <w:rsid w:val="42B537EB"/>
    <w:rsid w:val="42C52834"/>
    <w:rsid w:val="42C82FFF"/>
    <w:rsid w:val="43163FFF"/>
    <w:rsid w:val="4322192D"/>
    <w:rsid w:val="43280035"/>
    <w:rsid w:val="433D078C"/>
    <w:rsid w:val="43405D5A"/>
    <w:rsid w:val="43652F6E"/>
    <w:rsid w:val="436D091F"/>
    <w:rsid w:val="43743857"/>
    <w:rsid w:val="437D47AD"/>
    <w:rsid w:val="438B296D"/>
    <w:rsid w:val="439A1C1F"/>
    <w:rsid w:val="43C00C87"/>
    <w:rsid w:val="43ED5CE6"/>
    <w:rsid w:val="43EE51A2"/>
    <w:rsid w:val="44154B91"/>
    <w:rsid w:val="441B014E"/>
    <w:rsid w:val="44317D57"/>
    <w:rsid w:val="44423F62"/>
    <w:rsid w:val="445703F7"/>
    <w:rsid w:val="44591481"/>
    <w:rsid w:val="448540D1"/>
    <w:rsid w:val="44897D47"/>
    <w:rsid w:val="44903C06"/>
    <w:rsid w:val="44AE416B"/>
    <w:rsid w:val="44C00B65"/>
    <w:rsid w:val="44C2734D"/>
    <w:rsid w:val="44E83504"/>
    <w:rsid w:val="44F37256"/>
    <w:rsid w:val="44F47372"/>
    <w:rsid w:val="44F476BF"/>
    <w:rsid w:val="453B12C8"/>
    <w:rsid w:val="453F3DE2"/>
    <w:rsid w:val="45672A02"/>
    <w:rsid w:val="45730E24"/>
    <w:rsid w:val="459F6C75"/>
    <w:rsid w:val="45A001CE"/>
    <w:rsid w:val="45B02F78"/>
    <w:rsid w:val="45B27446"/>
    <w:rsid w:val="45B708BF"/>
    <w:rsid w:val="45C83279"/>
    <w:rsid w:val="45C96E6B"/>
    <w:rsid w:val="45D23D21"/>
    <w:rsid w:val="45DA4009"/>
    <w:rsid w:val="45EA0E2A"/>
    <w:rsid w:val="45F02499"/>
    <w:rsid w:val="45FB1698"/>
    <w:rsid w:val="46472D82"/>
    <w:rsid w:val="46686CC2"/>
    <w:rsid w:val="46812132"/>
    <w:rsid w:val="469716D6"/>
    <w:rsid w:val="46B25A3B"/>
    <w:rsid w:val="46B51605"/>
    <w:rsid w:val="46D441EF"/>
    <w:rsid w:val="46E01A82"/>
    <w:rsid w:val="46EB1E84"/>
    <w:rsid w:val="47007F07"/>
    <w:rsid w:val="4719780C"/>
    <w:rsid w:val="47222788"/>
    <w:rsid w:val="476E4E1E"/>
    <w:rsid w:val="4770432A"/>
    <w:rsid w:val="47795A52"/>
    <w:rsid w:val="477C4726"/>
    <w:rsid w:val="47831ED1"/>
    <w:rsid w:val="47883D9C"/>
    <w:rsid w:val="479C43FF"/>
    <w:rsid w:val="47A06749"/>
    <w:rsid w:val="47AD52A2"/>
    <w:rsid w:val="47D51154"/>
    <w:rsid w:val="47DF55F2"/>
    <w:rsid w:val="4806235A"/>
    <w:rsid w:val="484E712C"/>
    <w:rsid w:val="485D604F"/>
    <w:rsid w:val="486508F3"/>
    <w:rsid w:val="486A7F40"/>
    <w:rsid w:val="487553E8"/>
    <w:rsid w:val="487B0E9C"/>
    <w:rsid w:val="487E7743"/>
    <w:rsid w:val="488A3778"/>
    <w:rsid w:val="488F2B55"/>
    <w:rsid w:val="48AA2E5E"/>
    <w:rsid w:val="48B2218A"/>
    <w:rsid w:val="48DE6CE0"/>
    <w:rsid w:val="48FB57E7"/>
    <w:rsid w:val="49062B5F"/>
    <w:rsid w:val="49204E4A"/>
    <w:rsid w:val="492C483C"/>
    <w:rsid w:val="493047C5"/>
    <w:rsid w:val="494732D5"/>
    <w:rsid w:val="49496897"/>
    <w:rsid w:val="49523BEE"/>
    <w:rsid w:val="49557E40"/>
    <w:rsid w:val="4980081E"/>
    <w:rsid w:val="498D038C"/>
    <w:rsid w:val="499C3A1D"/>
    <w:rsid w:val="49A7691C"/>
    <w:rsid w:val="49E05921"/>
    <w:rsid w:val="49E14178"/>
    <w:rsid w:val="49E4173F"/>
    <w:rsid w:val="49F07227"/>
    <w:rsid w:val="4A122762"/>
    <w:rsid w:val="4A1C7A27"/>
    <w:rsid w:val="4A2940F2"/>
    <w:rsid w:val="4A312BFC"/>
    <w:rsid w:val="4A5111C3"/>
    <w:rsid w:val="4A604E56"/>
    <w:rsid w:val="4A8633FB"/>
    <w:rsid w:val="4A89059F"/>
    <w:rsid w:val="4A8F4447"/>
    <w:rsid w:val="4AA33E3A"/>
    <w:rsid w:val="4AA667C2"/>
    <w:rsid w:val="4ABE27C7"/>
    <w:rsid w:val="4AE078DE"/>
    <w:rsid w:val="4B112FBF"/>
    <w:rsid w:val="4B1C3E21"/>
    <w:rsid w:val="4B2138A0"/>
    <w:rsid w:val="4B302ECB"/>
    <w:rsid w:val="4B3C779C"/>
    <w:rsid w:val="4B4B2E00"/>
    <w:rsid w:val="4B586632"/>
    <w:rsid w:val="4B5D1EEE"/>
    <w:rsid w:val="4B5E03B2"/>
    <w:rsid w:val="4B675646"/>
    <w:rsid w:val="4B6B5038"/>
    <w:rsid w:val="4B7B61CF"/>
    <w:rsid w:val="4B7E1700"/>
    <w:rsid w:val="4BBF25C9"/>
    <w:rsid w:val="4BCC6AC1"/>
    <w:rsid w:val="4BDD6843"/>
    <w:rsid w:val="4BE61D98"/>
    <w:rsid w:val="4BE7533A"/>
    <w:rsid w:val="4BE94966"/>
    <w:rsid w:val="4BF137DD"/>
    <w:rsid w:val="4BFF3FDA"/>
    <w:rsid w:val="4C027209"/>
    <w:rsid w:val="4C0F43F4"/>
    <w:rsid w:val="4C2440FF"/>
    <w:rsid w:val="4C267C6E"/>
    <w:rsid w:val="4C2B2937"/>
    <w:rsid w:val="4C2F1785"/>
    <w:rsid w:val="4C3B664D"/>
    <w:rsid w:val="4C5C2881"/>
    <w:rsid w:val="4C713181"/>
    <w:rsid w:val="4C9313AA"/>
    <w:rsid w:val="4CA81BEA"/>
    <w:rsid w:val="4CC041D8"/>
    <w:rsid w:val="4CE541C4"/>
    <w:rsid w:val="4CED591D"/>
    <w:rsid w:val="4CF85F6C"/>
    <w:rsid w:val="4D136DA8"/>
    <w:rsid w:val="4D1B2AD0"/>
    <w:rsid w:val="4D2113CA"/>
    <w:rsid w:val="4D2E524E"/>
    <w:rsid w:val="4D3B2432"/>
    <w:rsid w:val="4D4B5157"/>
    <w:rsid w:val="4D584707"/>
    <w:rsid w:val="4D665189"/>
    <w:rsid w:val="4D724750"/>
    <w:rsid w:val="4D781E73"/>
    <w:rsid w:val="4D7A1D47"/>
    <w:rsid w:val="4D991541"/>
    <w:rsid w:val="4D9C3055"/>
    <w:rsid w:val="4DAE6FBB"/>
    <w:rsid w:val="4DB0560E"/>
    <w:rsid w:val="4DD77968"/>
    <w:rsid w:val="4DDC7095"/>
    <w:rsid w:val="4DF569B2"/>
    <w:rsid w:val="4E2E4D5E"/>
    <w:rsid w:val="4E3E5A18"/>
    <w:rsid w:val="4E3F4338"/>
    <w:rsid w:val="4EA10B43"/>
    <w:rsid w:val="4EA62511"/>
    <w:rsid w:val="4EB16D4D"/>
    <w:rsid w:val="4EC77721"/>
    <w:rsid w:val="4ECC7ECA"/>
    <w:rsid w:val="4EE52187"/>
    <w:rsid w:val="4EED2E85"/>
    <w:rsid w:val="4EEE44FE"/>
    <w:rsid w:val="4EF40176"/>
    <w:rsid w:val="4F15729A"/>
    <w:rsid w:val="4F1E1F47"/>
    <w:rsid w:val="4F3131CA"/>
    <w:rsid w:val="4F3140B8"/>
    <w:rsid w:val="4F436EB8"/>
    <w:rsid w:val="4F450431"/>
    <w:rsid w:val="4F4F4230"/>
    <w:rsid w:val="4F70491F"/>
    <w:rsid w:val="4F826D73"/>
    <w:rsid w:val="4F917322"/>
    <w:rsid w:val="4F9178AC"/>
    <w:rsid w:val="4F9E6912"/>
    <w:rsid w:val="4FAF59FA"/>
    <w:rsid w:val="4FB872D5"/>
    <w:rsid w:val="4FBC0752"/>
    <w:rsid w:val="4FC421AC"/>
    <w:rsid w:val="4FDD45FC"/>
    <w:rsid w:val="4FDD7FB4"/>
    <w:rsid w:val="4FE76731"/>
    <w:rsid w:val="4FF02A6E"/>
    <w:rsid w:val="50091E11"/>
    <w:rsid w:val="50175C18"/>
    <w:rsid w:val="505A5626"/>
    <w:rsid w:val="506A12FD"/>
    <w:rsid w:val="506C432C"/>
    <w:rsid w:val="509E1445"/>
    <w:rsid w:val="50A074C8"/>
    <w:rsid w:val="50BA6E93"/>
    <w:rsid w:val="50CF7ABB"/>
    <w:rsid w:val="50DB7A5E"/>
    <w:rsid w:val="50E56D05"/>
    <w:rsid w:val="510E457A"/>
    <w:rsid w:val="51165907"/>
    <w:rsid w:val="51235BC3"/>
    <w:rsid w:val="51394D15"/>
    <w:rsid w:val="514C0B97"/>
    <w:rsid w:val="514C58ED"/>
    <w:rsid w:val="515725C8"/>
    <w:rsid w:val="51672D19"/>
    <w:rsid w:val="51A05A22"/>
    <w:rsid w:val="51FB70E2"/>
    <w:rsid w:val="52021B52"/>
    <w:rsid w:val="523C2658"/>
    <w:rsid w:val="52774ABD"/>
    <w:rsid w:val="527E6B89"/>
    <w:rsid w:val="52907144"/>
    <w:rsid w:val="52986C80"/>
    <w:rsid w:val="52A8690B"/>
    <w:rsid w:val="52AE0AB6"/>
    <w:rsid w:val="52AF5697"/>
    <w:rsid w:val="52B65D5E"/>
    <w:rsid w:val="52DA3A25"/>
    <w:rsid w:val="52E41507"/>
    <w:rsid w:val="52F3420A"/>
    <w:rsid w:val="52F97668"/>
    <w:rsid w:val="531924D9"/>
    <w:rsid w:val="53242035"/>
    <w:rsid w:val="533523F8"/>
    <w:rsid w:val="53902A72"/>
    <w:rsid w:val="539279E8"/>
    <w:rsid w:val="539E0538"/>
    <w:rsid w:val="53A61F13"/>
    <w:rsid w:val="53B63C4D"/>
    <w:rsid w:val="53E6346C"/>
    <w:rsid w:val="540E2862"/>
    <w:rsid w:val="54142694"/>
    <w:rsid w:val="54587D20"/>
    <w:rsid w:val="54735AF9"/>
    <w:rsid w:val="5478681E"/>
    <w:rsid w:val="547B4939"/>
    <w:rsid w:val="54896B6E"/>
    <w:rsid w:val="548A1F48"/>
    <w:rsid w:val="548D5444"/>
    <w:rsid w:val="54915BCD"/>
    <w:rsid w:val="54951783"/>
    <w:rsid w:val="549E2BEF"/>
    <w:rsid w:val="54BE4248"/>
    <w:rsid w:val="54C04877"/>
    <w:rsid w:val="54C56C41"/>
    <w:rsid w:val="54E759BB"/>
    <w:rsid w:val="5504568A"/>
    <w:rsid w:val="550A027F"/>
    <w:rsid w:val="550E147F"/>
    <w:rsid w:val="55101940"/>
    <w:rsid w:val="552A1362"/>
    <w:rsid w:val="553242CD"/>
    <w:rsid w:val="554A7FDE"/>
    <w:rsid w:val="555156C6"/>
    <w:rsid w:val="556C14E8"/>
    <w:rsid w:val="558214D2"/>
    <w:rsid w:val="558762ED"/>
    <w:rsid w:val="55892891"/>
    <w:rsid w:val="559B2A72"/>
    <w:rsid w:val="55A95A0F"/>
    <w:rsid w:val="55C46A44"/>
    <w:rsid w:val="55C47BF2"/>
    <w:rsid w:val="55C57559"/>
    <w:rsid w:val="55C8341C"/>
    <w:rsid w:val="55DB6D66"/>
    <w:rsid w:val="55DE50B4"/>
    <w:rsid w:val="55E23949"/>
    <w:rsid w:val="55EA3C43"/>
    <w:rsid w:val="55ED3A88"/>
    <w:rsid w:val="55EF1D0F"/>
    <w:rsid w:val="560265C8"/>
    <w:rsid w:val="561A5A9C"/>
    <w:rsid w:val="565B4B5E"/>
    <w:rsid w:val="566A6BE7"/>
    <w:rsid w:val="567153E5"/>
    <w:rsid w:val="569A629E"/>
    <w:rsid w:val="56A96323"/>
    <w:rsid w:val="56BA605D"/>
    <w:rsid w:val="56E849F7"/>
    <w:rsid w:val="57013A0A"/>
    <w:rsid w:val="570F7E2D"/>
    <w:rsid w:val="572921E2"/>
    <w:rsid w:val="57293375"/>
    <w:rsid w:val="573F0292"/>
    <w:rsid w:val="57501E48"/>
    <w:rsid w:val="57524DA4"/>
    <w:rsid w:val="57545ECF"/>
    <w:rsid w:val="57560C5F"/>
    <w:rsid w:val="57703061"/>
    <w:rsid w:val="577C51C1"/>
    <w:rsid w:val="5787232A"/>
    <w:rsid w:val="57966063"/>
    <w:rsid w:val="57B053F2"/>
    <w:rsid w:val="57BE40E4"/>
    <w:rsid w:val="57E86FE2"/>
    <w:rsid w:val="57EB49CD"/>
    <w:rsid w:val="57F7459D"/>
    <w:rsid w:val="57FB5503"/>
    <w:rsid w:val="58196BE4"/>
    <w:rsid w:val="581B3065"/>
    <w:rsid w:val="581D2CE2"/>
    <w:rsid w:val="58203B52"/>
    <w:rsid w:val="582A3076"/>
    <w:rsid w:val="582C7791"/>
    <w:rsid w:val="58317FA1"/>
    <w:rsid w:val="58353D01"/>
    <w:rsid w:val="58640642"/>
    <w:rsid w:val="58706D7B"/>
    <w:rsid w:val="58794112"/>
    <w:rsid w:val="58812157"/>
    <w:rsid w:val="588E58EA"/>
    <w:rsid w:val="58991D54"/>
    <w:rsid w:val="58C200D3"/>
    <w:rsid w:val="58ED04AE"/>
    <w:rsid w:val="58F038AA"/>
    <w:rsid w:val="58F6402E"/>
    <w:rsid w:val="58FD6975"/>
    <w:rsid w:val="592D4191"/>
    <w:rsid w:val="59393661"/>
    <w:rsid w:val="59480DCA"/>
    <w:rsid w:val="595042C9"/>
    <w:rsid w:val="59513223"/>
    <w:rsid w:val="59520A09"/>
    <w:rsid w:val="596C330B"/>
    <w:rsid w:val="59836DAE"/>
    <w:rsid w:val="59886446"/>
    <w:rsid w:val="59B13F55"/>
    <w:rsid w:val="59B61B72"/>
    <w:rsid w:val="59B71126"/>
    <w:rsid w:val="59C15444"/>
    <w:rsid w:val="59EB3C09"/>
    <w:rsid w:val="59F45A96"/>
    <w:rsid w:val="5A053C60"/>
    <w:rsid w:val="5A0C50EC"/>
    <w:rsid w:val="5A302DB6"/>
    <w:rsid w:val="5A5114AF"/>
    <w:rsid w:val="5A5F5912"/>
    <w:rsid w:val="5A81751A"/>
    <w:rsid w:val="5A8A1C43"/>
    <w:rsid w:val="5A9344F3"/>
    <w:rsid w:val="5AA23328"/>
    <w:rsid w:val="5AA6564B"/>
    <w:rsid w:val="5AB867FB"/>
    <w:rsid w:val="5AC16185"/>
    <w:rsid w:val="5ADB09E6"/>
    <w:rsid w:val="5ADC7536"/>
    <w:rsid w:val="5AEA2408"/>
    <w:rsid w:val="5AF75D39"/>
    <w:rsid w:val="5B1C7388"/>
    <w:rsid w:val="5B272144"/>
    <w:rsid w:val="5B332235"/>
    <w:rsid w:val="5B3E05F9"/>
    <w:rsid w:val="5B481DE3"/>
    <w:rsid w:val="5B5C2D74"/>
    <w:rsid w:val="5BA33638"/>
    <w:rsid w:val="5BFF6D95"/>
    <w:rsid w:val="5C0E06B5"/>
    <w:rsid w:val="5C107219"/>
    <w:rsid w:val="5C152C71"/>
    <w:rsid w:val="5C2170A8"/>
    <w:rsid w:val="5C391091"/>
    <w:rsid w:val="5C573A9E"/>
    <w:rsid w:val="5C741CD2"/>
    <w:rsid w:val="5C745DB7"/>
    <w:rsid w:val="5C7F04CF"/>
    <w:rsid w:val="5C865CAC"/>
    <w:rsid w:val="5C901CEF"/>
    <w:rsid w:val="5CE53ECF"/>
    <w:rsid w:val="5CEB2998"/>
    <w:rsid w:val="5CEC1EB3"/>
    <w:rsid w:val="5CF95B9D"/>
    <w:rsid w:val="5D0C0A3C"/>
    <w:rsid w:val="5D15381A"/>
    <w:rsid w:val="5D210ADA"/>
    <w:rsid w:val="5D462B0C"/>
    <w:rsid w:val="5D614D7E"/>
    <w:rsid w:val="5D9849EA"/>
    <w:rsid w:val="5DAD0716"/>
    <w:rsid w:val="5DB7412C"/>
    <w:rsid w:val="5DBD607F"/>
    <w:rsid w:val="5DD7428C"/>
    <w:rsid w:val="5DE86176"/>
    <w:rsid w:val="5DEE7BBF"/>
    <w:rsid w:val="5DFF78DF"/>
    <w:rsid w:val="5E383DCE"/>
    <w:rsid w:val="5E4F3474"/>
    <w:rsid w:val="5E515FF8"/>
    <w:rsid w:val="5E5918AC"/>
    <w:rsid w:val="5E5C1DCF"/>
    <w:rsid w:val="5E926EC5"/>
    <w:rsid w:val="5E94579A"/>
    <w:rsid w:val="5E9E4A16"/>
    <w:rsid w:val="5EBB32B1"/>
    <w:rsid w:val="5EC649A4"/>
    <w:rsid w:val="5EC844F9"/>
    <w:rsid w:val="5ED361BF"/>
    <w:rsid w:val="5ED9044C"/>
    <w:rsid w:val="5EDD21FE"/>
    <w:rsid w:val="5EE750BA"/>
    <w:rsid w:val="5F165BDC"/>
    <w:rsid w:val="5F196407"/>
    <w:rsid w:val="5F1E205A"/>
    <w:rsid w:val="5F2B5A09"/>
    <w:rsid w:val="5F465C18"/>
    <w:rsid w:val="5F4E41E3"/>
    <w:rsid w:val="5F5947EF"/>
    <w:rsid w:val="5F5B3157"/>
    <w:rsid w:val="5F6C2811"/>
    <w:rsid w:val="5F6F4812"/>
    <w:rsid w:val="5F7E2E18"/>
    <w:rsid w:val="5F951429"/>
    <w:rsid w:val="5F984078"/>
    <w:rsid w:val="5F987A49"/>
    <w:rsid w:val="5FB17042"/>
    <w:rsid w:val="5FB374C6"/>
    <w:rsid w:val="5FBC3C0E"/>
    <w:rsid w:val="5FC21345"/>
    <w:rsid w:val="5FC42FA7"/>
    <w:rsid w:val="5FEF2F01"/>
    <w:rsid w:val="600F5EFC"/>
    <w:rsid w:val="601475E8"/>
    <w:rsid w:val="60383BDC"/>
    <w:rsid w:val="603F6642"/>
    <w:rsid w:val="60544420"/>
    <w:rsid w:val="606776C4"/>
    <w:rsid w:val="609D0D56"/>
    <w:rsid w:val="60A81589"/>
    <w:rsid w:val="60AA1FE2"/>
    <w:rsid w:val="60B411CD"/>
    <w:rsid w:val="60C116DB"/>
    <w:rsid w:val="60CA5511"/>
    <w:rsid w:val="60CA5B7F"/>
    <w:rsid w:val="60D22AA1"/>
    <w:rsid w:val="60DB652B"/>
    <w:rsid w:val="61120E7E"/>
    <w:rsid w:val="611E3480"/>
    <w:rsid w:val="612154DD"/>
    <w:rsid w:val="612931EB"/>
    <w:rsid w:val="612A29B9"/>
    <w:rsid w:val="61311D72"/>
    <w:rsid w:val="61312587"/>
    <w:rsid w:val="61416306"/>
    <w:rsid w:val="614D5F60"/>
    <w:rsid w:val="615C112F"/>
    <w:rsid w:val="616C5330"/>
    <w:rsid w:val="61751746"/>
    <w:rsid w:val="6179467A"/>
    <w:rsid w:val="619E4C5A"/>
    <w:rsid w:val="61A00812"/>
    <w:rsid w:val="61AD5CC5"/>
    <w:rsid w:val="61C5543D"/>
    <w:rsid w:val="61D45DD4"/>
    <w:rsid w:val="61D73E9B"/>
    <w:rsid w:val="61DF776D"/>
    <w:rsid w:val="61F806A4"/>
    <w:rsid w:val="62164C46"/>
    <w:rsid w:val="62276B52"/>
    <w:rsid w:val="622D2552"/>
    <w:rsid w:val="62310104"/>
    <w:rsid w:val="623876F6"/>
    <w:rsid w:val="6245075B"/>
    <w:rsid w:val="6249079F"/>
    <w:rsid w:val="625C79EC"/>
    <w:rsid w:val="6273150D"/>
    <w:rsid w:val="62865F35"/>
    <w:rsid w:val="62962A8D"/>
    <w:rsid w:val="62980458"/>
    <w:rsid w:val="62B66D1F"/>
    <w:rsid w:val="62DF4D97"/>
    <w:rsid w:val="62F20194"/>
    <w:rsid w:val="62FE2741"/>
    <w:rsid w:val="631D2EFF"/>
    <w:rsid w:val="632D70AB"/>
    <w:rsid w:val="63314378"/>
    <w:rsid w:val="634B5156"/>
    <w:rsid w:val="63590BE3"/>
    <w:rsid w:val="635E7BC9"/>
    <w:rsid w:val="63674F10"/>
    <w:rsid w:val="63854CB6"/>
    <w:rsid w:val="639A12F6"/>
    <w:rsid w:val="63B54D00"/>
    <w:rsid w:val="63CA55CF"/>
    <w:rsid w:val="63DC3D64"/>
    <w:rsid w:val="63E746E0"/>
    <w:rsid w:val="63F007F8"/>
    <w:rsid w:val="63F12281"/>
    <w:rsid w:val="6409067E"/>
    <w:rsid w:val="640952DF"/>
    <w:rsid w:val="640F473A"/>
    <w:rsid w:val="643D0152"/>
    <w:rsid w:val="645C3F23"/>
    <w:rsid w:val="64685C26"/>
    <w:rsid w:val="646A06DA"/>
    <w:rsid w:val="647C21F7"/>
    <w:rsid w:val="648C1D7D"/>
    <w:rsid w:val="64BA3F38"/>
    <w:rsid w:val="64D46504"/>
    <w:rsid w:val="64E1286C"/>
    <w:rsid w:val="64FC30CE"/>
    <w:rsid w:val="65113D3D"/>
    <w:rsid w:val="651F1287"/>
    <w:rsid w:val="654526B6"/>
    <w:rsid w:val="6562679D"/>
    <w:rsid w:val="656375D9"/>
    <w:rsid w:val="65685276"/>
    <w:rsid w:val="657E1964"/>
    <w:rsid w:val="65877C2E"/>
    <w:rsid w:val="659C052D"/>
    <w:rsid w:val="65B516BD"/>
    <w:rsid w:val="65CF3A7D"/>
    <w:rsid w:val="65EF7B3C"/>
    <w:rsid w:val="65FD1934"/>
    <w:rsid w:val="66102262"/>
    <w:rsid w:val="663B5BFD"/>
    <w:rsid w:val="66526F9D"/>
    <w:rsid w:val="666F14E5"/>
    <w:rsid w:val="668B6C7A"/>
    <w:rsid w:val="66981F48"/>
    <w:rsid w:val="669C2443"/>
    <w:rsid w:val="669E7586"/>
    <w:rsid w:val="669F6ED4"/>
    <w:rsid w:val="66A95421"/>
    <w:rsid w:val="66BA4E1C"/>
    <w:rsid w:val="66C9403E"/>
    <w:rsid w:val="66CE7DE7"/>
    <w:rsid w:val="66D2494C"/>
    <w:rsid w:val="66D65516"/>
    <w:rsid w:val="66F74CEE"/>
    <w:rsid w:val="670566D6"/>
    <w:rsid w:val="67057F18"/>
    <w:rsid w:val="67125FBF"/>
    <w:rsid w:val="67176A5E"/>
    <w:rsid w:val="671F70D9"/>
    <w:rsid w:val="67296AC2"/>
    <w:rsid w:val="67346C84"/>
    <w:rsid w:val="67363782"/>
    <w:rsid w:val="673A5E36"/>
    <w:rsid w:val="674674CB"/>
    <w:rsid w:val="67514459"/>
    <w:rsid w:val="675B4424"/>
    <w:rsid w:val="678E3909"/>
    <w:rsid w:val="67AB2FC0"/>
    <w:rsid w:val="67B44FC2"/>
    <w:rsid w:val="67BA722C"/>
    <w:rsid w:val="67C35F85"/>
    <w:rsid w:val="67D50005"/>
    <w:rsid w:val="67E31ECE"/>
    <w:rsid w:val="67F063D4"/>
    <w:rsid w:val="67F7765E"/>
    <w:rsid w:val="680018A5"/>
    <w:rsid w:val="68086389"/>
    <w:rsid w:val="680D3DEA"/>
    <w:rsid w:val="681126BD"/>
    <w:rsid w:val="68164AD5"/>
    <w:rsid w:val="682F78E3"/>
    <w:rsid w:val="683A1589"/>
    <w:rsid w:val="68682883"/>
    <w:rsid w:val="68A30842"/>
    <w:rsid w:val="68AD5600"/>
    <w:rsid w:val="68C85E35"/>
    <w:rsid w:val="68E635A7"/>
    <w:rsid w:val="68FB40EB"/>
    <w:rsid w:val="69115A44"/>
    <w:rsid w:val="692C69A6"/>
    <w:rsid w:val="69321D80"/>
    <w:rsid w:val="69360F72"/>
    <w:rsid w:val="694A123C"/>
    <w:rsid w:val="6972752F"/>
    <w:rsid w:val="697B54DD"/>
    <w:rsid w:val="69A841A6"/>
    <w:rsid w:val="69A94AD4"/>
    <w:rsid w:val="69E260D0"/>
    <w:rsid w:val="69E355A4"/>
    <w:rsid w:val="69F11BAE"/>
    <w:rsid w:val="6A1B1AF4"/>
    <w:rsid w:val="6A3208E1"/>
    <w:rsid w:val="6A3E44A4"/>
    <w:rsid w:val="6A490463"/>
    <w:rsid w:val="6A724A25"/>
    <w:rsid w:val="6A9A2B6C"/>
    <w:rsid w:val="6AAC3ED5"/>
    <w:rsid w:val="6AB1111C"/>
    <w:rsid w:val="6AB65513"/>
    <w:rsid w:val="6AC25C84"/>
    <w:rsid w:val="6ADC693F"/>
    <w:rsid w:val="6AE028A8"/>
    <w:rsid w:val="6AE920CE"/>
    <w:rsid w:val="6B072D81"/>
    <w:rsid w:val="6B074CC6"/>
    <w:rsid w:val="6B105D76"/>
    <w:rsid w:val="6B242F9F"/>
    <w:rsid w:val="6B4E2DD7"/>
    <w:rsid w:val="6B5D2592"/>
    <w:rsid w:val="6B630F63"/>
    <w:rsid w:val="6B6D3232"/>
    <w:rsid w:val="6B6F0957"/>
    <w:rsid w:val="6B8D6F11"/>
    <w:rsid w:val="6B937C0F"/>
    <w:rsid w:val="6B944580"/>
    <w:rsid w:val="6B9F1F9F"/>
    <w:rsid w:val="6BA17837"/>
    <w:rsid w:val="6BA2139A"/>
    <w:rsid w:val="6BA928E9"/>
    <w:rsid w:val="6BAD37D9"/>
    <w:rsid w:val="6BC347FE"/>
    <w:rsid w:val="6BCB2CE8"/>
    <w:rsid w:val="6BDC595A"/>
    <w:rsid w:val="6BDD3EF3"/>
    <w:rsid w:val="6BDF2D21"/>
    <w:rsid w:val="6C3F355F"/>
    <w:rsid w:val="6C5F1AFD"/>
    <w:rsid w:val="6C604926"/>
    <w:rsid w:val="6C7643D9"/>
    <w:rsid w:val="6C7B3B02"/>
    <w:rsid w:val="6C7C71AF"/>
    <w:rsid w:val="6C8B4639"/>
    <w:rsid w:val="6C997768"/>
    <w:rsid w:val="6C9E0F04"/>
    <w:rsid w:val="6CAB2B44"/>
    <w:rsid w:val="6CC05C12"/>
    <w:rsid w:val="6CE73BFD"/>
    <w:rsid w:val="6D071B22"/>
    <w:rsid w:val="6D0C7348"/>
    <w:rsid w:val="6D1A2855"/>
    <w:rsid w:val="6D374D61"/>
    <w:rsid w:val="6D412E43"/>
    <w:rsid w:val="6D965902"/>
    <w:rsid w:val="6D9D6F08"/>
    <w:rsid w:val="6DBC03C3"/>
    <w:rsid w:val="6DDA39D8"/>
    <w:rsid w:val="6E1026FD"/>
    <w:rsid w:val="6E367E9D"/>
    <w:rsid w:val="6E380D09"/>
    <w:rsid w:val="6E444FDC"/>
    <w:rsid w:val="6E59033D"/>
    <w:rsid w:val="6E5C6212"/>
    <w:rsid w:val="6E8A5B25"/>
    <w:rsid w:val="6EA3003C"/>
    <w:rsid w:val="6EAC5E36"/>
    <w:rsid w:val="6EDB4694"/>
    <w:rsid w:val="6F013722"/>
    <w:rsid w:val="6F6274BC"/>
    <w:rsid w:val="6F6F531C"/>
    <w:rsid w:val="6F871807"/>
    <w:rsid w:val="6FA22CB7"/>
    <w:rsid w:val="6FA24A03"/>
    <w:rsid w:val="6FAD6233"/>
    <w:rsid w:val="6FB335AF"/>
    <w:rsid w:val="6FBD1A21"/>
    <w:rsid w:val="6FE4311B"/>
    <w:rsid w:val="70026A0D"/>
    <w:rsid w:val="700351F0"/>
    <w:rsid w:val="7028596F"/>
    <w:rsid w:val="702A40B2"/>
    <w:rsid w:val="702B5A0B"/>
    <w:rsid w:val="702B6E1F"/>
    <w:rsid w:val="70523E81"/>
    <w:rsid w:val="70524F2C"/>
    <w:rsid w:val="70571EB6"/>
    <w:rsid w:val="705B6FAF"/>
    <w:rsid w:val="709B0EB0"/>
    <w:rsid w:val="70B62A79"/>
    <w:rsid w:val="70BA4BA1"/>
    <w:rsid w:val="70E24B21"/>
    <w:rsid w:val="70E62450"/>
    <w:rsid w:val="70EA2185"/>
    <w:rsid w:val="70EE44FD"/>
    <w:rsid w:val="70F151D2"/>
    <w:rsid w:val="710138EA"/>
    <w:rsid w:val="712D3ABF"/>
    <w:rsid w:val="71530EAF"/>
    <w:rsid w:val="716B71A6"/>
    <w:rsid w:val="71B108B9"/>
    <w:rsid w:val="71BE3AC1"/>
    <w:rsid w:val="71D549C7"/>
    <w:rsid w:val="71E264B8"/>
    <w:rsid w:val="71E666D5"/>
    <w:rsid w:val="71F17AD7"/>
    <w:rsid w:val="71FF461A"/>
    <w:rsid w:val="72000B4A"/>
    <w:rsid w:val="72275620"/>
    <w:rsid w:val="722D6A6B"/>
    <w:rsid w:val="72393DE9"/>
    <w:rsid w:val="723F481F"/>
    <w:rsid w:val="72415769"/>
    <w:rsid w:val="72431A99"/>
    <w:rsid w:val="7245350A"/>
    <w:rsid w:val="7245792C"/>
    <w:rsid w:val="72567EF9"/>
    <w:rsid w:val="7275341E"/>
    <w:rsid w:val="72A72B53"/>
    <w:rsid w:val="72B87964"/>
    <w:rsid w:val="72E561CE"/>
    <w:rsid w:val="72ED3698"/>
    <w:rsid w:val="72F128D9"/>
    <w:rsid w:val="72F704E5"/>
    <w:rsid w:val="73060294"/>
    <w:rsid w:val="73265429"/>
    <w:rsid w:val="732F782C"/>
    <w:rsid w:val="733E3512"/>
    <w:rsid w:val="73583591"/>
    <w:rsid w:val="736337E0"/>
    <w:rsid w:val="73647CB6"/>
    <w:rsid w:val="736E36F7"/>
    <w:rsid w:val="73A27E7D"/>
    <w:rsid w:val="73E63265"/>
    <w:rsid w:val="73F10395"/>
    <w:rsid w:val="7402550E"/>
    <w:rsid w:val="74093727"/>
    <w:rsid w:val="740B2C41"/>
    <w:rsid w:val="74183787"/>
    <w:rsid w:val="74314728"/>
    <w:rsid w:val="743A1AC7"/>
    <w:rsid w:val="743D3C63"/>
    <w:rsid w:val="7444381E"/>
    <w:rsid w:val="744A4158"/>
    <w:rsid w:val="74725FF3"/>
    <w:rsid w:val="747660A7"/>
    <w:rsid w:val="748420CA"/>
    <w:rsid w:val="748E206B"/>
    <w:rsid w:val="749B7EF6"/>
    <w:rsid w:val="74AD1543"/>
    <w:rsid w:val="74B22CF4"/>
    <w:rsid w:val="74BA6DE0"/>
    <w:rsid w:val="74BE6950"/>
    <w:rsid w:val="74C10685"/>
    <w:rsid w:val="74E47A11"/>
    <w:rsid w:val="74F9355A"/>
    <w:rsid w:val="75002894"/>
    <w:rsid w:val="75320130"/>
    <w:rsid w:val="75384EC2"/>
    <w:rsid w:val="753E7167"/>
    <w:rsid w:val="753F4866"/>
    <w:rsid w:val="75544EE6"/>
    <w:rsid w:val="75811F73"/>
    <w:rsid w:val="75967051"/>
    <w:rsid w:val="75985444"/>
    <w:rsid w:val="759E6A4F"/>
    <w:rsid w:val="75A13F34"/>
    <w:rsid w:val="75A52342"/>
    <w:rsid w:val="75A552C5"/>
    <w:rsid w:val="75B06378"/>
    <w:rsid w:val="75B621FC"/>
    <w:rsid w:val="75B62290"/>
    <w:rsid w:val="760153E5"/>
    <w:rsid w:val="762B74AE"/>
    <w:rsid w:val="76305383"/>
    <w:rsid w:val="76545C8A"/>
    <w:rsid w:val="76774672"/>
    <w:rsid w:val="769211F2"/>
    <w:rsid w:val="76945725"/>
    <w:rsid w:val="76A2270C"/>
    <w:rsid w:val="76DD0801"/>
    <w:rsid w:val="76ED52BE"/>
    <w:rsid w:val="76F00786"/>
    <w:rsid w:val="770D3ABA"/>
    <w:rsid w:val="7711585C"/>
    <w:rsid w:val="771E6FCC"/>
    <w:rsid w:val="77233254"/>
    <w:rsid w:val="77780E87"/>
    <w:rsid w:val="77A0035D"/>
    <w:rsid w:val="77B1303F"/>
    <w:rsid w:val="77B835FD"/>
    <w:rsid w:val="77EB2768"/>
    <w:rsid w:val="77EE6F57"/>
    <w:rsid w:val="77F17801"/>
    <w:rsid w:val="77FA5ED0"/>
    <w:rsid w:val="78157116"/>
    <w:rsid w:val="78276334"/>
    <w:rsid w:val="783855CF"/>
    <w:rsid w:val="78461EA3"/>
    <w:rsid w:val="784D04AD"/>
    <w:rsid w:val="785D6A8E"/>
    <w:rsid w:val="78632AFE"/>
    <w:rsid w:val="78811E57"/>
    <w:rsid w:val="78846A8E"/>
    <w:rsid w:val="78906746"/>
    <w:rsid w:val="78981E49"/>
    <w:rsid w:val="78B71D96"/>
    <w:rsid w:val="78B74204"/>
    <w:rsid w:val="78B86C1D"/>
    <w:rsid w:val="78D065B5"/>
    <w:rsid w:val="78DE6930"/>
    <w:rsid w:val="78F927E9"/>
    <w:rsid w:val="791C15C7"/>
    <w:rsid w:val="79327A87"/>
    <w:rsid w:val="794D615E"/>
    <w:rsid w:val="796D1B62"/>
    <w:rsid w:val="79701E62"/>
    <w:rsid w:val="79793D39"/>
    <w:rsid w:val="798A7756"/>
    <w:rsid w:val="798E5EE8"/>
    <w:rsid w:val="79E67F32"/>
    <w:rsid w:val="7A1A643B"/>
    <w:rsid w:val="7A1D2371"/>
    <w:rsid w:val="7A2A7A41"/>
    <w:rsid w:val="7A3A1408"/>
    <w:rsid w:val="7A4C7A8A"/>
    <w:rsid w:val="7A937B61"/>
    <w:rsid w:val="7AA717AF"/>
    <w:rsid w:val="7AA80762"/>
    <w:rsid w:val="7ADA76BC"/>
    <w:rsid w:val="7AE51771"/>
    <w:rsid w:val="7AF46974"/>
    <w:rsid w:val="7AFD13DF"/>
    <w:rsid w:val="7B0048F2"/>
    <w:rsid w:val="7B0A009E"/>
    <w:rsid w:val="7B0C5EDA"/>
    <w:rsid w:val="7B0F57EC"/>
    <w:rsid w:val="7B182309"/>
    <w:rsid w:val="7B1C7495"/>
    <w:rsid w:val="7B2C2B02"/>
    <w:rsid w:val="7B397416"/>
    <w:rsid w:val="7B6D1DB8"/>
    <w:rsid w:val="7B87693E"/>
    <w:rsid w:val="7B9776ED"/>
    <w:rsid w:val="7BB575A0"/>
    <w:rsid w:val="7BB87730"/>
    <w:rsid w:val="7BEC6D72"/>
    <w:rsid w:val="7BF462C0"/>
    <w:rsid w:val="7BF6751D"/>
    <w:rsid w:val="7BFF0D00"/>
    <w:rsid w:val="7C14225C"/>
    <w:rsid w:val="7C152C13"/>
    <w:rsid w:val="7C1C0065"/>
    <w:rsid w:val="7C1C47EA"/>
    <w:rsid w:val="7C22249A"/>
    <w:rsid w:val="7C4D6377"/>
    <w:rsid w:val="7C737703"/>
    <w:rsid w:val="7C836E96"/>
    <w:rsid w:val="7C8455B6"/>
    <w:rsid w:val="7C861959"/>
    <w:rsid w:val="7C87606A"/>
    <w:rsid w:val="7CA03473"/>
    <w:rsid w:val="7CA633FF"/>
    <w:rsid w:val="7CBA3CAD"/>
    <w:rsid w:val="7CC56F7F"/>
    <w:rsid w:val="7CC87F4A"/>
    <w:rsid w:val="7CCE1975"/>
    <w:rsid w:val="7CD86CBA"/>
    <w:rsid w:val="7CE46977"/>
    <w:rsid w:val="7CEC4220"/>
    <w:rsid w:val="7CF0114B"/>
    <w:rsid w:val="7CF04518"/>
    <w:rsid w:val="7CF16B5A"/>
    <w:rsid w:val="7D126C07"/>
    <w:rsid w:val="7D2440DC"/>
    <w:rsid w:val="7D4E0BCD"/>
    <w:rsid w:val="7D562E39"/>
    <w:rsid w:val="7D59242D"/>
    <w:rsid w:val="7D6F280E"/>
    <w:rsid w:val="7D7C7BC7"/>
    <w:rsid w:val="7D8C6234"/>
    <w:rsid w:val="7D9F7369"/>
    <w:rsid w:val="7DC13784"/>
    <w:rsid w:val="7DC634EC"/>
    <w:rsid w:val="7DEE2D0E"/>
    <w:rsid w:val="7DF814D7"/>
    <w:rsid w:val="7E130AC1"/>
    <w:rsid w:val="7E644499"/>
    <w:rsid w:val="7E966D8F"/>
    <w:rsid w:val="7EA778F3"/>
    <w:rsid w:val="7EC31654"/>
    <w:rsid w:val="7ED34A5C"/>
    <w:rsid w:val="7EE7086D"/>
    <w:rsid w:val="7EED2DE0"/>
    <w:rsid w:val="7F17721B"/>
    <w:rsid w:val="7F1B2C3A"/>
    <w:rsid w:val="7F201F16"/>
    <w:rsid w:val="7F2810EF"/>
    <w:rsid w:val="7F2C6F4D"/>
    <w:rsid w:val="7F3D743A"/>
    <w:rsid w:val="7F3F3851"/>
    <w:rsid w:val="7F415B14"/>
    <w:rsid w:val="7F426E4E"/>
    <w:rsid w:val="7F690AF6"/>
    <w:rsid w:val="7F723916"/>
    <w:rsid w:val="7FA410A8"/>
    <w:rsid w:val="7FCB393D"/>
    <w:rsid w:val="7FDB4F12"/>
    <w:rsid w:val="7FF76E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883"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2"/>
    <w:qFormat/>
    <w:uiPriority w:val="99"/>
    <w:pPr>
      <w:keepNext/>
      <w:keepLines/>
      <w:spacing w:beforeLines="50" w:afterLines="50"/>
      <w:ind w:firstLine="0" w:firstLineChars="0"/>
      <w:jc w:val="center"/>
      <w:outlineLvl w:val="0"/>
    </w:pPr>
    <w:rPr>
      <w:rFonts w:ascii="微软雅黑" w:hAnsi="微软雅黑" w:eastAsia="黑体"/>
      <w:b/>
      <w:color w:val="000000"/>
      <w:kern w:val="44"/>
      <w:sz w:val="36"/>
      <w:szCs w:val="20"/>
      <w:u w:color="FFFFFF"/>
    </w:rPr>
  </w:style>
  <w:style w:type="paragraph" w:styleId="4">
    <w:name w:val="heading 2"/>
    <w:basedOn w:val="1"/>
    <w:next w:val="1"/>
    <w:link w:val="23"/>
    <w:qFormat/>
    <w:uiPriority w:val="99"/>
    <w:pPr>
      <w:keepNext/>
      <w:keepLines/>
      <w:spacing w:beforeLines="50" w:afterLines="50"/>
      <w:ind w:firstLine="0" w:firstLineChars="0"/>
      <w:jc w:val="center"/>
      <w:outlineLvl w:val="1"/>
    </w:pPr>
    <w:rPr>
      <w:rFonts w:ascii="微软雅黑" w:hAnsi="微软雅黑" w:eastAsia="楷体"/>
      <w:b/>
      <w:color w:val="000000"/>
      <w:kern w:val="0"/>
      <w:sz w:val="20"/>
      <w:szCs w:val="20"/>
      <w:u w:color="FFFFFF"/>
    </w:rPr>
  </w:style>
  <w:style w:type="paragraph" w:styleId="5">
    <w:name w:val="heading 3"/>
    <w:basedOn w:val="1"/>
    <w:next w:val="1"/>
    <w:link w:val="24"/>
    <w:qFormat/>
    <w:uiPriority w:val="99"/>
    <w:pPr>
      <w:keepNext/>
      <w:keepLines/>
      <w:ind w:firstLine="0" w:firstLineChars="0"/>
      <w:jc w:val="center"/>
      <w:outlineLvl w:val="2"/>
    </w:pPr>
    <w:rPr>
      <w:rFonts w:ascii="KaiTi_GB2312" w:hAnsi="KaiTi_GB2312" w:eastAsia="宋体"/>
      <w:b/>
      <w:color w:val="000000"/>
      <w:kern w:val="0"/>
      <w:sz w:val="28"/>
      <w:szCs w:val="21"/>
      <w:u w:color="FFFFFF"/>
    </w:rPr>
  </w:style>
  <w:style w:type="character" w:default="1" w:styleId="18">
    <w:name w:val="Default Paragraph Font"/>
    <w:semiHidden/>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style>
  <w:style w:type="paragraph" w:styleId="6">
    <w:name w:val="annotation text"/>
    <w:basedOn w:val="1"/>
    <w:link w:val="26"/>
    <w:qFormat/>
    <w:uiPriority w:val="99"/>
    <w:pPr>
      <w:jc w:val="left"/>
    </w:pPr>
  </w:style>
  <w:style w:type="paragraph" w:styleId="7">
    <w:name w:val="Body Text Indent"/>
    <w:basedOn w:val="1"/>
    <w:link w:val="27"/>
    <w:qFormat/>
    <w:uiPriority w:val="99"/>
    <w:rPr>
      <w:rFonts w:eastAsia="宋体"/>
      <w:sz w:val="24"/>
    </w:rPr>
  </w:style>
  <w:style w:type="paragraph" w:styleId="8">
    <w:name w:val="footer"/>
    <w:basedOn w:val="1"/>
    <w:link w:val="28"/>
    <w:qFormat/>
    <w:uiPriority w:val="99"/>
    <w:pPr>
      <w:tabs>
        <w:tab w:val="center" w:pos="4153"/>
        <w:tab w:val="right" w:pos="8306"/>
      </w:tabs>
      <w:snapToGrid w:val="0"/>
      <w:jc w:val="left"/>
    </w:pPr>
    <w:rPr>
      <w:sz w:val="18"/>
    </w:rPr>
  </w:style>
  <w:style w:type="paragraph" w:styleId="9">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99"/>
    <w:pPr>
      <w:spacing w:line="560" w:lineRule="exact"/>
      <w:ind w:firstLine="0" w:firstLineChars="0"/>
    </w:pPr>
    <w:rPr>
      <w:rFonts w:eastAsia="黑体"/>
      <w:sz w:val="28"/>
    </w:rPr>
  </w:style>
  <w:style w:type="paragraph" w:styleId="11">
    <w:name w:val="toc 2"/>
    <w:basedOn w:val="1"/>
    <w:next w:val="1"/>
    <w:qFormat/>
    <w:uiPriority w:val="99"/>
    <w:pPr>
      <w:spacing w:line="560" w:lineRule="exact"/>
      <w:ind w:left="640" w:leftChars="200" w:firstLine="0" w:firstLineChars="0"/>
    </w:pPr>
    <w:rPr>
      <w:rFonts w:eastAsia="楷体"/>
      <w:sz w:val="28"/>
    </w:rPr>
  </w:style>
  <w:style w:type="paragraph" w:styleId="12">
    <w:name w:val="Normal (Web)"/>
    <w:basedOn w:val="1"/>
    <w:qFormat/>
    <w:uiPriority w:val="99"/>
    <w:pPr>
      <w:jc w:val="left"/>
    </w:pPr>
    <w:rPr>
      <w:kern w:val="0"/>
      <w:sz w:val="24"/>
    </w:rPr>
  </w:style>
  <w:style w:type="paragraph" w:styleId="13">
    <w:name w:val="Title"/>
    <w:basedOn w:val="1"/>
    <w:next w:val="1"/>
    <w:link w:val="30"/>
    <w:qFormat/>
    <w:uiPriority w:val="99"/>
    <w:pPr>
      <w:spacing w:before="240" w:after="60"/>
      <w:outlineLvl w:val="0"/>
    </w:pPr>
    <w:rPr>
      <w:rFonts w:ascii="Calibri Light" w:hAnsi="Calibri Light"/>
      <w:bCs/>
      <w:szCs w:val="32"/>
    </w:rPr>
  </w:style>
  <w:style w:type="paragraph" w:styleId="14">
    <w:name w:val="Body Text First Indent"/>
    <w:basedOn w:val="2"/>
    <w:next w:val="1"/>
    <w:link w:val="31"/>
    <w:autoRedefine/>
    <w:qFormat/>
    <w:uiPriority w:val="99"/>
    <w:pPr>
      <w:ind w:firstLine="420" w:firstLineChars="100"/>
    </w:pPr>
    <w:rPr>
      <w:rFonts w:ascii="Calibri" w:hAnsi="Calibri" w:eastAsia="宋体"/>
      <w:sz w:val="21"/>
    </w:rPr>
  </w:style>
  <w:style w:type="paragraph" w:styleId="15">
    <w:name w:val="Body Text First Indent 2"/>
    <w:basedOn w:val="1"/>
    <w:link w:val="32"/>
    <w:qFormat/>
    <w:uiPriority w:val="99"/>
    <w:pPr>
      <w:ind w:firstLine="420"/>
    </w:pPr>
    <w:rPr>
      <w:rFonts w:ascii="宋体" w:hAnsi="宋体" w:eastAsia="宋体"/>
      <w:sz w:val="24"/>
    </w:r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Emphasis"/>
    <w:basedOn w:val="18"/>
    <w:qFormat/>
    <w:uiPriority w:val="99"/>
    <w:rPr>
      <w:rFonts w:cs="Times New Roman"/>
      <w:i/>
    </w:rPr>
  </w:style>
  <w:style w:type="character" w:styleId="21">
    <w:name w:val="Hyperlink"/>
    <w:basedOn w:val="18"/>
    <w:uiPriority w:val="99"/>
    <w:rPr>
      <w:rFonts w:cs="Times New Roman"/>
      <w:color w:val="0000FF"/>
      <w:u w:val="single"/>
    </w:rPr>
  </w:style>
  <w:style w:type="character" w:customStyle="1" w:styleId="22">
    <w:name w:val="Heading 1 Char"/>
    <w:basedOn w:val="18"/>
    <w:link w:val="3"/>
    <w:qFormat/>
    <w:locked/>
    <w:uiPriority w:val="99"/>
    <w:rPr>
      <w:rFonts w:ascii="微软雅黑" w:hAnsi="微软雅黑" w:eastAsia="黑体" w:cs="Times New Roman"/>
      <w:b/>
      <w:color w:val="000000"/>
      <w:kern w:val="44"/>
      <w:sz w:val="36"/>
      <w:u w:val="none" w:color="FFFFFF"/>
    </w:rPr>
  </w:style>
  <w:style w:type="character" w:customStyle="1" w:styleId="23">
    <w:name w:val="Heading 2 Char"/>
    <w:basedOn w:val="18"/>
    <w:link w:val="4"/>
    <w:qFormat/>
    <w:locked/>
    <w:uiPriority w:val="99"/>
    <w:rPr>
      <w:rFonts w:ascii="微软雅黑" w:hAnsi="微软雅黑" w:eastAsia="楷体" w:cs="Times New Roman"/>
      <w:b/>
      <w:color w:val="000000"/>
      <w:u w:color="FFFFFF"/>
    </w:rPr>
  </w:style>
  <w:style w:type="character" w:customStyle="1" w:styleId="24">
    <w:name w:val="Heading 3 Char"/>
    <w:basedOn w:val="18"/>
    <w:link w:val="5"/>
    <w:qFormat/>
    <w:locked/>
    <w:uiPriority w:val="99"/>
    <w:rPr>
      <w:rFonts w:ascii="KaiTi_GB2312" w:eastAsia="Times New Roman" w:cs="Times New Roman"/>
      <w:b/>
      <w:color w:val="000000"/>
      <w:sz w:val="21"/>
      <w:u w:color="FFFFFF"/>
    </w:rPr>
  </w:style>
  <w:style w:type="character" w:customStyle="1" w:styleId="25">
    <w:name w:val="Body Text Char"/>
    <w:basedOn w:val="18"/>
    <w:link w:val="2"/>
    <w:qFormat/>
    <w:locked/>
    <w:uiPriority w:val="99"/>
    <w:rPr>
      <w:rFonts w:ascii="Times New Roman" w:hAnsi="Times New Roman" w:eastAsia="仿宋" w:cs="黑体"/>
      <w:kern w:val="2"/>
      <w:sz w:val="24"/>
      <w:szCs w:val="24"/>
    </w:rPr>
  </w:style>
  <w:style w:type="character" w:customStyle="1" w:styleId="26">
    <w:name w:val="Comment Text Char"/>
    <w:basedOn w:val="18"/>
    <w:link w:val="6"/>
    <w:semiHidden/>
    <w:qFormat/>
    <w:locked/>
    <w:uiPriority w:val="99"/>
    <w:rPr>
      <w:rFonts w:eastAsia="仿宋" w:cs="Times New Roman"/>
      <w:sz w:val="24"/>
      <w:szCs w:val="24"/>
    </w:rPr>
  </w:style>
  <w:style w:type="character" w:customStyle="1" w:styleId="27">
    <w:name w:val="Body Text Indent Char"/>
    <w:basedOn w:val="18"/>
    <w:link w:val="7"/>
    <w:qFormat/>
    <w:locked/>
    <w:uiPriority w:val="99"/>
    <w:rPr>
      <w:rFonts w:ascii="Times New Roman" w:hAnsi="Times New Roman" w:eastAsia="宋体" w:cs="黑体"/>
      <w:kern w:val="2"/>
      <w:sz w:val="24"/>
      <w:szCs w:val="24"/>
    </w:rPr>
  </w:style>
  <w:style w:type="character" w:customStyle="1" w:styleId="28">
    <w:name w:val="Footer Char"/>
    <w:basedOn w:val="18"/>
    <w:link w:val="8"/>
    <w:semiHidden/>
    <w:qFormat/>
    <w:locked/>
    <w:uiPriority w:val="99"/>
    <w:rPr>
      <w:rFonts w:eastAsia="仿宋" w:cs="Times New Roman"/>
      <w:sz w:val="18"/>
      <w:szCs w:val="18"/>
    </w:rPr>
  </w:style>
  <w:style w:type="character" w:customStyle="1" w:styleId="29">
    <w:name w:val="Header Char"/>
    <w:basedOn w:val="18"/>
    <w:link w:val="9"/>
    <w:semiHidden/>
    <w:qFormat/>
    <w:locked/>
    <w:uiPriority w:val="99"/>
    <w:rPr>
      <w:rFonts w:eastAsia="仿宋" w:cs="Times New Roman"/>
      <w:sz w:val="18"/>
      <w:szCs w:val="18"/>
    </w:rPr>
  </w:style>
  <w:style w:type="character" w:customStyle="1" w:styleId="30">
    <w:name w:val="Title Char"/>
    <w:basedOn w:val="18"/>
    <w:link w:val="13"/>
    <w:locked/>
    <w:uiPriority w:val="99"/>
    <w:rPr>
      <w:rFonts w:ascii="Cambria" w:hAnsi="Cambria" w:cs="Times New Roman"/>
      <w:b/>
      <w:bCs/>
      <w:sz w:val="32"/>
      <w:szCs w:val="32"/>
    </w:rPr>
  </w:style>
  <w:style w:type="character" w:customStyle="1" w:styleId="31">
    <w:name w:val="Body Text First Indent Char"/>
    <w:basedOn w:val="25"/>
    <w:link w:val="14"/>
    <w:semiHidden/>
    <w:locked/>
    <w:uiPriority w:val="99"/>
  </w:style>
  <w:style w:type="character" w:customStyle="1" w:styleId="32">
    <w:name w:val="Body Text First Indent 2 Char"/>
    <w:basedOn w:val="27"/>
    <w:link w:val="15"/>
    <w:qFormat/>
    <w:locked/>
    <w:uiPriority w:val="99"/>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120</Pages>
  <Words>10028</Words>
  <Lines>0</Lines>
  <Paragraphs>0</Paragraphs>
  <TotalTime>48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2021-01-29T05:11:00Z</dcterms:created>
  <dc:creator>Administrator</dc:creator>
  <cp:lastModifiedBy>许许</cp:lastModifiedBy>
  <cp:lastPrinted>2021-01-28T06:16:00Z</cp:lastPrinted>
  <dcterms:modified xsi:type="dcterms:W3CDTF">2024-04-01T07:46:28Z</dcterms:modified>
  <dc:title>永修县国民经济和社会发展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7C396746FFFF411C8E24F72C89A4AC6B_12</vt:lpwstr>
  </property>
</Properties>
</file>