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F6B2" w14:textId="77777777" w:rsidR="00EE55DB" w:rsidRDefault="00EE55DB">
      <w:pPr>
        <w:ind w:firstLine="880"/>
        <w:jc w:val="center"/>
        <w:rPr>
          <w:rFonts w:ascii="方正小标宋简体" w:eastAsia="方正小标宋简体" w:hAnsi="方正小标宋简体" w:cs="方正小标宋简体"/>
          <w:b/>
          <w:color w:val="000000"/>
          <w:sz w:val="44"/>
          <w:szCs w:val="44"/>
        </w:rPr>
      </w:pPr>
    </w:p>
    <w:p w14:paraId="1200B633" w14:textId="77777777" w:rsidR="00EE55DB" w:rsidRDefault="00EE55DB">
      <w:pPr>
        <w:pStyle w:val="21"/>
        <w:ind w:firstLine="880"/>
        <w:rPr>
          <w:rFonts w:ascii="方正小标宋简体" w:eastAsia="方正小标宋简体" w:hAnsi="方正小标宋简体" w:cs="方正小标宋简体"/>
          <w:b/>
          <w:color w:val="000000"/>
          <w:sz w:val="44"/>
          <w:szCs w:val="44"/>
        </w:rPr>
      </w:pPr>
    </w:p>
    <w:p w14:paraId="405A8A76" w14:textId="77777777" w:rsidR="00EE55DB" w:rsidRDefault="00EE55DB">
      <w:pPr>
        <w:pStyle w:val="21"/>
        <w:ind w:firstLine="880"/>
        <w:rPr>
          <w:rFonts w:ascii="方正小标宋简体" w:eastAsia="方正小标宋简体" w:hAnsi="方正小标宋简体" w:cs="方正小标宋简体"/>
          <w:b/>
          <w:color w:val="000000"/>
          <w:sz w:val="44"/>
          <w:szCs w:val="44"/>
        </w:rPr>
      </w:pPr>
    </w:p>
    <w:p w14:paraId="6C7EA9BB" w14:textId="77777777" w:rsidR="00EE55DB" w:rsidRDefault="00000000">
      <w:pPr>
        <w:ind w:firstLineChars="0" w:firstLine="0"/>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永修县国民经济和社会发展</w:t>
      </w:r>
    </w:p>
    <w:p w14:paraId="5242551B" w14:textId="77777777" w:rsidR="00EE55DB" w:rsidRDefault="00000000">
      <w:pPr>
        <w:ind w:firstLineChars="0" w:firstLine="0"/>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第十四个五年规划和二〇三五年</w:t>
      </w:r>
    </w:p>
    <w:p w14:paraId="55C7D57B" w14:textId="77777777" w:rsidR="00EE55DB" w:rsidRDefault="00000000">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8"/>
          <w:szCs w:val="48"/>
        </w:rPr>
        <w:t>远景目标纲要</w:t>
      </w:r>
    </w:p>
    <w:p w14:paraId="6E55C65E" w14:textId="77777777" w:rsidR="00EE55DB" w:rsidRDefault="00000000">
      <w:pPr>
        <w:pStyle w:val="af0"/>
        <w:ind w:firstLineChars="0" w:firstLine="0"/>
        <w:jc w:val="center"/>
        <w:rPr>
          <w:rFonts w:ascii="楷体_GB2312" w:eastAsia="楷体_GB2312" w:cs="楷体_GB2312"/>
          <w:sz w:val="48"/>
          <w:szCs w:val="48"/>
        </w:rPr>
      </w:pPr>
      <w:r>
        <w:rPr>
          <w:rFonts w:ascii="楷体_GB2312" w:hAnsi="楷体_GB2312" w:cs="楷体_GB2312" w:hint="eastAsia"/>
          <w:sz w:val="48"/>
          <w:szCs w:val="48"/>
        </w:rPr>
        <w:t>（草案）</w:t>
      </w:r>
    </w:p>
    <w:p w14:paraId="6BA7F98F" w14:textId="77777777" w:rsidR="00EE55DB" w:rsidRDefault="00EE55DB">
      <w:pPr>
        <w:ind w:firstLine="720"/>
        <w:rPr>
          <w:rFonts w:ascii="仿宋" w:cs="仿宋"/>
          <w:sz w:val="36"/>
          <w:szCs w:val="36"/>
        </w:rPr>
      </w:pPr>
    </w:p>
    <w:p w14:paraId="261DD511" w14:textId="77777777" w:rsidR="00EE55DB" w:rsidRDefault="00EE55DB">
      <w:pPr>
        <w:pStyle w:val="21"/>
        <w:ind w:firstLine="480"/>
      </w:pPr>
    </w:p>
    <w:p w14:paraId="6183B93A" w14:textId="77777777" w:rsidR="00EE55DB" w:rsidRDefault="00EE55DB">
      <w:pPr>
        <w:pStyle w:val="af0"/>
        <w:ind w:firstLine="360"/>
        <w:jc w:val="center"/>
        <w:rPr>
          <w:rFonts w:ascii="仿宋" w:eastAsia="仿宋" w:hAnsi="仿宋" w:cs="仿宋"/>
          <w:sz w:val="36"/>
          <w:szCs w:val="36"/>
        </w:rPr>
      </w:pPr>
    </w:p>
    <w:p w14:paraId="1565CDED" w14:textId="77777777" w:rsidR="00EE55DB" w:rsidRDefault="00EE55DB">
      <w:pPr>
        <w:pStyle w:val="af0"/>
        <w:ind w:firstLine="360"/>
        <w:rPr>
          <w:rFonts w:ascii="仿宋" w:eastAsia="仿宋" w:hAnsi="仿宋" w:cs="仿宋"/>
          <w:sz w:val="36"/>
          <w:szCs w:val="36"/>
        </w:rPr>
      </w:pPr>
    </w:p>
    <w:p w14:paraId="7D99A721" w14:textId="77777777" w:rsidR="00EE55DB" w:rsidRDefault="00EE55DB">
      <w:pPr>
        <w:pStyle w:val="af0"/>
        <w:ind w:firstLine="360"/>
        <w:jc w:val="center"/>
        <w:rPr>
          <w:rFonts w:ascii="仿宋" w:eastAsia="仿宋" w:hAnsi="仿宋" w:cs="仿宋"/>
          <w:sz w:val="36"/>
          <w:szCs w:val="36"/>
        </w:rPr>
      </w:pPr>
    </w:p>
    <w:p w14:paraId="0AAD995F" w14:textId="77777777" w:rsidR="00EE55DB" w:rsidRDefault="00EE55DB">
      <w:pPr>
        <w:pStyle w:val="af0"/>
        <w:ind w:firstLineChars="0" w:firstLine="0"/>
        <w:rPr>
          <w:rFonts w:ascii="仿宋" w:eastAsia="仿宋" w:hAnsi="仿宋" w:cs="仿宋"/>
          <w:sz w:val="36"/>
          <w:szCs w:val="36"/>
        </w:rPr>
      </w:pPr>
    </w:p>
    <w:p w14:paraId="40E19912" w14:textId="77777777" w:rsidR="00EE55DB" w:rsidRDefault="00EE55DB">
      <w:pPr>
        <w:ind w:firstLine="640"/>
        <w:jc w:val="center"/>
      </w:pPr>
    </w:p>
    <w:p w14:paraId="29BA0CED" w14:textId="77777777" w:rsidR="00EE55DB" w:rsidRDefault="00EE55DB">
      <w:pPr>
        <w:pStyle w:val="a0"/>
        <w:ind w:firstLine="640"/>
      </w:pPr>
    </w:p>
    <w:p w14:paraId="618E9B37" w14:textId="77777777" w:rsidR="00EE55DB" w:rsidRDefault="00EE55DB">
      <w:pPr>
        <w:ind w:firstLine="640"/>
        <w:jc w:val="center"/>
      </w:pPr>
    </w:p>
    <w:p w14:paraId="36E572E2" w14:textId="77777777" w:rsidR="00EE55DB" w:rsidRDefault="00000000">
      <w:pPr>
        <w:ind w:firstLineChars="0" w:firstLine="0"/>
        <w:jc w:val="center"/>
        <w:rPr>
          <w:rFonts w:ascii="楷体_GB2312" w:eastAsia="楷体_GB2312" w:cs="楷体_GB2312"/>
          <w:bCs/>
          <w:sz w:val="36"/>
          <w:szCs w:val="36"/>
        </w:rPr>
      </w:pPr>
      <w:r>
        <w:rPr>
          <w:rFonts w:ascii="楷体_GB2312" w:hAnsi="楷体_GB2312" w:cs="楷体_GB2312" w:hint="eastAsia"/>
          <w:bCs/>
          <w:sz w:val="36"/>
          <w:szCs w:val="36"/>
        </w:rPr>
        <w:t>永修</w:t>
      </w:r>
      <w:r>
        <w:rPr>
          <w:rFonts w:ascii="宋体" w:eastAsia="宋体" w:hAnsi="宋体" w:cs="宋体" w:hint="eastAsia"/>
          <w:bCs/>
          <w:sz w:val="36"/>
          <w:szCs w:val="36"/>
        </w:rPr>
        <w:t>县</w:t>
      </w:r>
      <w:r>
        <w:rPr>
          <w:rFonts w:ascii="楷体_GB2312" w:hAnsi="楷体_GB2312" w:cs="楷体_GB2312" w:hint="eastAsia"/>
          <w:bCs/>
          <w:sz w:val="36"/>
          <w:szCs w:val="36"/>
        </w:rPr>
        <w:t>人民政府</w:t>
      </w:r>
    </w:p>
    <w:p w14:paraId="1B752324" w14:textId="77777777" w:rsidR="00EE55DB" w:rsidRDefault="00000000">
      <w:pPr>
        <w:ind w:firstLineChars="0" w:firstLine="0"/>
        <w:jc w:val="center"/>
        <w:rPr>
          <w:rFonts w:ascii="楷体_GB2312" w:eastAsia="楷体_GB2312" w:cs="楷体_GB2312"/>
          <w:bCs/>
          <w:sz w:val="36"/>
          <w:szCs w:val="36"/>
        </w:rPr>
      </w:pPr>
      <w:r>
        <w:rPr>
          <w:rFonts w:ascii="楷体_GB2312" w:hAnsi="楷体_GB2312" w:cs="楷体_GB2312" w:hint="eastAsia"/>
          <w:bCs/>
          <w:sz w:val="36"/>
          <w:szCs w:val="36"/>
        </w:rPr>
        <w:t>二〇二一年一月</w:t>
      </w:r>
    </w:p>
    <w:p w14:paraId="77D1EA26" w14:textId="77777777" w:rsidR="00EE55DB" w:rsidRDefault="00EE55DB">
      <w:pPr>
        <w:pStyle w:val="a0"/>
        <w:ind w:firstLine="720"/>
        <w:rPr>
          <w:rFonts w:ascii="楷体_GB2312" w:eastAsia="楷体_GB2312" w:cs="楷体_GB2312"/>
          <w:bCs/>
          <w:sz w:val="36"/>
          <w:szCs w:val="36"/>
        </w:rPr>
      </w:pPr>
    </w:p>
    <w:p w14:paraId="4B10BE59" w14:textId="77777777" w:rsidR="00EE55DB" w:rsidRDefault="00000000">
      <w:pPr>
        <w:spacing w:line="560" w:lineRule="exact"/>
        <w:ind w:firstLine="723"/>
        <w:jc w:val="center"/>
        <w:rPr>
          <w:rFonts w:ascii="黑体" w:eastAsia="黑体" w:hAnsi="黑体" w:cs="黑体"/>
          <w:b/>
          <w:bCs/>
          <w:sz w:val="36"/>
          <w:szCs w:val="36"/>
        </w:rPr>
      </w:pPr>
      <w:r>
        <w:rPr>
          <w:rFonts w:ascii="黑体" w:eastAsia="黑体" w:hAnsi="黑体" w:cs="黑体" w:hint="eastAsia"/>
          <w:b/>
          <w:bCs/>
          <w:sz w:val="36"/>
          <w:szCs w:val="36"/>
        </w:rPr>
        <w:lastRenderedPageBreak/>
        <w:t>说</w:t>
      </w:r>
      <w:r>
        <w:rPr>
          <w:rFonts w:ascii="黑体" w:eastAsia="黑体" w:hAnsi="黑体" w:cs="黑体"/>
          <w:b/>
          <w:bCs/>
          <w:sz w:val="36"/>
          <w:szCs w:val="36"/>
        </w:rPr>
        <w:t xml:space="preserve">   </w:t>
      </w:r>
      <w:r>
        <w:rPr>
          <w:rFonts w:ascii="黑体" w:eastAsia="黑体" w:hAnsi="黑体" w:cs="黑体" w:hint="eastAsia"/>
          <w:b/>
          <w:bCs/>
          <w:sz w:val="36"/>
          <w:szCs w:val="36"/>
        </w:rPr>
        <w:t>明</w:t>
      </w:r>
    </w:p>
    <w:p w14:paraId="5C6330A0" w14:textId="77777777" w:rsidR="00EE55DB" w:rsidRDefault="00EE55DB">
      <w:pPr>
        <w:widowControl/>
        <w:snapToGrid w:val="0"/>
        <w:ind w:firstLine="640"/>
        <w:jc w:val="center"/>
        <w:rPr>
          <w:rFonts w:ascii="仿宋_GB2312" w:cs="宋体"/>
          <w:kern w:val="0"/>
          <w:szCs w:val="32"/>
        </w:rPr>
      </w:pPr>
    </w:p>
    <w:p w14:paraId="644D5139" w14:textId="77777777" w:rsidR="00EE55DB" w:rsidRDefault="00000000">
      <w:pPr>
        <w:ind w:firstLine="640"/>
        <w:rPr>
          <w:rFonts w:ascii="仿宋_GB2312" w:eastAsia="仿宋_GB2312" w:hAnsi="仿宋_GB2312" w:cs="仿宋_GB2312"/>
          <w:szCs w:val="32"/>
        </w:rPr>
      </w:pPr>
      <w:bookmarkStart w:id="0" w:name="_Toc277057856"/>
      <w:r>
        <w:rPr>
          <w:rFonts w:ascii="仿宋_GB2312" w:eastAsia="仿宋_GB2312" w:hAnsi="仿宋_GB2312" w:cs="仿宋_GB2312"/>
          <w:szCs w:val="32"/>
        </w:rPr>
        <w:t>1.</w:t>
      </w:r>
      <w:r>
        <w:rPr>
          <w:rFonts w:ascii="仿宋_GB2312" w:eastAsia="仿宋_GB2312" w:hAnsi="仿宋_GB2312" w:cs="仿宋_GB2312" w:hint="eastAsia"/>
          <w:szCs w:val="32"/>
        </w:rPr>
        <w:t>本《草案》有关统计数据均来自永修县统计年鉴</w:t>
      </w:r>
      <w:bookmarkStart w:id="1" w:name="_Toc277057857"/>
      <w:bookmarkEnd w:id="0"/>
      <w:r>
        <w:rPr>
          <w:rFonts w:ascii="仿宋_GB2312" w:eastAsia="仿宋_GB2312" w:hAnsi="仿宋_GB2312" w:cs="仿宋_GB2312" w:hint="eastAsia"/>
          <w:szCs w:val="32"/>
        </w:rPr>
        <w:t>；</w:t>
      </w:r>
    </w:p>
    <w:p w14:paraId="0531F584"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szCs w:val="32"/>
        </w:rPr>
        <w:t>2.</w:t>
      </w:r>
      <w:r>
        <w:rPr>
          <w:rFonts w:ascii="仿宋_GB2312" w:eastAsia="仿宋_GB2312" w:hAnsi="仿宋_GB2312" w:cs="仿宋_GB2312" w:hint="eastAsia"/>
          <w:szCs w:val="32"/>
        </w:rPr>
        <w:t>本《草案》提出的发展目标，是以永修县统计局历年统计数</w:t>
      </w:r>
      <w:bookmarkStart w:id="2" w:name="_Toc277057858"/>
      <w:bookmarkEnd w:id="1"/>
      <w:r>
        <w:rPr>
          <w:rFonts w:ascii="仿宋_GB2312" w:eastAsia="仿宋_GB2312" w:hAnsi="仿宋_GB2312" w:cs="仿宋_GB2312" w:hint="eastAsia"/>
          <w:szCs w:val="32"/>
        </w:rPr>
        <w:t>据为基数，进行综合测算得出的。需要说明的是，绝大部分指标以</w:t>
      </w:r>
      <w:r>
        <w:rPr>
          <w:rFonts w:ascii="仿宋_GB2312" w:eastAsia="仿宋_GB2312" w:hAnsi="仿宋_GB2312" w:cs="仿宋_GB2312"/>
          <w:szCs w:val="32"/>
        </w:rPr>
        <w:t>2020</w:t>
      </w:r>
      <w:r>
        <w:rPr>
          <w:rFonts w:ascii="仿宋_GB2312" w:eastAsia="仿宋_GB2312" w:hAnsi="仿宋_GB2312" w:cs="仿宋_GB2312" w:hint="eastAsia"/>
          <w:szCs w:val="32"/>
        </w:rPr>
        <w:t>年统计数为基数</w:t>
      </w:r>
      <w:bookmarkEnd w:id="2"/>
      <w:r>
        <w:rPr>
          <w:rFonts w:ascii="仿宋_GB2312" w:eastAsia="仿宋_GB2312" w:hAnsi="仿宋_GB2312" w:cs="仿宋_GB2312" w:hint="eastAsia"/>
          <w:szCs w:val="32"/>
        </w:rPr>
        <w:t>。</w:t>
      </w:r>
    </w:p>
    <w:p w14:paraId="68A47B74" w14:textId="77777777" w:rsidR="00EE55DB" w:rsidRDefault="00000000">
      <w:pPr>
        <w:ind w:firstLine="640"/>
        <w:rPr>
          <w:rFonts w:ascii="仿宋_GB2312" w:eastAsia="仿宋_GB2312" w:hAnsi="仿宋_GB2312" w:cs="仿宋_GB2312"/>
          <w:szCs w:val="32"/>
        </w:rPr>
      </w:pPr>
      <w:bookmarkStart w:id="3" w:name="_Toc277057859"/>
      <w:r>
        <w:rPr>
          <w:rFonts w:ascii="仿宋_GB2312" w:eastAsia="仿宋_GB2312" w:hAnsi="仿宋_GB2312" w:cs="仿宋_GB2312"/>
          <w:szCs w:val="32"/>
        </w:rPr>
        <w:t>3.</w:t>
      </w:r>
      <w:r>
        <w:rPr>
          <w:rFonts w:ascii="仿宋_GB2312" w:eastAsia="仿宋_GB2312" w:hAnsi="仿宋_GB2312" w:cs="仿宋_GB2312" w:hint="eastAsia"/>
          <w:szCs w:val="32"/>
        </w:rPr>
        <w:t>本《草案》提出的主要发展任务建议，是在实地调研、科学分析各部门历年统计资料基础上提出的；</w:t>
      </w:r>
      <w:bookmarkStart w:id="4" w:name="_Toc277057860"/>
      <w:bookmarkEnd w:id="3"/>
    </w:p>
    <w:p w14:paraId="0920FB51"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szCs w:val="32"/>
        </w:rPr>
        <w:t>4.</w:t>
      </w:r>
      <w:r>
        <w:rPr>
          <w:rFonts w:ascii="仿宋_GB2312" w:eastAsia="仿宋_GB2312" w:hAnsi="仿宋_GB2312" w:cs="仿宋_GB2312" w:hint="eastAsia"/>
          <w:szCs w:val="32"/>
        </w:rPr>
        <w:t>随着永修县</w:t>
      </w:r>
      <w:r>
        <w:rPr>
          <w:rFonts w:ascii="仿宋_GB2312" w:eastAsia="仿宋_GB2312" w:hAnsi="仿宋_GB2312" w:cs="仿宋_GB2312"/>
          <w:szCs w:val="32"/>
        </w:rPr>
        <w:t>2020</w:t>
      </w:r>
      <w:r>
        <w:rPr>
          <w:rFonts w:ascii="仿宋_GB2312" w:eastAsia="仿宋_GB2312" w:hAnsi="仿宋_GB2312" w:cs="仿宋_GB2312" w:hint="eastAsia"/>
          <w:szCs w:val="32"/>
        </w:rPr>
        <w:t>年统计数据的正式公布，并结合永修县</w:t>
      </w:r>
      <w:r>
        <w:rPr>
          <w:rFonts w:ascii="仿宋_GB2312" w:eastAsia="仿宋_GB2312" w:hAnsi="仿宋_GB2312" w:cs="仿宋_GB2312"/>
          <w:szCs w:val="32"/>
        </w:rPr>
        <w:t>2021</w:t>
      </w:r>
      <w:r>
        <w:rPr>
          <w:rFonts w:ascii="仿宋_GB2312" w:eastAsia="仿宋_GB2312" w:hAnsi="仿宋_GB2312" w:cs="仿宋_GB2312" w:hint="eastAsia"/>
          <w:szCs w:val="32"/>
        </w:rPr>
        <w:t>年的经济走势，《永修县国民经济和社会发展第十四个五年规划和二〇三五年远景目标纲要（草案）》定稿中的主要指标会略有调整；</w:t>
      </w:r>
    </w:p>
    <w:p w14:paraId="515614A9"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szCs w:val="32"/>
        </w:rPr>
        <w:t>5.</w:t>
      </w:r>
      <w:r>
        <w:rPr>
          <w:rFonts w:ascii="仿宋_GB2312" w:eastAsia="仿宋_GB2312" w:hAnsi="仿宋_GB2312" w:cs="仿宋_GB2312" w:hint="eastAsia"/>
          <w:szCs w:val="32"/>
        </w:rPr>
        <w:t>由于数据、资料有限，加之时间仓促，本《草案》难免存在个别数据、资料失实现象，恳请批评指正。</w:t>
      </w:r>
      <w:bookmarkEnd w:id="4"/>
    </w:p>
    <w:p w14:paraId="6E63871C" w14:textId="77777777" w:rsidR="00EE55DB" w:rsidRDefault="00EE55DB">
      <w:pPr>
        <w:ind w:firstLine="640"/>
      </w:pPr>
    </w:p>
    <w:p w14:paraId="7B4336B4" w14:textId="77777777" w:rsidR="00EE55DB" w:rsidRDefault="00EE55DB">
      <w:pPr>
        <w:ind w:firstLine="640"/>
      </w:pPr>
    </w:p>
    <w:p w14:paraId="5C968935" w14:textId="77777777" w:rsidR="00EE55DB" w:rsidRDefault="00000000">
      <w:pPr>
        <w:ind w:firstLine="643"/>
        <w:rPr>
          <w:rFonts w:ascii="黑体" w:eastAsia="黑体" w:hAnsi="黑体" w:cs="黑体"/>
          <w:b/>
          <w:bCs/>
        </w:rPr>
      </w:pPr>
      <w:r>
        <w:rPr>
          <w:rFonts w:ascii="黑体" w:eastAsia="黑体" w:hAnsi="黑体" w:cs="黑体"/>
          <w:b/>
          <w:bCs/>
        </w:rPr>
        <w:br w:type="page"/>
      </w:r>
    </w:p>
    <w:p w14:paraId="161A8CCD" w14:textId="77777777" w:rsidR="00EE55DB" w:rsidRDefault="00000000">
      <w:pPr>
        <w:spacing w:line="560" w:lineRule="exact"/>
        <w:ind w:firstLine="723"/>
        <w:jc w:val="center"/>
        <w:rPr>
          <w:rFonts w:ascii="黑体" w:eastAsia="黑体" w:hAnsi="黑体" w:cs="黑体"/>
          <w:b/>
          <w:bCs/>
          <w:sz w:val="36"/>
          <w:szCs w:val="36"/>
        </w:rPr>
      </w:pPr>
      <w:r>
        <w:rPr>
          <w:rFonts w:ascii="黑体" w:eastAsia="黑体" w:hAnsi="黑体" w:cs="黑体" w:hint="eastAsia"/>
          <w:b/>
          <w:bCs/>
          <w:sz w:val="36"/>
          <w:szCs w:val="36"/>
        </w:rPr>
        <w:lastRenderedPageBreak/>
        <w:t>目</w:t>
      </w:r>
      <w:r>
        <w:rPr>
          <w:rFonts w:ascii="黑体" w:eastAsia="黑体" w:hAnsi="黑体" w:cs="黑体"/>
          <w:b/>
          <w:bCs/>
          <w:sz w:val="36"/>
          <w:szCs w:val="36"/>
        </w:rPr>
        <w:t xml:space="preserve"> </w:t>
      </w:r>
      <w:r>
        <w:rPr>
          <w:rFonts w:ascii="黑体" w:eastAsia="黑体" w:hAnsi="黑体" w:cs="黑体" w:hint="eastAsia"/>
          <w:b/>
          <w:bCs/>
          <w:sz w:val="36"/>
          <w:szCs w:val="36"/>
        </w:rPr>
        <w:t>录</w:t>
      </w:r>
    </w:p>
    <w:p w14:paraId="13984015" w14:textId="77777777" w:rsidR="00EE55DB" w:rsidRDefault="00EE55DB">
      <w:pPr>
        <w:pStyle w:val="21"/>
        <w:ind w:firstLine="480"/>
      </w:pPr>
    </w:p>
    <w:p w14:paraId="52DF3487" w14:textId="77777777" w:rsidR="00EE55DB" w:rsidRDefault="00000000">
      <w:pPr>
        <w:pStyle w:val="TOC1"/>
        <w:tabs>
          <w:tab w:val="right" w:leader="dot" w:pos="8306"/>
        </w:tabs>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TOC \o "1-3" \h \u </w:instrText>
      </w:r>
      <w:r>
        <w:rPr>
          <w:rFonts w:ascii="仿宋_GB2312" w:eastAsia="仿宋_GB2312" w:hAnsi="仿宋_GB2312" w:cs="仿宋_GB2312"/>
          <w:sz w:val="32"/>
          <w:szCs w:val="32"/>
        </w:rPr>
        <w:fldChar w:fldCharType="separate"/>
      </w:r>
      <w:hyperlink w:anchor="_Toc1107" w:history="1">
        <w:r>
          <w:rPr>
            <w:rFonts w:hint="eastAsia"/>
          </w:rPr>
          <w:t>第一章</w:t>
        </w:r>
        <w:r>
          <w:t xml:space="preserve"> </w:t>
        </w:r>
        <w:r>
          <w:rPr>
            <w:rFonts w:hint="eastAsia"/>
          </w:rPr>
          <w:t>开启全面建设社会主义现代化永修新征程</w:t>
        </w:r>
        <w:r>
          <w:tab/>
        </w:r>
      </w:hyperlink>
    </w:p>
    <w:p w14:paraId="57EF0325" w14:textId="77777777" w:rsidR="00EE55DB" w:rsidRDefault="00000000">
      <w:pPr>
        <w:pStyle w:val="TOC2"/>
        <w:tabs>
          <w:tab w:val="right" w:leader="dot" w:pos="8306"/>
        </w:tabs>
      </w:pPr>
      <w:hyperlink w:anchor="_Toc15874" w:history="1">
        <w:r>
          <w:rPr>
            <w:rFonts w:hint="eastAsia"/>
          </w:rPr>
          <w:t>第一节</w:t>
        </w:r>
        <w:r>
          <w:t xml:space="preserve"> </w:t>
        </w:r>
        <w:r>
          <w:rPr>
            <w:rFonts w:hint="eastAsia"/>
          </w:rPr>
          <w:t>发展基础</w:t>
        </w:r>
        <w:r>
          <w:tab/>
        </w:r>
      </w:hyperlink>
    </w:p>
    <w:p w14:paraId="0758960F" w14:textId="77777777" w:rsidR="00EE55DB" w:rsidRDefault="00000000">
      <w:pPr>
        <w:pStyle w:val="TOC2"/>
        <w:tabs>
          <w:tab w:val="right" w:leader="dot" w:pos="8306"/>
        </w:tabs>
      </w:pPr>
      <w:hyperlink w:anchor="_Toc10879" w:history="1">
        <w:r>
          <w:rPr>
            <w:rFonts w:hint="eastAsia"/>
          </w:rPr>
          <w:t>第二节</w:t>
        </w:r>
        <w:r>
          <w:t xml:space="preserve"> </w:t>
        </w:r>
        <w:r>
          <w:rPr>
            <w:rFonts w:hint="eastAsia"/>
          </w:rPr>
          <w:t>发展环境</w:t>
        </w:r>
        <w:r>
          <w:tab/>
        </w:r>
      </w:hyperlink>
    </w:p>
    <w:p w14:paraId="6C817B56" w14:textId="77777777" w:rsidR="00EE55DB" w:rsidRDefault="00000000">
      <w:pPr>
        <w:pStyle w:val="TOC2"/>
        <w:tabs>
          <w:tab w:val="right" w:leader="dot" w:pos="8306"/>
        </w:tabs>
      </w:pPr>
      <w:hyperlink w:anchor="_Toc10459" w:history="1">
        <w:r>
          <w:rPr>
            <w:rFonts w:hint="eastAsia"/>
          </w:rPr>
          <w:t>第三节</w:t>
        </w:r>
        <w:r>
          <w:t xml:space="preserve"> </w:t>
        </w:r>
        <w:r>
          <w:rPr>
            <w:rFonts w:hint="eastAsia"/>
          </w:rPr>
          <w:t>总体要求</w:t>
        </w:r>
        <w:r>
          <w:tab/>
        </w:r>
      </w:hyperlink>
    </w:p>
    <w:p w14:paraId="3E6593CB" w14:textId="77777777" w:rsidR="00EE55DB" w:rsidRDefault="00000000">
      <w:pPr>
        <w:pStyle w:val="TOC2"/>
        <w:tabs>
          <w:tab w:val="right" w:leader="dot" w:pos="8306"/>
        </w:tabs>
      </w:pPr>
      <w:hyperlink w:anchor="_Toc28923" w:history="1">
        <w:r>
          <w:rPr>
            <w:rFonts w:hint="eastAsia"/>
          </w:rPr>
          <w:t>第四节</w:t>
        </w:r>
        <w:r>
          <w:t xml:space="preserve"> </w:t>
        </w:r>
        <w:r>
          <w:rPr>
            <w:rFonts w:hint="eastAsia"/>
          </w:rPr>
          <w:t>发展目标</w:t>
        </w:r>
        <w:r>
          <w:tab/>
        </w:r>
      </w:hyperlink>
    </w:p>
    <w:p w14:paraId="59E3AED5" w14:textId="77777777" w:rsidR="00EE55DB" w:rsidRDefault="00000000">
      <w:pPr>
        <w:pStyle w:val="TOC1"/>
        <w:tabs>
          <w:tab w:val="right" w:leader="dot" w:pos="8306"/>
        </w:tabs>
      </w:pPr>
      <w:hyperlink w:anchor="_Toc25329" w:history="1">
        <w:r>
          <w:rPr>
            <w:rFonts w:hint="eastAsia"/>
          </w:rPr>
          <w:t>第二章</w:t>
        </w:r>
        <w:r>
          <w:t xml:space="preserve"> </w:t>
        </w:r>
        <w:r>
          <w:rPr>
            <w:rFonts w:hint="eastAsia"/>
          </w:rPr>
          <w:t>深入实施创新驱动战略，培育高质量发展新动能</w:t>
        </w:r>
        <w:r>
          <w:tab/>
        </w:r>
      </w:hyperlink>
    </w:p>
    <w:p w14:paraId="0EB7044A" w14:textId="77777777" w:rsidR="00EE55DB" w:rsidRDefault="00000000">
      <w:pPr>
        <w:pStyle w:val="TOC2"/>
        <w:tabs>
          <w:tab w:val="right" w:leader="dot" w:pos="8306"/>
        </w:tabs>
      </w:pPr>
      <w:hyperlink w:anchor="_Toc12868" w:history="1">
        <w:r>
          <w:rPr>
            <w:rFonts w:hint="eastAsia"/>
          </w:rPr>
          <w:t>第一节</w:t>
        </w:r>
        <w:r>
          <w:t xml:space="preserve"> </w:t>
        </w:r>
        <w:r>
          <w:rPr>
            <w:rFonts w:hint="eastAsia"/>
          </w:rPr>
          <w:t>引进和培育高素质人才</w:t>
        </w:r>
        <w:r>
          <w:tab/>
        </w:r>
      </w:hyperlink>
    </w:p>
    <w:p w14:paraId="1E2C355F" w14:textId="77777777" w:rsidR="00EE55DB" w:rsidRDefault="00000000">
      <w:pPr>
        <w:pStyle w:val="TOC2"/>
        <w:tabs>
          <w:tab w:val="right" w:leader="dot" w:pos="8306"/>
        </w:tabs>
      </w:pPr>
      <w:hyperlink w:anchor="_Toc2072" w:history="1">
        <w:r>
          <w:rPr>
            <w:rFonts w:hint="eastAsia"/>
          </w:rPr>
          <w:t>第二节</w:t>
        </w:r>
        <w:r>
          <w:t xml:space="preserve"> </w:t>
        </w:r>
        <w:r>
          <w:rPr>
            <w:rFonts w:hint="eastAsia"/>
          </w:rPr>
          <w:t>加强自主创新能力建设</w:t>
        </w:r>
        <w:r>
          <w:tab/>
        </w:r>
      </w:hyperlink>
    </w:p>
    <w:p w14:paraId="2108309D" w14:textId="77777777" w:rsidR="00EE55DB" w:rsidRDefault="00000000">
      <w:pPr>
        <w:pStyle w:val="TOC2"/>
        <w:tabs>
          <w:tab w:val="right" w:leader="dot" w:pos="8306"/>
        </w:tabs>
      </w:pPr>
      <w:hyperlink w:anchor="_Toc24804" w:history="1">
        <w:r>
          <w:rPr>
            <w:rFonts w:hint="eastAsia"/>
          </w:rPr>
          <w:t>第三节</w:t>
        </w:r>
        <w:r>
          <w:t xml:space="preserve"> </w:t>
        </w:r>
        <w:r>
          <w:rPr>
            <w:rFonts w:hint="eastAsia"/>
          </w:rPr>
          <w:t>加快搭建科技创新平台</w:t>
        </w:r>
        <w:r>
          <w:tab/>
        </w:r>
      </w:hyperlink>
    </w:p>
    <w:p w14:paraId="523DCC3A" w14:textId="77777777" w:rsidR="00EE55DB" w:rsidRDefault="00000000">
      <w:pPr>
        <w:pStyle w:val="TOC2"/>
        <w:tabs>
          <w:tab w:val="right" w:leader="dot" w:pos="8306"/>
        </w:tabs>
      </w:pPr>
      <w:hyperlink w:anchor="_Toc5786" w:history="1">
        <w:r>
          <w:rPr>
            <w:rFonts w:hint="eastAsia"/>
          </w:rPr>
          <w:t>第四节</w:t>
        </w:r>
        <w:r>
          <w:t xml:space="preserve"> </w:t>
        </w:r>
        <w:r>
          <w:rPr>
            <w:rFonts w:hint="eastAsia"/>
          </w:rPr>
          <w:t>营造良好创新生态环境</w:t>
        </w:r>
        <w:r>
          <w:tab/>
        </w:r>
      </w:hyperlink>
    </w:p>
    <w:p w14:paraId="27D0BB11" w14:textId="77777777" w:rsidR="00EE55DB" w:rsidRDefault="00000000">
      <w:pPr>
        <w:pStyle w:val="TOC1"/>
        <w:tabs>
          <w:tab w:val="right" w:leader="dot" w:pos="8306"/>
        </w:tabs>
      </w:pPr>
      <w:hyperlink w:anchor="_Toc2135" w:history="1">
        <w:r>
          <w:rPr>
            <w:rFonts w:hint="eastAsia"/>
          </w:rPr>
          <w:t>第三章</w:t>
        </w:r>
        <w:r>
          <w:t xml:space="preserve"> </w:t>
        </w:r>
        <w:r>
          <w:rPr>
            <w:rFonts w:hint="eastAsia"/>
          </w:rPr>
          <w:t>构建现代化产业体系，推动县域经济再上新台阶</w:t>
        </w:r>
        <w:r>
          <w:tab/>
        </w:r>
      </w:hyperlink>
    </w:p>
    <w:p w14:paraId="0DA54788" w14:textId="77777777" w:rsidR="00EE55DB" w:rsidRDefault="00000000">
      <w:pPr>
        <w:pStyle w:val="TOC2"/>
        <w:tabs>
          <w:tab w:val="right" w:leader="dot" w:pos="8306"/>
        </w:tabs>
      </w:pPr>
      <w:hyperlink w:anchor="_Toc16628" w:history="1">
        <w:r>
          <w:rPr>
            <w:rFonts w:hint="eastAsia"/>
          </w:rPr>
          <w:t>第一节</w:t>
        </w:r>
        <w:r>
          <w:t xml:space="preserve"> </w:t>
        </w:r>
        <w:r>
          <w:rPr>
            <w:rFonts w:hint="eastAsia"/>
          </w:rPr>
          <w:t>塑造永修制造新优势</w:t>
        </w:r>
        <w:r>
          <w:tab/>
        </w:r>
      </w:hyperlink>
    </w:p>
    <w:p w14:paraId="18B5E368" w14:textId="77777777" w:rsidR="00EE55DB" w:rsidRDefault="00000000">
      <w:pPr>
        <w:pStyle w:val="TOC2"/>
        <w:tabs>
          <w:tab w:val="right" w:leader="dot" w:pos="8306"/>
        </w:tabs>
      </w:pPr>
      <w:hyperlink w:anchor="_Toc23122" w:history="1">
        <w:r>
          <w:rPr>
            <w:rFonts w:hint="eastAsia"/>
          </w:rPr>
          <w:t>第二节</w:t>
        </w:r>
        <w:r>
          <w:t xml:space="preserve"> </w:t>
        </w:r>
        <w:r>
          <w:rPr>
            <w:rFonts w:hint="eastAsia"/>
          </w:rPr>
          <w:t>全面实施数字经济“一号工程”</w:t>
        </w:r>
        <w:r>
          <w:tab/>
        </w:r>
      </w:hyperlink>
    </w:p>
    <w:p w14:paraId="14E1CCB3" w14:textId="77777777" w:rsidR="00EE55DB" w:rsidRDefault="00000000">
      <w:pPr>
        <w:pStyle w:val="TOC2"/>
        <w:tabs>
          <w:tab w:val="right" w:leader="dot" w:pos="8306"/>
        </w:tabs>
      </w:pPr>
      <w:hyperlink w:anchor="_Toc16008" w:history="1">
        <w:r>
          <w:rPr>
            <w:rFonts w:hint="eastAsia"/>
          </w:rPr>
          <w:t>第三节</w:t>
        </w:r>
        <w:r>
          <w:t xml:space="preserve"> </w:t>
        </w:r>
        <w:r>
          <w:rPr>
            <w:rFonts w:hint="eastAsia"/>
          </w:rPr>
          <w:t>擦亮永修全域旅游新名片</w:t>
        </w:r>
        <w:r>
          <w:tab/>
        </w:r>
      </w:hyperlink>
    </w:p>
    <w:p w14:paraId="3576A02E" w14:textId="77777777" w:rsidR="00EE55DB" w:rsidRDefault="00000000">
      <w:pPr>
        <w:pStyle w:val="TOC2"/>
        <w:tabs>
          <w:tab w:val="right" w:leader="dot" w:pos="8306"/>
        </w:tabs>
      </w:pPr>
      <w:hyperlink w:anchor="_Toc21287" w:history="1">
        <w:r>
          <w:rPr>
            <w:rFonts w:hint="eastAsia"/>
          </w:rPr>
          <w:t>第四节</w:t>
        </w:r>
        <w:r>
          <w:t xml:space="preserve"> </w:t>
        </w:r>
        <w:r>
          <w:rPr>
            <w:rFonts w:hint="eastAsia"/>
          </w:rPr>
          <w:t>做大做优现代服务业</w:t>
        </w:r>
        <w:r>
          <w:tab/>
        </w:r>
      </w:hyperlink>
    </w:p>
    <w:p w14:paraId="22EBE48C" w14:textId="77777777" w:rsidR="00EE55DB" w:rsidRDefault="00000000">
      <w:pPr>
        <w:pStyle w:val="TOC2"/>
        <w:tabs>
          <w:tab w:val="right" w:leader="dot" w:pos="8306"/>
        </w:tabs>
      </w:pPr>
      <w:hyperlink w:anchor="_Toc6896" w:history="1">
        <w:r>
          <w:rPr>
            <w:rFonts w:hint="eastAsia"/>
          </w:rPr>
          <w:t>第五节</w:t>
        </w:r>
        <w:r>
          <w:t xml:space="preserve"> </w:t>
        </w:r>
        <w:r>
          <w:rPr>
            <w:rFonts w:hint="eastAsia"/>
          </w:rPr>
          <w:t>打造高水平现代化产业发展平台</w:t>
        </w:r>
        <w:r>
          <w:tab/>
        </w:r>
      </w:hyperlink>
    </w:p>
    <w:p w14:paraId="4EAB8E8C" w14:textId="77777777" w:rsidR="00EE55DB" w:rsidRDefault="00000000">
      <w:pPr>
        <w:pStyle w:val="TOC1"/>
        <w:tabs>
          <w:tab w:val="right" w:leader="dot" w:pos="8306"/>
        </w:tabs>
      </w:pPr>
      <w:hyperlink w:anchor="_Toc5719" w:history="1">
        <w:r>
          <w:rPr>
            <w:rFonts w:hint="eastAsia"/>
            <w:szCs w:val="36"/>
          </w:rPr>
          <w:t>第四章</w:t>
        </w:r>
        <w:r>
          <w:rPr>
            <w:szCs w:val="36"/>
          </w:rPr>
          <w:t xml:space="preserve"> </w:t>
        </w:r>
        <w:r>
          <w:rPr>
            <w:rFonts w:hint="eastAsia"/>
            <w:szCs w:val="36"/>
          </w:rPr>
          <w:t>坚定实施扩大内需战略，主动融入发展新格局</w:t>
        </w:r>
        <w:r>
          <w:tab/>
        </w:r>
      </w:hyperlink>
    </w:p>
    <w:p w14:paraId="268879D6" w14:textId="77777777" w:rsidR="00EE55DB" w:rsidRDefault="00000000">
      <w:pPr>
        <w:pStyle w:val="TOC2"/>
        <w:tabs>
          <w:tab w:val="right" w:leader="dot" w:pos="8306"/>
        </w:tabs>
      </w:pPr>
      <w:hyperlink w:anchor="_Toc16591" w:history="1">
        <w:r>
          <w:rPr>
            <w:rFonts w:ascii="楷体" w:hAnsi="楷体" w:cs="楷体" w:hint="eastAsia"/>
            <w:szCs w:val="32"/>
          </w:rPr>
          <w:t>第一节</w:t>
        </w:r>
        <w:r>
          <w:rPr>
            <w:rFonts w:ascii="楷体" w:hAnsi="楷体" w:cs="楷体"/>
            <w:szCs w:val="32"/>
          </w:rPr>
          <w:t xml:space="preserve"> </w:t>
        </w:r>
        <w:r>
          <w:rPr>
            <w:rFonts w:ascii="楷体" w:hAnsi="楷体" w:cs="楷体" w:hint="eastAsia"/>
            <w:szCs w:val="32"/>
          </w:rPr>
          <w:t>积极对接融入国家战略</w:t>
        </w:r>
        <w:r>
          <w:tab/>
        </w:r>
      </w:hyperlink>
    </w:p>
    <w:p w14:paraId="5CB6CC93" w14:textId="77777777" w:rsidR="00EE55DB" w:rsidRDefault="00000000">
      <w:pPr>
        <w:pStyle w:val="TOC2"/>
        <w:tabs>
          <w:tab w:val="right" w:leader="dot" w:pos="8306"/>
        </w:tabs>
      </w:pPr>
      <w:hyperlink w:anchor="_Toc27787" w:history="1">
        <w:r>
          <w:rPr>
            <w:rFonts w:ascii="楷体" w:hAnsi="楷体" w:cs="楷体" w:hint="eastAsia"/>
          </w:rPr>
          <w:t>第二节</w:t>
        </w:r>
        <w:r>
          <w:rPr>
            <w:rFonts w:ascii="楷体" w:hAnsi="楷体" w:cs="楷体"/>
          </w:rPr>
          <w:t xml:space="preserve"> </w:t>
        </w:r>
        <w:r>
          <w:rPr>
            <w:rFonts w:ascii="楷体" w:hAnsi="楷体" w:cs="楷体" w:hint="eastAsia"/>
          </w:rPr>
          <w:t>全力拓展有效投资空间</w:t>
        </w:r>
        <w:r>
          <w:tab/>
        </w:r>
      </w:hyperlink>
    </w:p>
    <w:p w14:paraId="6BD30854" w14:textId="77777777" w:rsidR="00EE55DB" w:rsidRDefault="00000000">
      <w:pPr>
        <w:pStyle w:val="TOC2"/>
        <w:tabs>
          <w:tab w:val="right" w:leader="dot" w:pos="8306"/>
        </w:tabs>
      </w:pPr>
      <w:hyperlink w:anchor="_Toc9308" w:history="1">
        <w:r>
          <w:rPr>
            <w:rFonts w:ascii="楷体" w:hAnsi="楷体" w:cs="楷体" w:hint="eastAsia"/>
          </w:rPr>
          <w:t>第三节</w:t>
        </w:r>
        <w:r>
          <w:rPr>
            <w:rFonts w:ascii="楷体" w:hAnsi="楷体" w:cs="楷体"/>
          </w:rPr>
          <w:t xml:space="preserve"> </w:t>
        </w:r>
        <w:r>
          <w:rPr>
            <w:rFonts w:ascii="楷体" w:hAnsi="楷体" w:cs="楷体" w:hint="eastAsia"/>
          </w:rPr>
          <w:t>持续释放消费潜力</w:t>
        </w:r>
        <w:r>
          <w:tab/>
        </w:r>
      </w:hyperlink>
    </w:p>
    <w:p w14:paraId="19F3720F" w14:textId="77777777" w:rsidR="00EE55DB" w:rsidRDefault="00000000">
      <w:pPr>
        <w:pStyle w:val="TOC2"/>
        <w:tabs>
          <w:tab w:val="right" w:leader="dot" w:pos="8306"/>
        </w:tabs>
      </w:pPr>
      <w:hyperlink w:anchor="_Toc22159" w:history="1">
        <w:r>
          <w:rPr>
            <w:rFonts w:hint="eastAsia"/>
          </w:rPr>
          <w:t>第四节</w:t>
        </w:r>
        <w:r>
          <w:t xml:space="preserve"> </w:t>
        </w:r>
        <w:r>
          <w:rPr>
            <w:rFonts w:hint="eastAsia"/>
          </w:rPr>
          <w:t>全面融入国内国际双循环体系</w:t>
        </w:r>
        <w:r>
          <w:tab/>
        </w:r>
      </w:hyperlink>
    </w:p>
    <w:p w14:paraId="2B6B6086" w14:textId="77777777" w:rsidR="00EE55DB" w:rsidRDefault="00000000">
      <w:pPr>
        <w:pStyle w:val="TOC1"/>
        <w:tabs>
          <w:tab w:val="right" w:leader="dot" w:pos="8306"/>
        </w:tabs>
      </w:pPr>
      <w:hyperlink w:anchor="_Toc21232" w:history="1">
        <w:r>
          <w:rPr>
            <w:rFonts w:hint="eastAsia"/>
            <w:szCs w:val="36"/>
          </w:rPr>
          <w:t>第五章</w:t>
        </w:r>
        <w:r>
          <w:rPr>
            <w:szCs w:val="36"/>
          </w:rPr>
          <w:t xml:space="preserve"> </w:t>
        </w:r>
        <w:r>
          <w:rPr>
            <w:rFonts w:hint="eastAsia"/>
            <w:szCs w:val="36"/>
          </w:rPr>
          <w:t>推进改革开放走深走实，全力打造营商环境新高地</w:t>
        </w:r>
        <w:r>
          <w:tab/>
        </w:r>
      </w:hyperlink>
    </w:p>
    <w:p w14:paraId="5162BB90" w14:textId="77777777" w:rsidR="00EE55DB" w:rsidRDefault="00000000">
      <w:pPr>
        <w:pStyle w:val="TOC2"/>
        <w:tabs>
          <w:tab w:val="right" w:leader="dot" w:pos="8306"/>
        </w:tabs>
      </w:pPr>
      <w:hyperlink w:anchor="_Toc1294" w:history="1">
        <w:r>
          <w:rPr>
            <w:rFonts w:ascii="楷体" w:hAnsi="楷体" w:cs="楷体" w:hint="eastAsia"/>
          </w:rPr>
          <w:t>第一节</w:t>
        </w:r>
        <w:r>
          <w:rPr>
            <w:rFonts w:ascii="楷体" w:hAnsi="楷体" w:cs="楷体"/>
          </w:rPr>
          <w:t xml:space="preserve"> </w:t>
        </w:r>
        <w:r>
          <w:rPr>
            <w:rFonts w:ascii="楷体" w:hAnsi="楷体" w:cs="楷体" w:hint="eastAsia"/>
          </w:rPr>
          <w:t>激发各类市场主体活力</w:t>
        </w:r>
        <w:r>
          <w:tab/>
        </w:r>
      </w:hyperlink>
    </w:p>
    <w:p w14:paraId="53C256B5" w14:textId="77777777" w:rsidR="00EE55DB" w:rsidRDefault="00000000">
      <w:pPr>
        <w:pStyle w:val="TOC2"/>
        <w:tabs>
          <w:tab w:val="right" w:leader="dot" w:pos="8306"/>
        </w:tabs>
      </w:pPr>
      <w:hyperlink w:anchor="_Toc6242" w:history="1">
        <w:r>
          <w:rPr>
            <w:rFonts w:ascii="楷体" w:hAnsi="楷体" w:cs="楷体" w:hint="eastAsia"/>
          </w:rPr>
          <w:t>第二节</w:t>
        </w:r>
        <w:r>
          <w:rPr>
            <w:rFonts w:ascii="楷体" w:hAnsi="楷体" w:cs="楷体"/>
          </w:rPr>
          <w:t xml:space="preserve"> </w:t>
        </w:r>
        <w:r>
          <w:rPr>
            <w:rFonts w:ascii="楷体" w:hAnsi="楷体" w:cs="楷体" w:hint="eastAsia"/>
          </w:rPr>
          <w:t>推动要素市场化改革</w:t>
        </w:r>
        <w:r>
          <w:tab/>
        </w:r>
      </w:hyperlink>
    </w:p>
    <w:p w14:paraId="61853DF6" w14:textId="77777777" w:rsidR="00EE55DB" w:rsidRDefault="00000000">
      <w:pPr>
        <w:pStyle w:val="TOC2"/>
        <w:tabs>
          <w:tab w:val="right" w:leader="dot" w:pos="8306"/>
        </w:tabs>
      </w:pPr>
      <w:hyperlink w:anchor="_Toc17166" w:history="1">
        <w:r>
          <w:rPr>
            <w:rFonts w:ascii="楷体" w:hAnsi="楷体" w:cs="楷体" w:hint="eastAsia"/>
          </w:rPr>
          <w:t>第三节</w:t>
        </w:r>
        <w:r>
          <w:rPr>
            <w:rFonts w:ascii="楷体" w:hAnsi="楷体" w:cs="楷体"/>
          </w:rPr>
          <w:t xml:space="preserve"> </w:t>
        </w:r>
        <w:r>
          <w:rPr>
            <w:rFonts w:ascii="楷体" w:hAnsi="楷体" w:cs="楷体" w:hint="eastAsia"/>
          </w:rPr>
          <w:t>进一步优化营商环境</w:t>
        </w:r>
        <w:r>
          <w:tab/>
        </w:r>
      </w:hyperlink>
    </w:p>
    <w:p w14:paraId="4FA6E8E6" w14:textId="77777777" w:rsidR="00EE55DB" w:rsidRDefault="00000000">
      <w:pPr>
        <w:pStyle w:val="TOC2"/>
        <w:tabs>
          <w:tab w:val="right" w:leader="dot" w:pos="8306"/>
        </w:tabs>
      </w:pPr>
      <w:hyperlink w:anchor="_Toc12285" w:history="1">
        <w:r>
          <w:rPr>
            <w:rFonts w:ascii="楷体" w:hAnsi="楷体" w:cs="楷体" w:hint="eastAsia"/>
          </w:rPr>
          <w:t>第四节</w:t>
        </w:r>
        <w:r>
          <w:rPr>
            <w:rFonts w:ascii="楷体" w:hAnsi="楷体" w:cs="楷体"/>
          </w:rPr>
          <w:t xml:space="preserve"> </w:t>
        </w:r>
        <w:r>
          <w:rPr>
            <w:rFonts w:ascii="楷体" w:hAnsi="楷体" w:cs="楷体" w:hint="eastAsia"/>
          </w:rPr>
          <w:t>坚持“引进来”和“走出去”</w:t>
        </w:r>
        <w:r>
          <w:tab/>
        </w:r>
      </w:hyperlink>
    </w:p>
    <w:p w14:paraId="514193EC" w14:textId="77777777" w:rsidR="00EE55DB" w:rsidRDefault="00000000">
      <w:pPr>
        <w:pStyle w:val="TOC1"/>
        <w:tabs>
          <w:tab w:val="right" w:leader="dot" w:pos="8306"/>
        </w:tabs>
      </w:pPr>
      <w:hyperlink w:anchor="_Toc4489" w:history="1">
        <w:r>
          <w:rPr>
            <w:rFonts w:hint="eastAsia"/>
            <w:szCs w:val="36"/>
          </w:rPr>
          <w:t>第六章</w:t>
        </w:r>
        <w:r>
          <w:rPr>
            <w:szCs w:val="36"/>
          </w:rPr>
          <w:t xml:space="preserve"> </w:t>
        </w:r>
        <w:r>
          <w:rPr>
            <w:rFonts w:hint="eastAsia"/>
            <w:szCs w:val="36"/>
          </w:rPr>
          <w:t>深入实施城乡一体化，探索城乡融合发展新路径</w:t>
        </w:r>
        <w:r>
          <w:tab/>
        </w:r>
      </w:hyperlink>
    </w:p>
    <w:p w14:paraId="5BD4B2CD" w14:textId="77777777" w:rsidR="00EE55DB" w:rsidRDefault="00000000">
      <w:pPr>
        <w:pStyle w:val="TOC2"/>
        <w:tabs>
          <w:tab w:val="right" w:leader="dot" w:pos="8306"/>
        </w:tabs>
      </w:pPr>
      <w:hyperlink w:anchor="_Toc26183" w:history="1">
        <w:r>
          <w:rPr>
            <w:rFonts w:ascii="楷体" w:hAnsi="楷体" w:cs="楷体" w:hint="eastAsia"/>
          </w:rPr>
          <w:t>第一节</w:t>
        </w:r>
        <w:r>
          <w:rPr>
            <w:rFonts w:ascii="楷体" w:hAnsi="楷体" w:cs="楷体"/>
          </w:rPr>
          <w:t xml:space="preserve"> </w:t>
        </w:r>
        <w:r>
          <w:rPr>
            <w:rFonts w:ascii="楷体" w:hAnsi="楷体" w:cs="楷体" w:hint="eastAsia"/>
          </w:rPr>
          <w:t>推进新型城镇化建设</w:t>
        </w:r>
        <w:r>
          <w:tab/>
        </w:r>
      </w:hyperlink>
    </w:p>
    <w:p w14:paraId="09DC5C29" w14:textId="77777777" w:rsidR="00EE55DB" w:rsidRDefault="00000000">
      <w:pPr>
        <w:pStyle w:val="TOC2"/>
        <w:tabs>
          <w:tab w:val="right" w:leader="dot" w:pos="8306"/>
        </w:tabs>
      </w:pPr>
      <w:hyperlink w:anchor="_Toc25751" w:history="1">
        <w:r>
          <w:rPr>
            <w:rFonts w:ascii="楷体" w:hAnsi="楷体" w:cs="楷体" w:hint="eastAsia"/>
          </w:rPr>
          <w:t>第二节</w:t>
        </w:r>
        <w:r>
          <w:rPr>
            <w:rFonts w:ascii="楷体" w:hAnsi="楷体" w:cs="楷体"/>
          </w:rPr>
          <w:t xml:space="preserve"> </w:t>
        </w:r>
        <w:r>
          <w:rPr>
            <w:rFonts w:ascii="楷体" w:hAnsi="楷体" w:cs="楷体" w:hint="eastAsia"/>
          </w:rPr>
          <w:t>促进城乡基础设施一体化</w:t>
        </w:r>
        <w:r>
          <w:tab/>
        </w:r>
      </w:hyperlink>
    </w:p>
    <w:p w14:paraId="65C843C5" w14:textId="77777777" w:rsidR="00EE55DB" w:rsidRDefault="00000000">
      <w:pPr>
        <w:pStyle w:val="TOC2"/>
        <w:tabs>
          <w:tab w:val="right" w:leader="dot" w:pos="8306"/>
        </w:tabs>
      </w:pPr>
      <w:hyperlink w:anchor="_Toc31230" w:history="1">
        <w:r>
          <w:rPr>
            <w:rFonts w:hint="eastAsia"/>
          </w:rPr>
          <w:t>第三节</w:t>
        </w:r>
        <w:r>
          <w:t xml:space="preserve"> </w:t>
        </w:r>
        <w:r>
          <w:rPr>
            <w:rFonts w:hint="eastAsia"/>
          </w:rPr>
          <w:t>畅通城乡双向融合发展</w:t>
        </w:r>
        <w:r>
          <w:tab/>
        </w:r>
      </w:hyperlink>
    </w:p>
    <w:p w14:paraId="4EDCC338" w14:textId="77777777" w:rsidR="00EE55DB" w:rsidRDefault="00000000">
      <w:pPr>
        <w:pStyle w:val="TOC2"/>
        <w:tabs>
          <w:tab w:val="right" w:leader="dot" w:pos="8306"/>
        </w:tabs>
      </w:pPr>
      <w:hyperlink w:anchor="_Toc14072" w:history="1">
        <w:r>
          <w:rPr>
            <w:rFonts w:ascii="楷体" w:hAnsi="楷体" w:cs="楷体" w:hint="eastAsia"/>
          </w:rPr>
          <w:t>第四节</w:t>
        </w:r>
        <w:r>
          <w:rPr>
            <w:rFonts w:ascii="楷体" w:hAnsi="楷体" w:cs="楷体"/>
          </w:rPr>
          <w:t xml:space="preserve"> </w:t>
        </w:r>
        <w:r>
          <w:rPr>
            <w:rFonts w:ascii="楷体" w:hAnsi="楷体" w:cs="楷体" w:hint="eastAsia"/>
          </w:rPr>
          <w:t>健全城乡融合发展体制机制</w:t>
        </w:r>
        <w:r>
          <w:tab/>
        </w:r>
      </w:hyperlink>
    </w:p>
    <w:p w14:paraId="063A0F58" w14:textId="77777777" w:rsidR="00EE55DB" w:rsidRDefault="00000000">
      <w:pPr>
        <w:pStyle w:val="TOC1"/>
        <w:tabs>
          <w:tab w:val="right" w:leader="dot" w:pos="8306"/>
        </w:tabs>
      </w:pPr>
      <w:hyperlink w:anchor="_Toc15854" w:history="1">
        <w:r>
          <w:rPr>
            <w:rFonts w:hint="eastAsia"/>
          </w:rPr>
          <w:t>第七章</w:t>
        </w:r>
        <w:r>
          <w:t xml:space="preserve"> </w:t>
        </w:r>
        <w:r>
          <w:rPr>
            <w:rFonts w:hint="eastAsia"/>
          </w:rPr>
          <w:t>全面实施乡村振兴战略，奋力描绘“五美”乡村新图景</w:t>
        </w:r>
        <w:r>
          <w:tab/>
        </w:r>
      </w:hyperlink>
    </w:p>
    <w:p w14:paraId="7C6B47D5" w14:textId="77777777" w:rsidR="00EE55DB" w:rsidRDefault="00000000">
      <w:pPr>
        <w:pStyle w:val="TOC2"/>
        <w:tabs>
          <w:tab w:val="right" w:leader="dot" w:pos="8306"/>
        </w:tabs>
      </w:pPr>
      <w:hyperlink w:anchor="_Toc3854" w:history="1">
        <w:r>
          <w:rPr>
            <w:rFonts w:hint="eastAsia"/>
          </w:rPr>
          <w:t>第一节</w:t>
        </w:r>
        <w:r>
          <w:t xml:space="preserve"> </w:t>
        </w:r>
        <w:r>
          <w:rPr>
            <w:rFonts w:hint="eastAsia"/>
          </w:rPr>
          <w:t>大力发展现代农业</w:t>
        </w:r>
        <w:r>
          <w:tab/>
        </w:r>
      </w:hyperlink>
    </w:p>
    <w:p w14:paraId="3AAF9E4E" w14:textId="77777777" w:rsidR="00EE55DB" w:rsidRDefault="00000000">
      <w:pPr>
        <w:pStyle w:val="TOC2"/>
        <w:tabs>
          <w:tab w:val="right" w:leader="dot" w:pos="8306"/>
        </w:tabs>
      </w:pPr>
      <w:hyperlink w:anchor="_Toc19090" w:history="1">
        <w:r>
          <w:rPr>
            <w:rFonts w:hint="eastAsia"/>
          </w:rPr>
          <w:t>第二节</w:t>
        </w:r>
        <w:r>
          <w:t xml:space="preserve"> </w:t>
        </w:r>
        <w:r>
          <w:rPr>
            <w:rFonts w:hint="eastAsia"/>
          </w:rPr>
          <w:t>积极改善农村人居环境</w:t>
        </w:r>
        <w:r>
          <w:tab/>
        </w:r>
      </w:hyperlink>
    </w:p>
    <w:p w14:paraId="7E58EDC6" w14:textId="77777777" w:rsidR="00EE55DB" w:rsidRDefault="00000000">
      <w:pPr>
        <w:pStyle w:val="TOC2"/>
        <w:tabs>
          <w:tab w:val="right" w:leader="dot" w:pos="8306"/>
        </w:tabs>
      </w:pPr>
      <w:hyperlink w:anchor="_Toc10374" w:history="1">
        <w:r>
          <w:rPr>
            <w:rFonts w:hint="eastAsia"/>
          </w:rPr>
          <w:t>第三节</w:t>
        </w:r>
        <w:r>
          <w:t xml:space="preserve"> </w:t>
        </w:r>
        <w:r>
          <w:rPr>
            <w:rFonts w:hint="eastAsia"/>
          </w:rPr>
          <w:t>着力培育时代新风</w:t>
        </w:r>
        <w:r>
          <w:tab/>
        </w:r>
      </w:hyperlink>
    </w:p>
    <w:p w14:paraId="34A6C429" w14:textId="77777777" w:rsidR="00EE55DB" w:rsidRDefault="00000000">
      <w:pPr>
        <w:pStyle w:val="TOC2"/>
        <w:tabs>
          <w:tab w:val="right" w:leader="dot" w:pos="8306"/>
        </w:tabs>
      </w:pPr>
      <w:hyperlink w:anchor="_Toc17822" w:history="1">
        <w:r>
          <w:rPr>
            <w:rFonts w:hint="eastAsia"/>
          </w:rPr>
          <w:t>第四节</w:t>
        </w:r>
        <w:r>
          <w:t xml:space="preserve"> </w:t>
        </w:r>
        <w:r>
          <w:rPr>
            <w:rFonts w:hint="eastAsia"/>
          </w:rPr>
          <w:t>深化农业农村改革</w:t>
        </w:r>
        <w:r>
          <w:tab/>
        </w:r>
      </w:hyperlink>
    </w:p>
    <w:p w14:paraId="7CC01CDA" w14:textId="77777777" w:rsidR="00EE55DB" w:rsidRDefault="00000000">
      <w:pPr>
        <w:pStyle w:val="TOC2"/>
        <w:tabs>
          <w:tab w:val="right" w:leader="dot" w:pos="8306"/>
        </w:tabs>
      </w:pPr>
      <w:hyperlink w:anchor="_Toc20528" w:history="1">
        <w:r>
          <w:rPr>
            <w:rFonts w:hint="eastAsia"/>
          </w:rPr>
          <w:t>第五节</w:t>
        </w:r>
        <w:r>
          <w:t xml:space="preserve"> </w:t>
        </w:r>
        <w:r>
          <w:rPr>
            <w:rFonts w:hint="eastAsia"/>
          </w:rPr>
          <w:t>扎实推进共同富裕</w:t>
        </w:r>
        <w:r>
          <w:tab/>
        </w:r>
      </w:hyperlink>
    </w:p>
    <w:p w14:paraId="711FCDBB" w14:textId="77777777" w:rsidR="00EE55DB" w:rsidRDefault="00000000">
      <w:pPr>
        <w:pStyle w:val="TOC1"/>
        <w:tabs>
          <w:tab w:val="right" w:leader="dot" w:pos="8306"/>
        </w:tabs>
      </w:pPr>
      <w:hyperlink w:anchor="_Toc14042" w:history="1">
        <w:r>
          <w:rPr>
            <w:rFonts w:hint="eastAsia"/>
          </w:rPr>
          <w:t>第八章</w:t>
        </w:r>
        <w:r>
          <w:t xml:space="preserve"> </w:t>
        </w:r>
        <w:r>
          <w:rPr>
            <w:rFonts w:hint="eastAsia"/>
          </w:rPr>
          <w:t>加快推进基础设施建设，全力塑造县域发展新优势</w:t>
        </w:r>
        <w:r>
          <w:tab/>
        </w:r>
      </w:hyperlink>
    </w:p>
    <w:p w14:paraId="6C24668F" w14:textId="77777777" w:rsidR="00EE55DB" w:rsidRDefault="00000000">
      <w:pPr>
        <w:pStyle w:val="TOC2"/>
        <w:tabs>
          <w:tab w:val="right" w:leader="dot" w:pos="8306"/>
        </w:tabs>
      </w:pPr>
      <w:hyperlink w:anchor="_Toc11242" w:history="1">
        <w:r>
          <w:rPr>
            <w:rFonts w:hint="eastAsia"/>
          </w:rPr>
          <w:t>第一节</w:t>
        </w:r>
        <w:r>
          <w:t xml:space="preserve"> </w:t>
        </w:r>
        <w:r>
          <w:rPr>
            <w:rFonts w:hint="eastAsia"/>
          </w:rPr>
          <w:t>不断完善现代交通网络</w:t>
        </w:r>
        <w:r>
          <w:tab/>
        </w:r>
      </w:hyperlink>
    </w:p>
    <w:p w14:paraId="4B7F5DE1" w14:textId="77777777" w:rsidR="00EE55DB" w:rsidRDefault="00000000">
      <w:pPr>
        <w:pStyle w:val="TOC2"/>
        <w:tabs>
          <w:tab w:val="right" w:leader="dot" w:pos="8306"/>
        </w:tabs>
      </w:pPr>
      <w:hyperlink w:anchor="_Toc23812" w:history="1">
        <w:r>
          <w:rPr>
            <w:rFonts w:hint="eastAsia"/>
          </w:rPr>
          <w:t>第二节</w:t>
        </w:r>
        <w:r>
          <w:t xml:space="preserve"> </w:t>
        </w:r>
        <w:r>
          <w:rPr>
            <w:rFonts w:hint="eastAsia"/>
          </w:rPr>
          <w:t>加快构建现代能源体系</w:t>
        </w:r>
        <w:r>
          <w:tab/>
        </w:r>
      </w:hyperlink>
    </w:p>
    <w:p w14:paraId="70416A29" w14:textId="77777777" w:rsidR="00EE55DB" w:rsidRDefault="00000000">
      <w:pPr>
        <w:pStyle w:val="TOC2"/>
        <w:tabs>
          <w:tab w:val="right" w:leader="dot" w:pos="8306"/>
        </w:tabs>
      </w:pPr>
      <w:hyperlink w:anchor="_Toc13954" w:history="1">
        <w:r>
          <w:rPr>
            <w:rFonts w:hint="eastAsia"/>
          </w:rPr>
          <w:t>第三节</w:t>
        </w:r>
        <w:r>
          <w:t xml:space="preserve"> </w:t>
        </w:r>
        <w:r>
          <w:rPr>
            <w:rFonts w:hint="eastAsia"/>
          </w:rPr>
          <w:t>完善民生水利安全与保障体系</w:t>
        </w:r>
        <w:r>
          <w:tab/>
        </w:r>
      </w:hyperlink>
    </w:p>
    <w:p w14:paraId="1892968A" w14:textId="77777777" w:rsidR="00EE55DB" w:rsidRDefault="00000000">
      <w:pPr>
        <w:pStyle w:val="TOC2"/>
        <w:tabs>
          <w:tab w:val="right" w:leader="dot" w:pos="8306"/>
        </w:tabs>
      </w:pPr>
      <w:hyperlink w:anchor="_Toc14326" w:history="1">
        <w:r>
          <w:rPr>
            <w:rFonts w:hint="eastAsia"/>
          </w:rPr>
          <w:t>第四节</w:t>
        </w:r>
        <w:r>
          <w:t xml:space="preserve"> </w:t>
        </w:r>
        <w:r>
          <w:rPr>
            <w:rFonts w:hint="eastAsia"/>
          </w:rPr>
          <w:t>加强新型基础设施建设</w:t>
        </w:r>
        <w:r>
          <w:tab/>
        </w:r>
      </w:hyperlink>
    </w:p>
    <w:p w14:paraId="4AA5F87C" w14:textId="77777777" w:rsidR="00EE55DB" w:rsidRDefault="00000000">
      <w:pPr>
        <w:pStyle w:val="TOC1"/>
        <w:tabs>
          <w:tab w:val="right" w:leader="dot" w:pos="8306"/>
        </w:tabs>
      </w:pPr>
      <w:hyperlink w:anchor="_Toc4476" w:history="1">
        <w:r>
          <w:rPr>
            <w:rFonts w:hint="eastAsia"/>
          </w:rPr>
          <w:t>第九章</w:t>
        </w:r>
        <w:r>
          <w:t xml:space="preserve"> </w:t>
        </w:r>
        <w:r>
          <w:rPr>
            <w:rFonts w:hint="eastAsia"/>
          </w:rPr>
          <w:t>坚持绿色低碳发展，谱写生态文明发展新篇章</w:t>
        </w:r>
        <w:r>
          <w:tab/>
        </w:r>
      </w:hyperlink>
    </w:p>
    <w:p w14:paraId="5C3A8A68" w14:textId="77777777" w:rsidR="00EE55DB" w:rsidRDefault="00000000">
      <w:pPr>
        <w:pStyle w:val="TOC2"/>
        <w:tabs>
          <w:tab w:val="right" w:leader="dot" w:pos="8306"/>
        </w:tabs>
      </w:pPr>
      <w:hyperlink w:anchor="_Toc1159" w:history="1">
        <w:r>
          <w:rPr>
            <w:rFonts w:hint="eastAsia"/>
          </w:rPr>
          <w:t>第一节</w:t>
        </w:r>
        <w:r>
          <w:t xml:space="preserve"> </w:t>
        </w:r>
        <w:r>
          <w:rPr>
            <w:rFonts w:hint="eastAsia"/>
          </w:rPr>
          <w:t>改善生态环境质量</w:t>
        </w:r>
        <w:r>
          <w:tab/>
        </w:r>
      </w:hyperlink>
    </w:p>
    <w:p w14:paraId="4CDC9E0F" w14:textId="77777777" w:rsidR="00EE55DB" w:rsidRDefault="00000000">
      <w:pPr>
        <w:pStyle w:val="TOC2"/>
        <w:tabs>
          <w:tab w:val="right" w:leader="dot" w:pos="8306"/>
        </w:tabs>
      </w:pPr>
      <w:hyperlink w:anchor="_Toc16001" w:history="1">
        <w:r>
          <w:rPr>
            <w:rFonts w:hint="eastAsia"/>
          </w:rPr>
          <w:t>第二节</w:t>
        </w:r>
        <w:r>
          <w:t xml:space="preserve"> </w:t>
        </w:r>
        <w:r>
          <w:rPr>
            <w:rFonts w:hint="eastAsia"/>
          </w:rPr>
          <w:t>深入推进环境整治</w:t>
        </w:r>
        <w:r>
          <w:tab/>
        </w:r>
      </w:hyperlink>
    </w:p>
    <w:p w14:paraId="46A87CF7" w14:textId="77777777" w:rsidR="00EE55DB" w:rsidRDefault="00000000">
      <w:pPr>
        <w:pStyle w:val="TOC2"/>
        <w:tabs>
          <w:tab w:val="right" w:leader="dot" w:pos="8306"/>
        </w:tabs>
      </w:pPr>
      <w:hyperlink w:anchor="_Toc24941" w:history="1">
        <w:r>
          <w:rPr>
            <w:rFonts w:hint="eastAsia"/>
          </w:rPr>
          <w:t>第三节</w:t>
        </w:r>
        <w:r>
          <w:t xml:space="preserve"> </w:t>
        </w:r>
        <w:r>
          <w:rPr>
            <w:rFonts w:hint="eastAsia"/>
          </w:rPr>
          <w:t>加快推动绿色低碳发展</w:t>
        </w:r>
        <w:r>
          <w:tab/>
        </w:r>
      </w:hyperlink>
    </w:p>
    <w:p w14:paraId="48CEEF90" w14:textId="77777777" w:rsidR="00EE55DB" w:rsidRDefault="00000000">
      <w:pPr>
        <w:pStyle w:val="TOC2"/>
        <w:tabs>
          <w:tab w:val="right" w:leader="dot" w:pos="8306"/>
        </w:tabs>
      </w:pPr>
      <w:hyperlink w:anchor="_Toc10124" w:history="1">
        <w:r>
          <w:rPr>
            <w:rFonts w:hint="eastAsia"/>
          </w:rPr>
          <w:t>第四节</w:t>
        </w:r>
        <w:r>
          <w:t xml:space="preserve"> </w:t>
        </w:r>
        <w:r>
          <w:rPr>
            <w:rFonts w:hint="eastAsia"/>
          </w:rPr>
          <w:t>完善生态文明制度</w:t>
        </w:r>
        <w:r>
          <w:tab/>
        </w:r>
      </w:hyperlink>
    </w:p>
    <w:p w14:paraId="45C94D5D" w14:textId="77777777" w:rsidR="00EE55DB" w:rsidRDefault="00000000">
      <w:pPr>
        <w:pStyle w:val="TOC1"/>
        <w:tabs>
          <w:tab w:val="right" w:leader="dot" w:pos="8306"/>
        </w:tabs>
      </w:pPr>
      <w:hyperlink w:anchor="_Toc28180" w:history="1">
        <w:r>
          <w:rPr>
            <w:rFonts w:hint="eastAsia"/>
          </w:rPr>
          <w:t>第十章</w:t>
        </w:r>
        <w:r>
          <w:t xml:space="preserve"> </w:t>
        </w:r>
        <w:r>
          <w:rPr>
            <w:rFonts w:hint="eastAsia"/>
          </w:rPr>
          <w:t>厚植县域文化内涵，着力打造以文兴城新样板</w:t>
        </w:r>
        <w:r>
          <w:tab/>
        </w:r>
      </w:hyperlink>
    </w:p>
    <w:p w14:paraId="56A9D1C2" w14:textId="77777777" w:rsidR="00EE55DB" w:rsidRDefault="00000000">
      <w:pPr>
        <w:pStyle w:val="TOC2"/>
        <w:tabs>
          <w:tab w:val="right" w:leader="dot" w:pos="8306"/>
        </w:tabs>
      </w:pPr>
      <w:hyperlink w:anchor="_Toc2582" w:history="1">
        <w:r>
          <w:rPr>
            <w:rFonts w:hint="eastAsia"/>
          </w:rPr>
          <w:t>第一节</w:t>
        </w:r>
        <w:r>
          <w:t xml:space="preserve"> </w:t>
        </w:r>
        <w:r>
          <w:rPr>
            <w:rFonts w:hint="eastAsia"/>
          </w:rPr>
          <w:t>全面提高社会文明程度</w:t>
        </w:r>
        <w:r>
          <w:tab/>
        </w:r>
      </w:hyperlink>
    </w:p>
    <w:p w14:paraId="4BE0EBAC" w14:textId="77777777" w:rsidR="00EE55DB" w:rsidRDefault="00000000">
      <w:pPr>
        <w:pStyle w:val="TOC2"/>
        <w:tabs>
          <w:tab w:val="right" w:leader="dot" w:pos="8306"/>
        </w:tabs>
      </w:pPr>
      <w:hyperlink w:anchor="_Toc23985" w:history="1">
        <w:r>
          <w:rPr>
            <w:rFonts w:hint="eastAsia"/>
          </w:rPr>
          <w:t>第二节</w:t>
        </w:r>
        <w:r>
          <w:t xml:space="preserve"> </w:t>
        </w:r>
        <w:r>
          <w:rPr>
            <w:rFonts w:hint="eastAsia"/>
          </w:rPr>
          <w:t>推进优秀传统文化传承</w:t>
        </w:r>
        <w:r>
          <w:tab/>
        </w:r>
      </w:hyperlink>
    </w:p>
    <w:p w14:paraId="0EBE0A6B" w14:textId="77777777" w:rsidR="00EE55DB" w:rsidRDefault="00000000">
      <w:pPr>
        <w:pStyle w:val="TOC2"/>
        <w:tabs>
          <w:tab w:val="right" w:leader="dot" w:pos="8306"/>
        </w:tabs>
      </w:pPr>
      <w:hyperlink w:anchor="_Toc28331" w:history="1">
        <w:r>
          <w:rPr>
            <w:rFonts w:hint="eastAsia"/>
          </w:rPr>
          <w:t>第三节</w:t>
        </w:r>
        <w:r>
          <w:t xml:space="preserve"> </w:t>
        </w:r>
        <w:r>
          <w:rPr>
            <w:rFonts w:hint="eastAsia"/>
          </w:rPr>
          <w:t>促进文化事业繁荣发展</w:t>
        </w:r>
        <w:r>
          <w:tab/>
        </w:r>
      </w:hyperlink>
    </w:p>
    <w:p w14:paraId="2BA251AF" w14:textId="77777777" w:rsidR="00EE55DB" w:rsidRDefault="00000000">
      <w:pPr>
        <w:pStyle w:val="TOC2"/>
        <w:tabs>
          <w:tab w:val="right" w:leader="dot" w:pos="8306"/>
        </w:tabs>
      </w:pPr>
      <w:hyperlink w:anchor="_Toc20550" w:history="1">
        <w:r>
          <w:rPr>
            <w:rFonts w:hint="eastAsia"/>
          </w:rPr>
          <w:t>第四节</w:t>
        </w:r>
        <w:r>
          <w:t xml:space="preserve"> </w:t>
        </w:r>
        <w:r>
          <w:rPr>
            <w:rFonts w:hint="eastAsia"/>
          </w:rPr>
          <w:t>加强</w:t>
        </w:r>
        <w:r>
          <w:rPr>
            <w:rFonts w:ascii="微软雅黑" w:hAnsi="微软雅黑" w:cs="微软雅黑" w:hint="eastAsia"/>
          </w:rPr>
          <w:t>现代化文化产业体系建设</w:t>
        </w:r>
        <w:r>
          <w:tab/>
        </w:r>
      </w:hyperlink>
    </w:p>
    <w:p w14:paraId="0D2483DD" w14:textId="77777777" w:rsidR="00EE55DB" w:rsidRDefault="00000000">
      <w:pPr>
        <w:pStyle w:val="TOC1"/>
        <w:tabs>
          <w:tab w:val="right" w:leader="dot" w:pos="8306"/>
        </w:tabs>
      </w:pPr>
      <w:hyperlink w:anchor="_Toc1550" w:history="1">
        <w:r>
          <w:rPr>
            <w:rFonts w:hint="eastAsia"/>
          </w:rPr>
          <w:t>第十一章</w:t>
        </w:r>
        <w:r>
          <w:t xml:space="preserve"> </w:t>
        </w:r>
        <w:r>
          <w:rPr>
            <w:rFonts w:hint="eastAsia"/>
          </w:rPr>
          <w:t>促稳提质民生保障，倾力开创幸福永修新境界</w:t>
        </w:r>
        <w:r>
          <w:tab/>
        </w:r>
      </w:hyperlink>
    </w:p>
    <w:p w14:paraId="4CE36E3B" w14:textId="77777777" w:rsidR="00EE55DB" w:rsidRDefault="00000000">
      <w:pPr>
        <w:pStyle w:val="TOC2"/>
        <w:tabs>
          <w:tab w:val="right" w:leader="dot" w:pos="8306"/>
        </w:tabs>
      </w:pPr>
      <w:hyperlink w:anchor="_Toc19551" w:history="1">
        <w:r>
          <w:rPr>
            <w:rFonts w:hint="eastAsia"/>
          </w:rPr>
          <w:t>第一节</w:t>
        </w:r>
        <w:r>
          <w:t xml:space="preserve"> </w:t>
        </w:r>
        <w:r>
          <w:rPr>
            <w:rFonts w:hint="eastAsia"/>
          </w:rPr>
          <w:t>完善公共服务体系</w:t>
        </w:r>
        <w:r>
          <w:tab/>
        </w:r>
      </w:hyperlink>
    </w:p>
    <w:p w14:paraId="4C08A912" w14:textId="77777777" w:rsidR="00EE55DB" w:rsidRDefault="00000000">
      <w:pPr>
        <w:pStyle w:val="TOC2"/>
        <w:tabs>
          <w:tab w:val="right" w:leader="dot" w:pos="8306"/>
        </w:tabs>
      </w:pPr>
      <w:hyperlink w:anchor="_Toc7197" w:history="1">
        <w:r>
          <w:rPr>
            <w:rFonts w:hint="eastAsia"/>
          </w:rPr>
          <w:t>第二节</w:t>
        </w:r>
        <w:r>
          <w:t xml:space="preserve"> </w:t>
        </w:r>
        <w:r>
          <w:rPr>
            <w:rFonts w:hint="eastAsia"/>
          </w:rPr>
          <w:t>推进优质均衡教育</w:t>
        </w:r>
        <w:r>
          <w:tab/>
        </w:r>
      </w:hyperlink>
    </w:p>
    <w:p w14:paraId="034AF700" w14:textId="77777777" w:rsidR="00EE55DB" w:rsidRDefault="00000000">
      <w:pPr>
        <w:pStyle w:val="TOC2"/>
        <w:tabs>
          <w:tab w:val="right" w:leader="dot" w:pos="8306"/>
        </w:tabs>
      </w:pPr>
      <w:hyperlink w:anchor="_Toc30658" w:history="1">
        <w:r>
          <w:rPr>
            <w:rFonts w:hint="eastAsia"/>
          </w:rPr>
          <w:t>第三节</w:t>
        </w:r>
        <w:r>
          <w:t xml:space="preserve"> </w:t>
        </w:r>
        <w:r>
          <w:rPr>
            <w:rFonts w:hint="eastAsia"/>
          </w:rPr>
          <w:t>加快健康永修建设</w:t>
        </w:r>
        <w:r>
          <w:tab/>
        </w:r>
      </w:hyperlink>
    </w:p>
    <w:p w14:paraId="6DF27E35" w14:textId="77777777" w:rsidR="00EE55DB" w:rsidRDefault="00000000">
      <w:pPr>
        <w:pStyle w:val="TOC2"/>
        <w:tabs>
          <w:tab w:val="right" w:leader="dot" w:pos="8306"/>
        </w:tabs>
      </w:pPr>
      <w:hyperlink w:anchor="_Toc11106" w:history="1">
        <w:r>
          <w:rPr>
            <w:rFonts w:hint="eastAsia"/>
          </w:rPr>
          <w:t>第四节</w:t>
        </w:r>
        <w:r>
          <w:t xml:space="preserve"> </w:t>
        </w:r>
        <w:r>
          <w:rPr>
            <w:rFonts w:hint="eastAsia"/>
          </w:rPr>
          <w:t>完善社会保障体系</w:t>
        </w:r>
        <w:r>
          <w:tab/>
        </w:r>
      </w:hyperlink>
    </w:p>
    <w:p w14:paraId="0AE0B4D7" w14:textId="77777777" w:rsidR="00EE55DB" w:rsidRDefault="00000000">
      <w:pPr>
        <w:pStyle w:val="TOC2"/>
        <w:tabs>
          <w:tab w:val="right" w:leader="dot" w:pos="8306"/>
        </w:tabs>
      </w:pPr>
      <w:hyperlink w:anchor="_Toc1859" w:history="1">
        <w:r>
          <w:rPr>
            <w:rFonts w:hint="eastAsia"/>
          </w:rPr>
          <w:t>第五节</w:t>
        </w:r>
        <w:r>
          <w:t xml:space="preserve"> </w:t>
        </w:r>
        <w:r>
          <w:rPr>
            <w:rFonts w:hint="eastAsia"/>
          </w:rPr>
          <w:t>积极应对人口老龄化</w:t>
        </w:r>
        <w:r>
          <w:tab/>
        </w:r>
      </w:hyperlink>
    </w:p>
    <w:p w14:paraId="698650C7" w14:textId="77777777" w:rsidR="00EE55DB" w:rsidRDefault="00000000">
      <w:pPr>
        <w:pStyle w:val="TOC1"/>
        <w:tabs>
          <w:tab w:val="right" w:leader="dot" w:pos="8306"/>
        </w:tabs>
      </w:pPr>
      <w:hyperlink w:anchor="_Toc28688" w:history="1">
        <w:r>
          <w:rPr>
            <w:rFonts w:hint="eastAsia"/>
          </w:rPr>
          <w:t>第十二章</w:t>
        </w:r>
        <w:r>
          <w:t xml:space="preserve"> </w:t>
        </w:r>
        <w:r>
          <w:rPr>
            <w:rFonts w:hint="eastAsia"/>
          </w:rPr>
          <w:t>提升社会治理能力，开启平安永修建设新征程</w:t>
        </w:r>
        <w:r>
          <w:tab/>
        </w:r>
      </w:hyperlink>
    </w:p>
    <w:p w14:paraId="60D5D6BB" w14:textId="77777777" w:rsidR="00EE55DB" w:rsidRDefault="00000000">
      <w:pPr>
        <w:pStyle w:val="TOC2"/>
        <w:tabs>
          <w:tab w:val="right" w:leader="dot" w:pos="8306"/>
        </w:tabs>
      </w:pPr>
      <w:hyperlink w:anchor="_Toc24140" w:history="1">
        <w:r>
          <w:rPr>
            <w:rFonts w:hint="eastAsia"/>
          </w:rPr>
          <w:t>第一节</w:t>
        </w:r>
        <w:r>
          <w:t xml:space="preserve"> </w:t>
        </w:r>
        <w:r>
          <w:rPr>
            <w:rFonts w:hint="eastAsia"/>
          </w:rPr>
          <w:t>聚焦聚力建设平安永修</w:t>
        </w:r>
        <w:r>
          <w:tab/>
        </w:r>
      </w:hyperlink>
    </w:p>
    <w:p w14:paraId="069BA81E" w14:textId="77777777" w:rsidR="00EE55DB" w:rsidRDefault="00000000">
      <w:pPr>
        <w:pStyle w:val="TOC2"/>
        <w:tabs>
          <w:tab w:val="right" w:leader="dot" w:pos="8306"/>
        </w:tabs>
      </w:pPr>
      <w:hyperlink w:anchor="_Toc32733" w:history="1">
        <w:r>
          <w:rPr>
            <w:rFonts w:hint="eastAsia"/>
          </w:rPr>
          <w:t>第二节</w:t>
        </w:r>
        <w:r>
          <w:t xml:space="preserve"> </w:t>
        </w:r>
        <w:r>
          <w:rPr>
            <w:rFonts w:hint="eastAsia"/>
          </w:rPr>
          <w:t>全面加强法治信用建设</w:t>
        </w:r>
        <w:r>
          <w:tab/>
        </w:r>
      </w:hyperlink>
    </w:p>
    <w:p w14:paraId="1C8D34C2" w14:textId="77777777" w:rsidR="00EE55DB" w:rsidRDefault="00000000">
      <w:pPr>
        <w:pStyle w:val="TOC2"/>
        <w:tabs>
          <w:tab w:val="right" w:leader="dot" w:pos="8306"/>
        </w:tabs>
      </w:pPr>
      <w:hyperlink w:anchor="_Toc25547" w:history="1">
        <w:r>
          <w:rPr>
            <w:rFonts w:hint="eastAsia"/>
          </w:rPr>
          <w:t>第三节</w:t>
        </w:r>
        <w:r>
          <w:t xml:space="preserve"> </w:t>
        </w:r>
        <w:r>
          <w:rPr>
            <w:rFonts w:hint="eastAsia"/>
          </w:rPr>
          <w:t>提升社会治理现代化</w:t>
        </w:r>
        <w:r>
          <w:tab/>
        </w:r>
      </w:hyperlink>
    </w:p>
    <w:p w14:paraId="702DB03E" w14:textId="77777777" w:rsidR="00EE55DB" w:rsidRDefault="00000000">
      <w:pPr>
        <w:pStyle w:val="TOC2"/>
        <w:tabs>
          <w:tab w:val="right" w:leader="dot" w:pos="8306"/>
        </w:tabs>
      </w:pPr>
      <w:hyperlink w:anchor="_Toc30156" w:history="1">
        <w:r>
          <w:rPr>
            <w:rFonts w:hint="eastAsia"/>
          </w:rPr>
          <w:t>第四节</w:t>
        </w:r>
        <w:r>
          <w:t xml:space="preserve"> </w:t>
        </w:r>
        <w:r>
          <w:rPr>
            <w:rFonts w:hint="eastAsia"/>
          </w:rPr>
          <w:t>推进社会主义民主政治永修实践</w:t>
        </w:r>
        <w:r>
          <w:tab/>
        </w:r>
      </w:hyperlink>
    </w:p>
    <w:p w14:paraId="23CF3C73" w14:textId="77777777" w:rsidR="00EE55DB" w:rsidRDefault="00000000">
      <w:pPr>
        <w:pStyle w:val="TOC1"/>
        <w:tabs>
          <w:tab w:val="right" w:leader="dot" w:pos="8306"/>
        </w:tabs>
      </w:pPr>
      <w:hyperlink w:anchor="_Toc32605" w:history="1">
        <w:r>
          <w:rPr>
            <w:rFonts w:hint="eastAsia"/>
          </w:rPr>
          <w:t>第十三章</w:t>
        </w:r>
        <w:r>
          <w:t xml:space="preserve"> </w:t>
        </w:r>
        <w:r>
          <w:rPr>
            <w:rFonts w:hint="eastAsia"/>
          </w:rPr>
          <w:t>坚持党的全面领导，实现永修规划新蓝图</w:t>
        </w:r>
        <w:r>
          <w:tab/>
        </w:r>
      </w:hyperlink>
    </w:p>
    <w:p w14:paraId="604EE06A" w14:textId="77777777" w:rsidR="00EE55DB" w:rsidRDefault="00000000">
      <w:pPr>
        <w:pStyle w:val="TOC2"/>
        <w:tabs>
          <w:tab w:val="right" w:leader="dot" w:pos="8306"/>
        </w:tabs>
      </w:pPr>
      <w:hyperlink w:anchor="_Toc31007" w:history="1">
        <w:r>
          <w:rPr>
            <w:rFonts w:hint="eastAsia"/>
          </w:rPr>
          <w:t>第一节</w:t>
        </w:r>
        <w:r>
          <w:t xml:space="preserve"> </w:t>
        </w:r>
        <w:r>
          <w:rPr>
            <w:rFonts w:hint="eastAsia"/>
          </w:rPr>
          <w:t>全面加强党的领导</w:t>
        </w:r>
        <w:r>
          <w:tab/>
        </w:r>
      </w:hyperlink>
    </w:p>
    <w:p w14:paraId="4D043E24" w14:textId="77777777" w:rsidR="00EE55DB" w:rsidRDefault="00000000">
      <w:pPr>
        <w:pStyle w:val="TOC2"/>
        <w:tabs>
          <w:tab w:val="right" w:leader="dot" w:pos="8306"/>
        </w:tabs>
      </w:pPr>
      <w:hyperlink w:anchor="_Toc2280" w:history="1">
        <w:r>
          <w:rPr>
            <w:rFonts w:hint="eastAsia"/>
          </w:rPr>
          <w:t>第二节</w:t>
        </w:r>
        <w:r>
          <w:t xml:space="preserve"> </w:t>
        </w:r>
        <w:r>
          <w:rPr>
            <w:rFonts w:hint="eastAsia"/>
          </w:rPr>
          <w:t>积极争取政策支持</w:t>
        </w:r>
        <w:r>
          <w:tab/>
        </w:r>
      </w:hyperlink>
    </w:p>
    <w:p w14:paraId="36D0B9AE" w14:textId="77777777" w:rsidR="00EE55DB" w:rsidRDefault="00000000">
      <w:pPr>
        <w:pStyle w:val="TOC2"/>
        <w:tabs>
          <w:tab w:val="right" w:leader="dot" w:pos="8306"/>
        </w:tabs>
      </w:pPr>
      <w:hyperlink w:anchor="_Toc24845" w:history="1">
        <w:r>
          <w:rPr>
            <w:rFonts w:hint="eastAsia"/>
          </w:rPr>
          <w:t>第三节</w:t>
        </w:r>
        <w:r>
          <w:t xml:space="preserve"> </w:t>
        </w:r>
        <w:r>
          <w:rPr>
            <w:rFonts w:hint="eastAsia"/>
          </w:rPr>
          <w:t>健全规划联动机制</w:t>
        </w:r>
        <w:r>
          <w:tab/>
        </w:r>
      </w:hyperlink>
    </w:p>
    <w:p w14:paraId="00701072" w14:textId="77777777" w:rsidR="00EE55DB" w:rsidRDefault="00000000">
      <w:pPr>
        <w:pStyle w:val="TOC2"/>
        <w:tabs>
          <w:tab w:val="right" w:leader="dot" w:pos="8306"/>
        </w:tabs>
      </w:pPr>
      <w:hyperlink w:anchor="_Toc1549" w:history="1">
        <w:r>
          <w:rPr>
            <w:rFonts w:hint="eastAsia"/>
          </w:rPr>
          <w:t>第四节</w:t>
        </w:r>
        <w:r>
          <w:t xml:space="preserve"> </w:t>
        </w:r>
        <w:r>
          <w:rPr>
            <w:rFonts w:hint="eastAsia"/>
          </w:rPr>
          <w:t>加强规划监管评估</w:t>
        </w:r>
        <w:r>
          <w:tab/>
        </w:r>
      </w:hyperlink>
    </w:p>
    <w:p w14:paraId="66339CC9" w14:textId="77777777" w:rsidR="00EE55DB" w:rsidRDefault="00000000">
      <w:pPr>
        <w:spacing w:line="560" w:lineRule="exact"/>
        <w:ind w:firstLineChars="0" w:firstLine="0"/>
        <w:rPr>
          <w:rFonts w:ascii="仿宋_GB2312" w:eastAsia="仿宋_GB2312" w:hAnsi="仿宋_GB2312" w:cs="仿宋_GB2312"/>
          <w:szCs w:val="32"/>
        </w:rPr>
      </w:pPr>
      <w:r>
        <w:rPr>
          <w:rFonts w:ascii="仿宋_GB2312" w:eastAsia="仿宋_GB2312" w:hAnsi="仿宋_GB2312" w:cs="仿宋_GB2312"/>
          <w:szCs w:val="32"/>
        </w:rPr>
        <w:fldChar w:fldCharType="end"/>
      </w:r>
    </w:p>
    <w:p w14:paraId="6512ADC6" w14:textId="77777777" w:rsidR="00EE55DB" w:rsidRDefault="00EE55DB">
      <w:pPr>
        <w:ind w:firstLine="640"/>
        <w:rPr>
          <w:rFonts w:ascii="仿宋_GB2312" w:eastAsia="仿宋_GB2312" w:hAnsi="仿宋_GB2312" w:cs="仿宋_GB2312"/>
          <w:szCs w:val="32"/>
        </w:rPr>
        <w:sectPr w:rsidR="00EE55DB" w:rsidSect="006654F7">
          <w:headerReference w:type="default" r:id="rId8"/>
          <w:footerReference w:type="default" r:id="rId9"/>
          <w:pgSz w:w="11906" w:h="16838"/>
          <w:pgMar w:top="1440" w:right="1800" w:bottom="1440" w:left="1800" w:header="851" w:footer="992" w:gutter="0"/>
          <w:pgNumType w:fmt="numberInDash"/>
          <w:cols w:space="425"/>
          <w:docGrid w:type="lines" w:linePitch="312"/>
        </w:sectPr>
      </w:pPr>
    </w:p>
    <w:p w14:paraId="18A179A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永修县国民经济和社会发展第十四个五年规划和二〇三五年远景目标纲要》，根据《中共永修县委关于制定全县国民经济和社会发展第十四个五年规划和二〇三五年远景目标的建议》编制，明确了未来五年发展的主要目标、重点任务和重大举措，同时提出了二〇三五年国民经济和社会发展远景目标。作为开启全面建设社会主义现代化新征程的第一个中长期规划，本规划是政府履责的重要依据，是经济社会运行的方向指引，</w:t>
      </w:r>
      <w:r>
        <w:rPr>
          <w:rFonts w:ascii="仿宋_GB2312" w:eastAsia="仿宋_GB2312" w:hAnsi="仿宋_GB2312" w:cs="仿宋_GB2312" w:hint="eastAsia"/>
          <w:color w:val="000000"/>
          <w:szCs w:val="32"/>
        </w:rPr>
        <w:t>是市场主体的行为导向，</w:t>
      </w:r>
      <w:r>
        <w:rPr>
          <w:rFonts w:ascii="仿宋_GB2312" w:eastAsia="仿宋_GB2312" w:hAnsi="仿宋_GB2312" w:cs="仿宋_GB2312" w:hint="eastAsia"/>
          <w:szCs w:val="32"/>
        </w:rPr>
        <w:t>是全县上下为实现与全国全省全市同步开启社会主义现代化新征程的共同愿景。</w:t>
      </w:r>
    </w:p>
    <w:p w14:paraId="05C56ED0" w14:textId="77777777" w:rsidR="00EE55DB" w:rsidRDefault="00000000">
      <w:pPr>
        <w:pStyle w:val="1"/>
        <w:spacing w:before="156" w:after="156"/>
      </w:pPr>
      <w:bookmarkStart w:id="5" w:name="_Toc31354"/>
      <w:bookmarkStart w:id="6" w:name="_Toc1107"/>
      <w:r>
        <w:rPr>
          <w:rFonts w:hint="eastAsia"/>
        </w:rPr>
        <w:t>第一章</w:t>
      </w:r>
      <w:r>
        <w:t xml:space="preserve"> </w:t>
      </w:r>
      <w:r>
        <w:rPr>
          <w:rFonts w:hint="eastAsia"/>
        </w:rPr>
        <w:t>开启全面建设社会主义现代化永修新征程</w:t>
      </w:r>
      <w:bookmarkEnd w:id="5"/>
      <w:bookmarkEnd w:id="6"/>
    </w:p>
    <w:p w14:paraId="0238E54D"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十四五”时期，是我国全面建成小康社会、实现第一个百年奋斗目标之后，乘势而上开启全面建设社会主义现代化国家新征程、向第二个百年奋斗目标进军的第一个五年，是永修县在全面建成小康社会基础上，继往开来开启社会主义现代建设新征程的起步期。</w:t>
      </w:r>
    </w:p>
    <w:p w14:paraId="5BC1763D"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全面总结“十三五”发展成就和经验，客观</w:t>
      </w:r>
      <w:proofErr w:type="gramStart"/>
      <w:r>
        <w:rPr>
          <w:rFonts w:ascii="仿宋_GB2312" w:eastAsia="仿宋_GB2312" w:hAnsi="仿宋_GB2312" w:cs="仿宋_GB2312" w:hint="eastAsia"/>
          <w:szCs w:val="32"/>
        </w:rPr>
        <w:t>研判发展</w:t>
      </w:r>
      <w:proofErr w:type="gramEnd"/>
      <w:r>
        <w:rPr>
          <w:rFonts w:ascii="仿宋_GB2312" w:eastAsia="仿宋_GB2312" w:hAnsi="仿宋_GB2312" w:cs="仿宋_GB2312" w:hint="eastAsia"/>
          <w:szCs w:val="32"/>
        </w:rPr>
        <w:t>形势，是永修面对中华民族伟大复兴战略全局和世界百年未有之大变局，准确识变、科学应变、主动求变的客观需要，有利于永修在“十四五”时期抓住发展机遇，在危机中育先机、于变局中开新局，推动全县高质量跨越式发展。</w:t>
      </w:r>
    </w:p>
    <w:p w14:paraId="27E1F601" w14:textId="77777777" w:rsidR="00EE55DB" w:rsidRDefault="00000000">
      <w:pPr>
        <w:pStyle w:val="2"/>
        <w:spacing w:before="156" w:after="156"/>
      </w:pPr>
      <w:bookmarkStart w:id="7" w:name="_Toc15874"/>
      <w:bookmarkStart w:id="8" w:name="_Toc20888"/>
      <w:r>
        <w:rPr>
          <w:rFonts w:hint="eastAsia"/>
        </w:rPr>
        <w:lastRenderedPageBreak/>
        <w:t>第一节</w:t>
      </w:r>
      <w:r>
        <w:t xml:space="preserve"> </w:t>
      </w:r>
      <w:r>
        <w:rPr>
          <w:rFonts w:hint="eastAsia"/>
        </w:rPr>
        <w:t>发展基础</w:t>
      </w:r>
      <w:bookmarkEnd w:id="7"/>
      <w:bookmarkEnd w:id="8"/>
    </w:p>
    <w:p w14:paraId="22A747CD"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“十三五”时期，在县委、县政府的正确领导下，在县人大和县政协的监督支持下，永修坚定不移贯彻中央、省委、市委各项决策部署，全面贯彻落</w:t>
      </w:r>
      <w:proofErr w:type="gramStart"/>
      <w:r>
        <w:rPr>
          <w:rFonts w:ascii="仿宋_GB2312" w:eastAsia="仿宋_GB2312" w:hAnsi="仿宋_GB2312" w:cs="仿宋_GB2312" w:hint="eastAsia"/>
          <w:szCs w:val="32"/>
        </w:rPr>
        <w:t>实习近</w:t>
      </w:r>
      <w:proofErr w:type="gramEnd"/>
      <w:r>
        <w:rPr>
          <w:rFonts w:ascii="仿宋_GB2312" w:eastAsia="仿宋_GB2312" w:hAnsi="仿宋_GB2312" w:cs="仿宋_GB2312" w:hint="eastAsia"/>
          <w:szCs w:val="32"/>
        </w:rPr>
        <w:t>平新时代中国特色社会主义思想和习近平总书记视察江西重要讲话精神，紧紧围绕“五大定位、八大工程”，坚持发展现代化、产业集聚化、建设景区化、服务信息化，解放思想、开拓创新、拼搏实干、负重奋进，统筹推进经济建设、政治建设、文化建设、社会建设、生态文明建设，积极引领经济发展新常态，经济社会发展取得新成就，“十三五”规划确定的主要目标任务顺利完成，实现与全国、全省、全市同步全面建成小康社会，为开启全面建设社会主义现代化永修奠定坚实基础。</w:t>
      </w:r>
    </w:p>
    <w:p w14:paraId="067A493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经济实力稳步提升。</w:t>
      </w:r>
      <w:r>
        <w:rPr>
          <w:rFonts w:ascii="仿宋_GB2312" w:eastAsia="仿宋_GB2312" w:hAnsi="仿宋_GB2312" w:cs="仿宋_GB2312" w:hint="eastAsia"/>
          <w:szCs w:val="32"/>
        </w:rPr>
        <w:t>“十三五”期间，全县认真贯彻新发展理念，经济呈现“总体平稳、稳中有进、进中趋优”的良好态势，地区生产总值由</w:t>
      </w:r>
      <w:r>
        <w:rPr>
          <w:rFonts w:ascii="仿宋_GB2312" w:eastAsia="仿宋_GB2312" w:hAnsi="仿宋_GB2312" w:cs="仿宋_GB2312"/>
          <w:szCs w:val="32"/>
        </w:rPr>
        <w:t>2015</w:t>
      </w:r>
      <w:r>
        <w:rPr>
          <w:rFonts w:ascii="仿宋_GB2312" w:eastAsia="仿宋_GB2312" w:hAnsi="仿宋_GB2312" w:cs="仿宋_GB2312" w:hint="eastAsia"/>
          <w:szCs w:val="32"/>
        </w:rPr>
        <w:t>年</w:t>
      </w:r>
      <w:r>
        <w:rPr>
          <w:rFonts w:ascii="仿宋_GB2312" w:eastAsia="仿宋_GB2312" w:hAnsi="仿宋_GB2312" w:cs="仿宋_GB2312"/>
          <w:szCs w:val="32"/>
        </w:rPr>
        <w:t>121.25</w:t>
      </w:r>
      <w:r>
        <w:rPr>
          <w:rFonts w:ascii="仿宋_GB2312" w:eastAsia="仿宋_GB2312" w:hAnsi="仿宋_GB2312" w:cs="仿宋_GB2312" w:hint="eastAsia"/>
          <w:szCs w:val="32"/>
        </w:rPr>
        <w:t>亿元提高到</w:t>
      </w:r>
      <w:r>
        <w:rPr>
          <w:rFonts w:ascii="仿宋_GB2312" w:eastAsia="仿宋_GB2312" w:hAnsi="仿宋_GB2312" w:cs="仿宋_GB2312"/>
          <w:szCs w:val="32"/>
        </w:rPr>
        <w:t>2020</w:t>
      </w:r>
      <w:r>
        <w:rPr>
          <w:rFonts w:ascii="仿宋_GB2312" w:eastAsia="仿宋_GB2312" w:hAnsi="仿宋_GB2312" w:cs="仿宋_GB2312" w:hint="eastAsia"/>
          <w:szCs w:val="32"/>
        </w:rPr>
        <w:t>年</w:t>
      </w:r>
      <w:r>
        <w:rPr>
          <w:rFonts w:ascii="仿宋_GB2312" w:eastAsia="仿宋_GB2312" w:hAnsi="仿宋_GB2312" w:cs="仿宋_GB2312"/>
          <w:color w:val="FF0000"/>
          <w:szCs w:val="32"/>
        </w:rPr>
        <w:t>250.62</w:t>
      </w:r>
      <w:r>
        <w:rPr>
          <w:rFonts w:ascii="仿宋_GB2312" w:eastAsia="仿宋_GB2312" w:hAnsi="仿宋_GB2312" w:cs="仿宋_GB2312" w:hint="eastAsia"/>
          <w:color w:val="FF0000"/>
          <w:szCs w:val="32"/>
        </w:rPr>
        <w:t>亿元，年均增长</w:t>
      </w:r>
      <w:r>
        <w:rPr>
          <w:rFonts w:ascii="仿宋_GB2312" w:eastAsia="仿宋_GB2312" w:hAnsi="仿宋_GB2312" w:cs="仿宋_GB2312"/>
          <w:color w:val="FF0000"/>
          <w:szCs w:val="32"/>
        </w:rPr>
        <w:t>15.6</w:t>
      </w:r>
      <w:r>
        <w:rPr>
          <w:rFonts w:ascii="仿宋_GB2312" w:eastAsia="仿宋_GB2312" w:hAnsi="仿宋_GB2312" w:cs="仿宋_GB2312"/>
          <w:szCs w:val="32"/>
        </w:rPr>
        <w:t>%</w:t>
      </w:r>
      <w:r>
        <w:rPr>
          <w:rFonts w:ascii="仿宋_GB2312" w:eastAsia="仿宋_GB2312" w:hAnsi="仿宋_GB2312" w:cs="仿宋_GB2312" w:hint="eastAsia"/>
          <w:szCs w:val="32"/>
        </w:rPr>
        <w:t>；财政总收入由</w:t>
      </w:r>
      <w:r>
        <w:rPr>
          <w:rFonts w:ascii="仿宋_GB2312" w:eastAsia="仿宋_GB2312" w:hAnsi="仿宋_GB2312" w:cs="仿宋_GB2312"/>
          <w:szCs w:val="32"/>
        </w:rPr>
        <w:t>2015</w:t>
      </w:r>
      <w:r>
        <w:rPr>
          <w:rFonts w:ascii="仿宋_GB2312" w:eastAsia="仿宋_GB2312" w:hAnsi="仿宋_GB2312" w:cs="仿宋_GB2312" w:hint="eastAsia"/>
          <w:szCs w:val="32"/>
        </w:rPr>
        <w:t>年</w:t>
      </w:r>
      <w:r>
        <w:rPr>
          <w:rFonts w:ascii="仿宋_GB2312" w:eastAsia="仿宋_GB2312" w:hAnsi="仿宋_GB2312" w:cs="仿宋_GB2312"/>
          <w:szCs w:val="32"/>
        </w:rPr>
        <w:t>21.52</w:t>
      </w:r>
      <w:r>
        <w:rPr>
          <w:rFonts w:ascii="仿宋_GB2312" w:eastAsia="仿宋_GB2312" w:hAnsi="仿宋_GB2312" w:cs="仿宋_GB2312" w:hint="eastAsia"/>
          <w:szCs w:val="32"/>
        </w:rPr>
        <w:t>亿元增加到</w:t>
      </w:r>
      <w:r>
        <w:rPr>
          <w:rFonts w:ascii="仿宋_GB2312" w:eastAsia="仿宋_GB2312" w:hAnsi="仿宋_GB2312" w:cs="仿宋_GB2312"/>
          <w:szCs w:val="32"/>
        </w:rPr>
        <w:t>2020</w:t>
      </w:r>
      <w:r>
        <w:rPr>
          <w:rFonts w:ascii="仿宋_GB2312" w:eastAsia="仿宋_GB2312" w:hAnsi="仿宋_GB2312" w:cs="仿宋_GB2312" w:hint="eastAsia"/>
          <w:szCs w:val="32"/>
        </w:rPr>
        <w:t>年</w:t>
      </w:r>
      <w:r>
        <w:rPr>
          <w:rFonts w:ascii="仿宋_GB2312" w:eastAsia="仿宋_GB2312" w:hAnsi="仿宋_GB2312" w:cs="仿宋_GB2312"/>
          <w:szCs w:val="32"/>
        </w:rPr>
        <w:t>30.76</w:t>
      </w:r>
      <w:r>
        <w:rPr>
          <w:rFonts w:ascii="仿宋_GB2312" w:eastAsia="仿宋_GB2312" w:hAnsi="仿宋_GB2312" w:cs="仿宋_GB2312" w:hint="eastAsia"/>
          <w:szCs w:val="32"/>
        </w:rPr>
        <w:t>亿元，年均增长</w:t>
      </w:r>
      <w:r>
        <w:rPr>
          <w:rFonts w:ascii="仿宋_GB2312" w:eastAsia="仿宋_GB2312" w:hAnsi="仿宋_GB2312" w:cs="仿宋_GB2312"/>
          <w:szCs w:val="32"/>
        </w:rPr>
        <w:t>7.41%</w:t>
      </w:r>
      <w:r>
        <w:rPr>
          <w:rFonts w:ascii="仿宋_GB2312" w:eastAsia="仿宋_GB2312" w:hAnsi="仿宋_GB2312" w:cs="仿宋_GB2312" w:hint="eastAsia"/>
          <w:szCs w:val="32"/>
        </w:rPr>
        <w:t>；社会消费品零售总额由</w:t>
      </w:r>
      <w:r>
        <w:rPr>
          <w:rFonts w:ascii="仿宋_GB2312" w:eastAsia="仿宋_GB2312" w:hAnsi="仿宋_GB2312" w:cs="仿宋_GB2312"/>
          <w:szCs w:val="32"/>
        </w:rPr>
        <w:t>2015</w:t>
      </w:r>
      <w:r>
        <w:rPr>
          <w:rFonts w:ascii="仿宋_GB2312" w:eastAsia="仿宋_GB2312" w:hAnsi="仿宋_GB2312" w:cs="仿宋_GB2312" w:hint="eastAsia"/>
          <w:szCs w:val="32"/>
        </w:rPr>
        <w:t>年</w:t>
      </w:r>
      <w:r>
        <w:rPr>
          <w:rFonts w:ascii="仿宋_GB2312" w:eastAsia="仿宋_GB2312" w:hAnsi="仿宋_GB2312" w:cs="仿宋_GB2312"/>
          <w:szCs w:val="32"/>
        </w:rPr>
        <w:t>32.87</w:t>
      </w:r>
      <w:r>
        <w:rPr>
          <w:rFonts w:ascii="仿宋_GB2312" w:eastAsia="仿宋_GB2312" w:hAnsi="仿宋_GB2312" w:cs="仿宋_GB2312" w:hint="eastAsia"/>
          <w:szCs w:val="32"/>
        </w:rPr>
        <w:t>亿元增长为预计</w:t>
      </w:r>
      <w:r>
        <w:rPr>
          <w:rFonts w:ascii="仿宋_GB2312" w:eastAsia="仿宋_GB2312" w:hAnsi="仿宋_GB2312" w:cs="仿宋_GB2312"/>
          <w:szCs w:val="32"/>
        </w:rPr>
        <w:t>2020</w:t>
      </w:r>
      <w:r>
        <w:rPr>
          <w:rFonts w:ascii="仿宋_GB2312" w:eastAsia="仿宋_GB2312" w:hAnsi="仿宋_GB2312" w:cs="仿宋_GB2312" w:hint="eastAsia"/>
          <w:szCs w:val="32"/>
        </w:rPr>
        <w:t>年</w:t>
      </w:r>
      <w:r>
        <w:rPr>
          <w:rFonts w:ascii="仿宋_GB2312" w:eastAsia="仿宋_GB2312" w:hAnsi="仿宋_GB2312" w:cs="仿宋_GB2312"/>
          <w:color w:val="FF0000"/>
          <w:szCs w:val="32"/>
        </w:rPr>
        <w:t>78.02</w:t>
      </w:r>
      <w:r>
        <w:rPr>
          <w:rFonts w:ascii="仿宋_GB2312" w:eastAsia="仿宋_GB2312" w:hAnsi="仿宋_GB2312" w:cs="仿宋_GB2312" w:hint="eastAsia"/>
          <w:color w:val="FF0000"/>
          <w:szCs w:val="32"/>
        </w:rPr>
        <w:t>亿元，年均增长</w:t>
      </w:r>
      <w:r>
        <w:rPr>
          <w:rFonts w:ascii="仿宋_GB2312" w:eastAsia="仿宋_GB2312" w:hAnsi="仿宋_GB2312" w:cs="仿宋_GB2312"/>
          <w:color w:val="FF0000"/>
          <w:szCs w:val="32"/>
        </w:rPr>
        <w:t>18.9</w:t>
      </w:r>
      <w:r>
        <w:rPr>
          <w:rFonts w:ascii="仿宋_GB2312" w:eastAsia="仿宋_GB2312" w:hAnsi="仿宋_GB2312" w:cs="仿宋_GB2312"/>
          <w:szCs w:val="32"/>
        </w:rPr>
        <w:t>%</w:t>
      </w:r>
      <w:r>
        <w:rPr>
          <w:rFonts w:ascii="仿宋_GB2312" w:eastAsia="仿宋_GB2312" w:hAnsi="仿宋_GB2312" w:cs="仿宋_GB2312" w:hint="eastAsia"/>
          <w:szCs w:val="32"/>
        </w:rPr>
        <w:t>；外贸出口总额由</w:t>
      </w:r>
      <w:r>
        <w:rPr>
          <w:rFonts w:ascii="仿宋_GB2312" w:eastAsia="仿宋_GB2312" w:hAnsi="仿宋_GB2312" w:cs="仿宋_GB2312"/>
          <w:szCs w:val="32"/>
        </w:rPr>
        <w:t>2015</w:t>
      </w:r>
      <w:r>
        <w:rPr>
          <w:rFonts w:ascii="仿宋_GB2312" w:eastAsia="仿宋_GB2312" w:hAnsi="仿宋_GB2312" w:cs="仿宋_GB2312" w:hint="eastAsia"/>
          <w:szCs w:val="32"/>
        </w:rPr>
        <w:t>年</w:t>
      </w:r>
      <w:r>
        <w:rPr>
          <w:rFonts w:ascii="仿宋_GB2312" w:eastAsia="仿宋_GB2312" w:hAnsi="仿宋_GB2312" w:cs="仿宋_GB2312"/>
          <w:szCs w:val="32"/>
        </w:rPr>
        <w:t>28374</w:t>
      </w:r>
      <w:r>
        <w:rPr>
          <w:rFonts w:ascii="仿宋_GB2312" w:eastAsia="仿宋_GB2312" w:hAnsi="仿宋_GB2312" w:cs="仿宋_GB2312" w:hint="eastAsia"/>
          <w:szCs w:val="32"/>
        </w:rPr>
        <w:t>万美元预计提高到</w:t>
      </w:r>
      <w:r>
        <w:rPr>
          <w:rFonts w:ascii="仿宋_GB2312" w:eastAsia="仿宋_GB2312" w:hAnsi="仿宋_GB2312" w:cs="仿宋_GB2312"/>
          <w:szCs w:val="32"/>
        </w:rPr>
        <w:t>2020</w:t>
      </w:r>
      <w:r>
        <w:rPr>
          <w:rFonts w:ascii="仿宋_GB2312" w:eastAsia="仿宋_GB2312" w:hAnsi="仿宋_GB2312" w:cs="仿宋_GB2312" w:hint="eastAsia"/>
          <w:szCs w:val="32"/>
        </w:rPr>
        <w:t>年的</w:t>
      </w:r>
      <w:r>
        <w:rPr>
          <w:rFonts w:ascii="仿宋_GB2312" w:eastAsia="仿宋_GB2312" w:hAnsi="仿宋_GB2312" w:cs="仿宋_GB2312"/>
          <w:szCs w:val="32"/>
        </w:rPr>
        <w:t>41000</w:t>
      </w:r>
      <w:r>
        <w:rPr>
          <w:rFonts w:ascii="仿宋_GB2312" w:eastAsia="仿宋_GB2312" w:hAnsi="仿宋_GB2312" w:cs="仿宋_GB2312" w:hint="eastAsia"/>
          <w:szCs w:val="32"/>
        </w:rPr>
        <w:t>万美元，年均预计增长</w:t>
      </w:r>
      <w:r>
        <w:rPr>
          <w:rFonts w:ascii="仿宋_GB2312" w:eastAsia="仿宋_GB2312" w:hAnsi="仿宋_GB2312" w:cs="仿宋_GB2312"/>
          <w:szCs w:val="32"/>
        </w:rPr>
        <w:t>8.9%</w:t>
      </w:r>
      <w:r>
        <w:rPr>
          <w:rFonts w:ascii="仿宋_GB2312" w:eastAsia="仿宋_GB2312" w:hAnsi="仿宋_GB2312" w:cs="仿宋_GB2312" w:hint="eastAsia"/>
          <w:szCs w:val="32"/>
        </w:rPr>
        <w:t>；实际利用外资由</w:t>
      </w:r>
      <w:r>
        <w:rPr>
          <w:rFonts w:ascii="仿宋_GB2312" w:eastAsia="仿宋_GB2312" w:hAnsi="仿宋_GB2312" w:cs="仿宋_GB2312"/>
          <w:szCs w:val="32"/>
        </w:rPr>
        <w:t>2015</w:t>
      </w:r>
      <w:r>
        <w:rPr>
          <w:rFonts w:ascii="仿宋_GB2312" w:eastAsia="仿宋_GB2312" w:hAnsi="仿宋_GB2312" w:cs="仿宋_GB2312" w:hint="eastAsia"/>
          <w:szCs w:val="32"/>
        </w:rPr>
        <w:t>年</w:t>
      </w:r>
      <w:r>
        <w:rPr>
          <w:rFonts w:ascii="仿宋_GB2312" w:eastAsia="仿宋_GB2312" w:hAnsi="仿宋_GB2312" w:cs="仿宋_GB2312"/>
          <w:szCs w:val="32"/>
        </w:rPr>
        <w:t>11589</w:t>
      </w:r>
      <w:r>
        <w:rPr>
          <w:rFonts w:ascii="仿宋_GB2312" w:eastAsia="仿宋_GB2312" w:hAnsi="仿宋_GB2312" w:cs="仿宋_GB2312" w:hint="eastAsia"/>
          <w:szCs w:val="32"/>
        </w:rPr>
        <w:t>万美元，预计提高到</w:t>
      </w:r>
      <w:r>
        <w:rPr>
          <w:rFonts w:ascii="仿宋_GB2312" w:eastAsia="仿宋_GB2312" w:hAnsi="仿宋_GB2312" w:cs="仿宋_GB2312"/>
          <w:szCs w:val="32"/>
        </w:rPr>
        <w:t>2020</w:t>
      </w:r>
      <w:r>
        <w:rPr>
          <w:rFonts w:ascii="仿宋_GB2312" w:eastAsia="仿宋_GB2312" w:hAnsi="仿宋_GB2312" w:cs="仿宋_GB2312" w:hint="eastAsia"/>
          <w:szCs w:val="32"/>
        </w:rPr>
        <w:t>年的</w:t>
      </w:r>
      <w:r>
        <w:rPr>
          <w:rFonts w:ascii="仿宋_GB2312" w:eastAsia="仿宋_GB2312" w:hAnsi="仿宋_GB2312" w:cs="仿宋_GB2312"/>
          <w:szCs w:val="32"/>
        </w:rPr>
        <w:t>18140</w:t>
      </w:r>
      <w:r>
        <w:rPr>
          <w:rFonts w:ascii="仿宋_GB2312" w:eastAsia="仿宋_GB2312" w:hAnsi="仿宋_GB2312" w:cs="仿宋_GB2312" w:hint="eastAsia"/>
          <w:szCs w:val="32"/>
        </w:rPr>
        <w:t>万美元，年均增长</w:t>
      </w:r>
      <w:r>
        <w:rPr>
          <w:rFonts w:ascii="仿宋_GB2312" w:eastAsia="仿宋_GB2312" w:hAnsi="仿宋_GB2312" w:cs="仿宋_GB2312"/>
          <w:szCs w:val="32"/>
        </w:rPr>
        <w:t>11.3%</w:t>
      </w:r>
      <w:r>
        <w:rPr>
          <w:rFonts w:ascii="仿宋_GB2312" w:eastAsia="仿宋_GB2312" w:hAnsi="仿宋_GB2312" w:cs="仿宋_GB2312" w:hint="eastAsia"/>
          <w:szCs w:val="32"/>
        </w:rPr>
        <w:t>；实</w:t>
      </w:r>
      <w:r>
        <w:rPr>
          <w:rFonts w:ascii="仿宋_GB2312" w:eastAsia="仿宋_GB2312" w:hAnsi="仿宋_GB2312" w:cs="仿宋_GB2312" w:hint="eastAsia"/>
          <w:szCs w:val="32"/>
        </w:rPr>
        <w:lastRenderedPageBreak/>
        <w:t>际利用内资由</w:t>
      </w:r>
      <w:r>
        <w:rPr>
          <w:rFonts w:ascii="仿宋_GB2312" w:eastAsia="仿宋_GB2312" w:hAnsi="仿宋_GB2312" w:cs="仿宋_GB2312"/>
          <w:szCs w:val="32"/>
        </w:rPr>
        <w:t>2015</w:t>
      </w:r>
      <w:r>
        <w:rPr>
          <w:rFonts w:ascii="仿宋_GB2312" w:eastAsia="仿宋_GB2312" w:hAnsi="仿宋_GB2312" w:cs="仿宋_GB2312" w:hint="eastAsia"/>
          <w:szCs w:val="32"/>
        </w:rPr>
        <w:t>年</w:t>
      </w:r>
      <w:r>
        <w:rPr>
          <w:rFonts w:ascii="仿宋_GB2312" w:eastAsia="仿宋_GB2312" w:hAnsi="仿宋_GB2312" w:cs="仿宋_GB2312"/>
          <w:szCs w:val="32"/>
        </w:rPr>
        <w:t>85</w:t>
      </w:r>
      <w:r>
        <w:rPr>
          <w:rFonts w:ascii="仿宋_GB2312" w:eastAsia="仿宋_GB2312" w:hAnsi="仿宋_GB2312" w:cs="仿宋_GB2312" w:hint="eastAsia"/>
          <w:szCs w:val="32"/>
        </w:rPr>
        <w:t>亿元，预计提高到</w:t>
      </w:r>
      <w:r>
        <w:rPr>
          <w:rFonts w:ascii="仿宋_GB2312" w:eastAsia="仿宋_GB2312" w:hAnsi="仿宋_GB2312" w:cs="仿宋_GB2312"/>
          <w:szCs w:val="32"/>
        </w:rPr>
        <w:t>2020</w:t>
      </w:r>
      <w:r>
        <w:rPr>
          <w:rFonts w:ascii="仿宋_GB2312" w:eastAsia="仿宋_GB2312" w:hAnsi="仿宋_GB2312" w:cs="仿宋_GB2312" w:hint="eastAsia"/>
          <w:szCs w:val="32"/>
        </w:rPr>
        <w:t>年的</w:t>
      </w:r>
      <w:r>
        <w:rPr>
          <w:rFonts w:ascii="仿宋_GB2312" w:eastAsia="仿宋_GB2312" w:hAnsi="仿宋_GB2312" w:cs="仿宋_GB2312"/>
          <w:szCs w:val="32"/>
        </w:rPr>
        <w:t>168.12</w:t>
      </w:r>
      <w:r>
        <w:rPr>
          <w:rFonts w:ascii="仿宋_GB2312" w:eastAsia="仿宋_GB2312" w:hAnsi="仿宋_GB2312" w:cs="仿宋_GB2312" w:hint="eastAsia"/>
          <w:szCs w:val="32"/>
        </w:rPr>
        <w:t>亿元，年均增长</w:t>
      </w:r>
      <w:r>
        <w:rPr>
          <w:rFonts w:ascii="仿宋_GB2312" w:eastAsia="仿宋_GB2312" w:hAnsi="仿宋_GB2312" w:cs="仿宋_GB2312"/>
          <w:szCs w:val="32"/>
        </w:rPr>
        <w:t>14.6%</w:t>
      </w:r>
      <w:r>
        <w:rPr>
          <w:rFonts w:ascii="仿宋_GB2312" w:eastAsia="仿宋_GB2312" w:hAnsi="仿宋_GB2312" w:cs="仿宋_GB2312" w:hint="eastAsia"/>
          <w:szCs w:val="32"/>
        </w:rPr>
        <w:t>。</w:t>
      </w:r>
    </w:p>
    <w:p w14:paraId="1C583A65" w14:textId="77777777" w:rsidR="00EE55DB" w:rsidRDefault="00000000">
      <w:pPr>
        <w:pStyle w:val="af0"/>
        <w:ind w:firstLineChars="0" w:firstLine="0"/>
        <w:jc w:val="center"/>
      </w:pPr>
      <w:r>
        <w:rPr>
          <w:noProof/>
        </w:rPr>
        <w:drawing>
          <wp:inline distT="0" distB="0" distL="114300" distR="114300" wp14:anchorId="5FADEE92" wp14:editId="2EA64077">
            <wp:extent cx="5278755" cy="2813050"/>
            <wp:effectExtent l="4445" t="4445" r="5080" b="1714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C505FC" w14:textId="77777777" w:rsidR="00EE55DB" w:rsidRDefault="00000000">
      <w:pPr>
        <w:ind w:firstLine="482"/>
        <w:jc w:val="center"/>
        <w:rPr>
          <w:b/>
          <w:bCs/>
          <w:sz w:val="24"/>
        </w:rPr>
      </w:pPr>
      <w:r>
        <w:rPr>
          <w:rFonts w:hint="eastAsia"/>
          <w:b/>
          <w:bCs/>
          <w:sz w:val="24"/>
        </w:rPr>
        <w:t>图</w:t>
      </w:r>
      <w:r>
        <w:rPr>
          <w:b/>
          <w:bCs/>
          <w:sz w:val="24"/>
        </w:rPr>
        <w:t>1  2015-2020</w:t>
      </w:r>
      <w:r>
        <w:rPr>
          <w:rFonts w:hint="eastAsia"/>
          <w:b/>
          <w:bCs/>
          <w:sz w:val="24"/>
        </w:rPr>
        <w:t>年永修县地区生产总值及其增长率</w:t>
      </w:r>
    </w:p>
    <w:p w14:paraId="448397D2"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产业结构持续优化。</w:t>
      </w:r>
      <w:r>
        <w:rPr>
          <w:rFonts w:ascii="仿宋_GB2312" w:eastAsia="仿宋_GB2312" w:hAnsi="仿宋_GB2312" w:cs="仿宋_GB2312" w:hint="eastAsia"/>
          <w:szCs w:val="32"/>
        </w:rPr>
        <w:t>“十三五”期间，全县坚持在</w:t>
      </w:r>
      <w:proofErr w:type="gramStart"/>
      <w:r>
        <w:rPr>
          <w:rFonts w:ascii="仿宋_GB2312" w:eastAsia="仿宋_GB2312" w:hAnsi="仿宋_GB2312" w:cs="仿宋_GB2312" w:hint="eastAsia"/>
          <w:szCs w:val="32"/>
        </w:rPr>
        <w:t>提质量</w:t>
      </w:r>
      <w:proofErr w:type="gramEnd"/>
      <w:r>
        <w:rPr>
          <w:rFonts w:ascii="仿宋_GB2312" w:eastAsia="仿宋_GB2312" w:hAnsi="仿宋_GB2312" w:cs="仿宋_GB2312" w:hint="eastAsia"/>
          <w:szCs w:val="32"/>
        </w:rPr>
        <w:t>中调结构，产业结构不断优化。预计由“十二五”期末的</w:t>
      </w:r>
      <w:r>
        <w:rPr>
          <w:rFonts w:ascii="仿宋_GB2312" w:eastAsia="仿宋_GB2312" w:hAnsi="仿宋_GB2312" w:cs="仿宋_GB2312"/>
          <w:szCs w:val="32"/>
        </w:rPr>
        <w:t>11.8</w:t>
      </w:r>
      <w:r>
        <w:rPr>
          <w:rFonts w:ascii="仿宋_GB2312" w:eastAsia="仿宋_GB2312" w:hAnsi="仿宋_GB2312" w:cs="仿宋_GB2312" w:hint="eastAsia"/>
          <w:szCs w:val="32"/>
        </w:rPr>
        <w:t>：</w:t>
      </w:r>
      <w:r>
        <w:rPr>
          <w:rFonts w:ascii="仿宋_GB2312" w:eastAsia="仿宋_GB2312" w:hAnsi="仿宋_GB2312" w:cs="仿宋_GB2312"/>
          <w:szCs w:val="32"/>
        </w:rPr>
        <w:t>64.4</w:t>
      </w:r>
      <w:r>
        <w:rPr>
          <w:rFonts w:ascii="仿宋_GB2312" w:eastAsia="仿宋_GB2312" w:hAnsi="仿宋_GB2312" w:cs="仿宋_GB2312" w:hint="eastAsia"/>
          <w:szCs w:val="32"/>
        </w:rPr>
        <w:t>：</w:t>
      </w:r>
      <w:r>
        <w:rPr>
          <w:rFonts w:ascii="仿宋_GB2312" w:eastAsia="仿宋_GB2312" w:hAnsi="仿宋_GB2312" w:cs="仿宋_GB2312"/>
          <w:szCs w:val="32"/>
        </w:rPr>
        <w:t>23.8</w:t>
      </w:r>
      <w:r>
        <w:rPr>
          <w:rFonts w:ascii="仿宋_GB2312" w:eastAsia="仿宋_GB2312" w:hAnsi="仿宋_GB2312" w:cs="仿宋_GB2312" w:hint="eastAsia"/>
          <w:szCs w:val="32"/>
        </w:rPr>
        <w:t>调整为</w:t>
      </w:r>
      <w:r>
        <w:rPr>
          <w:rFonts w:ascii="仿宋_GB2312" w:eastAsia="仿宋_GB2312" w:hAnsi="仿宋_GB2312" w:cs="仿宋_GB2312"/>
          <w:szCs w:val="32"/>
        </w:rPr>
        <w:t>2020</w:t>
      </w:r>
      <w:r>
        <w:rPr>
          <w:rFonts w:ascii="仿宋_GB2312" w:eastAsia="仿宋_GB2312" w:hAnsi="仿宋_GB2312" w:cs="仿宋_GB2312" w:hint="eastAsia"/>
          <w:szCs w:val="32"/>
        </w:rPr>
        <w:t>年的</w:t>
      </w:r>
      <w:r>
        <w:rPr>
          <w:rFonts w:ascii="仿宋_GB2312" w:eastAsia="仿宋_GB2312" w:hAnsi="仿宋_GB2312" w:cs="仿宋_GB2312"/>
          <w:szCs w:val="32"/>
        </w:rPr>
        <w:t>10</w:t>
      </w:r>
      <w:r>
        <w:rPr>
          <w:rFonts w:ascii="仿宋_GB2312" w:eastAsia="仿宋_GB2312" w:hAnsi="仿宋_GB2312" w:cs="仿宋_GB2312" w:hint="eastAsia"/>
          <w:szCs w:val="32"/>
        </w:rPr>
        <w:t>：</w:t>
      </w:r>
      <w:r>
        <w:rPr>
          <w:rFonts w:ascii="仿宋_GB2312" w:eastAsia="仿宋_GB2312" w:hAnsi="仿宋_GB2312" w:cs="仿宋_GB2312"/>
          <w:szCs w:val="32"/>
        </w:rPr>
        <w:t>54</w:t>
      </w:r>
      <w:r>
        <w:rPr>
          <w:rFonts w:ascii="仿宋_GB2312" w:eastAsia="仿宋_GB2312" w:hAnsi="仿宋_GB2312" w:cs="仿宋_GB2312" w:hint="eastAsia"/>
          <w:szCs w:val="32"/>
        </w:rPr>
        <w:t>：</w:t>
      </w:r>
      <w:r>
        <w:rPr>
          <w:rFonts w:ascii="仿宋_GB2312" w:eastAsia="仿宋_GB2312" w:hAnsi="仿宋_GB2312" w:cs="仿宋_GB2312"/>
          <w:szCs w:val="32"/>
        </w:rPr>
        <w:t>36</w:t>
      </w:r>
      <w:r>
        <w:rPr>
          <w:rFonts w:ascii="仿宋_GB2312" w:eastAsia="仿宋_GB2312" w:hAnsi="仿宋_GB2312" w:cs="仿宋_GB2312" w:hint="eastAsia"/>
          <w:szCs w:val="32"/>
        </w:rPr>
        <w:t>。新型工业更具实力，高新技术产业、新兴产业发展步伐加快，赣江新区高新技术示范园正式挂牌，全县科技创新综合指数稳居全市前列</w:t>
      </w:r>
      <w:r>
        <w:rPr>
          <w:rFonts w:ascii="仿宋_GB2312" w:eastAsia="仿宋_GB2312" w:hAnsi="仿宋_GB2312" w:cs="仿宋_GB2312"/>
          <w:szCs w:val="32"/>
        </w:rPr>
        <w:t>,</w:t>
      </w:r>
      <w:r>
        <w:rPr>
          <w:rFonts w:ascii="仿宋_GB2312" w:eastAsia="仿宋_GB2312" w:hAnsi="仿宋_GB2312" w:cs="仿宋_GB2312" w:hint="eastAsia"/>
          <w:szCs w:val="32"/>
        </w:rPr>
        <w:t>建成省级制造业创新中心</w:t>
      </w:r>
      <w:r>
        <w:rPr>
          <w:rFonts w:ascii="仿宋_GB2312" w:eastAsia="仿宋_GB2312" w:hAnsi="仿宋_GB2312" w:cs="仿宋_GB2312"/>
          <w:szCs w:val="32"/>
        </w:rPr>
        <w:t>——</w:t>
      </w:r>
      <w:r>
        <w:rPr>
          <w:rFonts w:ascii="仿宋_GB2312" w:eastAsia="仿宋_GB2312" w:hAnsi="仿宋_GB2312" w:cs="仿宋_GB2312" w:hint="eastAsia"/>
          <w:szCs w:val="32"/>
        </w:rPr>
        <w:t>江西赣江新区有机</w:t>
      </w:r>
      <w:proofErr w:type="gramStart"/>
      <w:r>
        <w:rPr>
          <w:rFonts w:ascii="仿宋_GB2312" w:eastAsia="仿宋_GB2312" w:hAnsi="仿宋_GB2312" w:cs="仿宋_GB2312" w:hint="eastAsia"/>
          <w:szCs w:val="32"/>
        </w:rPr>
        <w:t>硅创新</w:t>
      </w:r>
      <w:proofErr w:type="gramEnd"/>
      <w:r>
        <w:rPr>
          <w:rFonts w:ascii="仿宋_GB2312" w:eastAsia="仿宋_GB2312" w:hAnsi="仿宋_GB2312" w:cs="仿宋_GB2312" w:hint="eastAsia"/>
          <w:szCs w:val="32"/>
        </w:rPr>
        <w:t>研究院，率先运营国内首家有机</w:t>
      </w:r>
      <w:proofErr w:type="gramStart"/>
      <w:r>
        <w:rPr>
          <w:rFonts w:ascii="仿宋_GB2312" w:eastAsia="仿宋_GB2312" w:hAnsi="仿宋_GB2312" w:cs="仿宋_GB2312" w:hint="eastAsia"/>
          <w:szCs w:val="32"/>
        </w:rPr>
        <w:t>硅产业</w:t>
      </w:r>
      <w:proofErr w:type="gramEnd"/>
      <w:r>
        <w:rPr>
          <w:rFonts w:ascii="仿宋_GB2312" w:eastAsia="仿宋_GB2312" w:hAnsi="仿宋_GB2312" w:cs="仿宋_GB2312" w:hint="eastAsia"/>
          <w:szCs w:val="32"/>
        </w:rPr>
        <w:t>孵化基地。现代农业更具竞争力，成功入选“全国农村一二三产业融合发展先导区”，“永修香米”被列为全省七个重点扶持稻米区域公用品牌之一，成功创建“永修蜜桔”中国地理标志证明商标和“修滋味”农产品区域公共品牌，县雁鸭类水禽养殖技术荣获全省科学技术进步二等奖。现代服务业更具活力，</w:t>
      </w:r>
      <w:r>
        <w:rPr>
          <w:rFonts w:ascii="仿宋_GB2312" w:eastAsia="仿宋_GB2312" w:hAnsi="仿宋_GB2312" w:cs="仿宋_GB2312" w:hint="eastAsia"/>
          <w:szCs w:val="32"/>
        </w:rPr>
        <w:lastRenderedPageBreak/>
        <w:t>成功创建江西旅游强县，顺利承办</w:t>
      </w:r>
      <w:r>
        <w:rPr>
          <w:rFonts w:ascii="仿宋_GB2312" w:eastAsia="仿宋_GB2312" w:hAnsi="仿宋_GB2312" w:cs="仿宋_GB2312"/>
          <w:szCs w:val="32"/>
        </w:rPr>
        <w:t>2019</w:t>
      </w:r>
      <w:r>
        <w:rPr>
          <w:rFonts w:ascii="仿宋_GB2312" w:eastAsia="仿宋_GB2312" w:hAnsi="仿宋_GB2312" w:cs="仿宋_GB2312" w:hint="eastAsia"/>
          <w:szCs w:val="32"/>
        </w:rPr>
        <w:t>年首届鄱阳湖“国际观鸟周”，吴</w:t>
      </w:r>
      <w:proofErr w:type="gramStart"/>
      <w:r>
        <w:rPr>
          <w:rFonts w:ascii="仿宋_GB2312" w:eastAsia="仿宋_GB2312" w:hAnsi="仿宋_GB2312" w:cs="仿宋_GB2312" w:hint="eastAsia"/>
          <w:szCs w:val="32"/>
        </w:rPr>
        <w:t>城镇获批全国</w:t>
      </w:r>
      <w:proofErr w:type="gramEnd"/>
      <w:r>
        <w:rPr>
          <w:rFonts w:ascii="仿宋_GB2312" w:eastAsia="仿宋_GB2312" w:hAnsi="仿宋_GB2312" w:cs="仿宋_GB2312" w:hint="eastAsia"/>
          <w:szCs w:val="32"/>
        </w:rPr>
        <w:t>首家“中国候鸟小镇”、国家</w:t>
      </w:r>
      <w:r>
        <w:rPr>
          <w:rFonts w:ascii="仿宋_GB2312" w:eastAsia="仿宋_GB2312" w:hAnsi="仿宋_GB2312" w:cs="仿宋_GB2312"/>
          <w:szCs w:val="32"/>
        </w:rPr>
        <w:t>4A</w:t>
      </w:r>
      <w:r>
        <w:rPr>
          <w:rFonts w:ascii="仿宋_GB2312" w:eastAsia="仿宋_GB2312" w:hAnsi="仿宋_GB2312" w:cs="仿宋_GB2312" w:hint="eastAsia"/>
          <w:szCs w:val="32"/>
        </w:rPr>
        <w:t>级景区、江西旅游风情小镇，云山集团被评为全省第二批“商旅文融合发展示范区”、</w:t>
      </w:r>
      <w:r>
        <w:rPr>
          <w:rFonts w:ascii="仿宋_GB2312" w:eastAsia="仿宋_GB2312" w:hAnsi="仿宋_GB2312" w:cs="仿宋_GB2312"/>
          <w:szCs w:val="32"/>
        </w:rPr>
        <w:t>2020</w:t>
      </w:r>
      <w:r>
        <w:rPr>
          <w:rFonts w:ascii="仿宋_GB2312" w:eastAsia="仿宋_GB2312" w:hAnsi="仿宋_GB2312" w:cs="仿宋_GB2312" w:hint="eastAsia"/>
          <w:szCs w:val="32"/>
        </w:rPr>
        <w:t>年江西避暑旅游目的地。新增规模以上服务业企业总量全市第一，实现规模以上服务业营业收入增幅位列全市第一，商贸等传统服务业产业升级改造，金融、物流、房地产等现代服务业围绕“互联网</w:t>
      </w:r>
      <w:r>
        <w:rPr>
          <w:rFonts w:ascii="仿宋_GB2312" w:eastAsia="仿宋_GB2312" w:hAnsi="仿宋_GB2312" w:cs="仿宋_GB2312"/>
          <w:szCs w:val="32"/>
        </w:rPr>
        <w:t>+</w:t>
      </w:r>
      <w:r>
        <w:rPr>
          <w:rFonts w:ascii="仿宋_GB2312" w:eastAsia="仿宋_GB2312" w:hAnsi="仿宋_GB2312" w:cs="仿宋_GB2312" w:hint="eastAsia"/>
          <w:szCs w:val="32"/>
        </w:rPr>
        <w:t>”进行技术改造，得到了快速发展。</w:t>
      </w:r>
    </w:p>
    <w:p w14:paraId="07643620" w14:textId="77777777" w:rsidR="00EE55DB" w:rsidRDefault="00000000">
      <w:pPr>
        <w:pStyle w:val="af0"/>
        <w:ind w:firstLineChars="0" w:firstLine="0"/>
        <w:jc w:val="center"/>
      </w:pPr>
      <w:r>
        <w:rPr>
          <w:noProof/>
        </w:rPr>
        <w:drawing>
          <wp:inline distT="0" distB="0" distL="114300" distR="114300" wp14:anchorId="3B03DE83" wp14:editId="1E7C13CB">
            <wp:extent cx="5013325" cy="3020060"/>
            <wp:effectExtent l="4445" t="4445" r="11430" b="8255"/>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7D0D25" w14:textId="77777777" w:rsidR="00EE55DB" w:rsidRDefault="00000000">
      <w:pPr>
        <w:ind w:firstLine="482"/>
        <w:jc w:val="center"/>
        <w:rPr>
          <w:b/>
          <w:bCs/>
          <w:sz w:val="24"/>
        </w:rPr>
      </w:pPr>
      <w:r>
        <w:rPr>
          <w:rFonts w:hint="eastAsia"/>
          <w:b/>
          <w:bCs/>
          <w:sz w:val="24"/>
        </w:rPr>
        <w:t>图</w:t>
      </w:r>
      <w:r>
        <w:rPr>
          <w:b/>
          <w:bCs/>
          <w:sz w:val="24"/>
        </w:rPr>
        <w:t>2  2015-2020</w:t>
      </w:r>
      <w:r>
        <w:rPr>
          <w:rFonts w:hint="eastAsia"/>
          <w:b/>
          <w:bCs/>
          <w:sz w:val="24"/>
        </w:rPr>
        <w:t>年永修县三次产业结构的调整优化</w:t>
      </w:r>
    </w:p>
    <w:p w14:paraId="1A6DFBAB"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改革成效显著增强。</w:t>
      </w:r>
      <w:r>
        <w:rPr>
          <w:rFonts w:ascii="仿宋_GB2312" w:eastAsia="仿宋_GB2312" w:hAnsi="仿宋_GB2312" w:cs="仿宋_GB2312" w:hint="eastAsia"/>
          <w:szCs w:val="32"/>
        </w:rPr>
        <w:t>全县完成农村土地承包经营权确权登记工作，扎实推进农村集体产权制度改革试点，全面启动农垦国有土地确权发证工作，完成不动产登记中心建设。坚定不移扶持实体，全面落实减税降费政策，营商环境不断优化，深化“放管服”改革，成功搭建审管平台，加快推进“一</w:t>
      </w:r>
      <w:r>
        <w:rPr>
          <w:rFonts w:ascii="仿宋_GB2312" w:eastAsia="仿宋_GB2312" w:hAnsi="仿宋_GB2312" w:cs="仿宋_GB2312" w:hint="eastAsia"/>
          <w:szCs w:val="32"/>
        </w:rPr>
        <w:lastRenderedPageBreak/>
        <w:t>网通办”，建成公共材料库和电子证照库，在全省县（区）中第一个实现办事材料“一次提交、永久复用”。税务征管体制改革顺利完成。在全市率先成立工业投资公司，加强与社会资本合作，稳步探索</w:t>
      </w:r>
      <w:r>
        <w:rPr>
          <w:rFonts w:ascii="仿宋_GB2312" w:eastAsia="仿宋_GB2312" w:hAnsi="仿宋_GB2312" w:cs="仿宋_GB2312"/>
          <w:szCs w:val="32"/>
        </w:rPr>
        <w:t>PPP</w:t>
      </w:r>
      <w:r>
        <w:rPr>
          <w:rFonts w:ascii="仿宋_GB2312" w:eastAsia="仿宋_GB2312" w:hAnsi="仿宋_GB2312" w:cs="仿宋_GB2312" w:hint="eastAsia"/>
          <w:szCs w:val="32"/>
        </w:rPr>
        <w:t>项目建设模式。教育、卫生、供销等其他各项改革深入推进，全县首家院士工作站和研究生工作站正式成立，江西银河表计公司被评为第一批江西省科技型中小微企业。</w:t>
      </w:r>
    </w:p>
    <w:p w14:paraId="085C7D95"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城乡生活品质持续提升。</w:t>
      </w:r>
      <w:r>
        <w:rPr>
          <w:rFonts w:ascii="仿宋_GB2312" w:eastAsia="仿宋_GB2312" w:hAnsi="仿宋_GB2312" w:cs="仿宋_GB2312" w:hint="eastAsia"/>
          <w:szCs w:val="32"/>
        </w:rPr>
        <w:t>“十三五”时期，完成蓝天大道、白莲路、新华路、兴隆街等道路“白改黑”及人行道改造，完成银盘路、关公巷、棉麻宿舍等背街小巷、开放式小区路灯“暗改亮”工程，建成一批“五小工程”，新增停车位近千个；大力整治城市占道经营、乱停乱放、乱贴乱挂等不文明现象，有效维护了城市秩序，塑造了“路畅、街美、园净、灯亮”的城市新形象。启动“智慧永修”建设，提升城市管理服务水平。全面完成村村通硬化路和符合条件的建制村通镇村公交，提升农村低碳绿色出行。大力实施集镇提升改造工程，打造了江上南山组、白槎</w:t>
      </w:r>
      <w:proofErr w:type="gramStart"/>
      <w:r>
        <w:rPr>
          <w:rFonts w:ascii="仿宋_GB2312" w:eastAsia="仿宋_GB2312" w:hAnsi="仿宋_GB2312" w:cs="仿宋_GB2312" w:hint="eastAsia"/>
          <w:szCs w:val="32"/>
        </w:rPr>
        <w:t>坂</w:t>
      </w:r>
      <w:proofErr w:type="gramEnd"/>
      <w:r>
        <w:rPr>
          <w:rFonts w:ascii="仿宋_GB2312" w:eastAsia="仿宋_GB2312" w:hAnsi="仿宋_GB2312" w:cs="仿宋_GB2312" w:hint="eastAsia"/>
          <w:szCs w:val="32"/>
        </w:rPr>
        <w:t>上组等</w:t>
      </w:r>
      <w:r>
        <w:rPr>
          <w:rFonts w:ascii="仿宋_GB2312" w:eastAsia="仿宋_GB2312" w:hAnsi="仿宋_GB2312" w:cs="仿宋_GB2312"/>
          <w:szCs w:val="32"/>
        </w:rPr>
        <w:t>10</w:t>
      </w:r>
      <w:r>
        <w:rPr>
          <w:rFonts w:ascii="仿宋_GB2312" w:eastAsia="仿宋_GB2312" w:hAnsi="仿宋_GB2312" w:cs="仿宋_GB2312" w:hint="eastAsia"/>
          <w:szCs w:val="32"/>
        </w:rPr>
        <w:t>个乡村振兴示范村庄，云山东庄农场获选为“第二届中国美丽乡村百佳范例”。深入推进农村生活垃圾综合治理，白槎作为全省唯一整建制乡镇代表江西接受农村生活垃圾</w:t>
      </w:r>
      <w:proofErr w:type="gramStart"/>
      <w:r>
        <w:rPr>
          <w:rFonts w:ascii="仿宋_GB2312" w:eastAsia="仿宋_GB2312" w:hAnsi="仿宋_GB2312" w:cs="仿宋_GB2312" w:hint="eastAsia"/>
          <w:szCs w:val="32"/>
        </w:rPr>
        <w:t>治理国</w:t>
      </w:r>
      <w:proofErr w:type="gramEnd"/>
      <w:r>
        <w:rPr>
          <w:rFonts w:ascii="仿宋_GB2312" w:eastAsia="仿宋_GB2312" w:hAnsi="仿宋_GB2312" w:cs="仿宋_GB2312" w:hint="eastAsia"/>
          <w:szCs w:val="32"/>
        </w:rPr>
        <w:t>检，永修县新型城镇化荣获全省综合评价第二名。</w:t>
      </w:r>
    </w:p>
    <w:p w14:paraId="5F4A61EB"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生态环境质量逐步提高。</w:t>
      </w:r>
      <w:r>
        <w:rPr>
          <w:rFonts w:ascii="仿宋_GB2312" w:eastAsia="仿宋_GB2312" w:hAnsi="仿宋_GB2312" w:cs="仿宋_GB2312" w:hint="eastAsia"/>
          <w:szCs w:val="32"/>
        </w:rPr>
        <w:t>积极打造鄱阳湖最美岸线，杨</w:t>
      </w:r>
      <w:r>
        <w:rPr>
          <w:rFonts w:ascii="仿宋_GB2312" w:eastAsia="仿宋_GB2312" w:hAnsi="仿宋_GB2312" w:cs="仿宋_GB2312" w:hint="eastAsia"/>
          <w:szCs w:val="32"/>
        </w:rPr>
        <w:lastRenderedPageBreak/>
        <w:t>柳津</w:t>
      </w:r>
      <w:proofErr w:type="gramStart"/>
      <w:r>
        <w:rPr>
          <w:rFonts w:ascii="仿宋_GB2312" w:eastAsia="仿宋_GB2312" w:hAnsi="仿宋_GB2312" w:cs="仿宋_GB2312" w:hint="eastAsia"/>
          <w:szCs w:val="32"/>
        </w:rPr>
        <w:t>河劣Ⅴ</w:t>
      </w:r>
      <w:proofErr w:type="gramEnd"/>
      <w:r>
        <w:rPr>
          <w:rFonts w:ascii="仿宋_GB2312" w:eastAsia="仿宋_GB2312" w:hAnsi="仿宋_GB2312" w:cs="仿宋_GB2312" w:hint="eastAsia"/>
          <w:szCs w:val="32"/>
        </w:rPr>
        <w:t>类水整治以优异成绩顺利通过省级验收，恒丰污水处理厂建成运行，</w:t>
      </w:r>
      <w:r>
        <w:rPr>
          <w:rFonts w:eastAsia="仿宋_GB2312" w:cs="仿宋_GB2312" w:hint="eastAsia"/>
          <w:color w:val="000000"/>
          <w:spacing w:val="2"/>
          <w:szCs w:val="32"/>
        </w:rPr>
        <w:t>山水库饮用水水源地、供水公司取水口（</w:t>
      </w:r>
      <w:proofErr w:type="gramStart"/>
      <w:r>
        <w:rPr>
          <w:rFonts w:eastAsia="仿宋_GB2312" w:cs="仿宋_GB2312" w:hint="eastAsia"/>
          <w:color w:val="000000"/>
          <w:spacing w:val="2"/>
          <w:szCs w:val="32"/>
        </w:rPr>
        <w:t>潦</w:t>
      </w:r>
      <w:proofErr w:type="gramEnd"/>
      <w:r>
        <w:rPr>
          <w:rFonts w:eastAsia="仿宋_GB2312" w:cs="仿宋_GB2312" w:hint="eastAsia"/>
          <w:color w:val="000000"/>
          <w:spacing w:val="2"/>
          <w:szCs w:val="32"/>
        </w:rPr>
        <w:t>河）饮用水水源地水质达标率</w:t>
      </w:r>
      <w:r>
        <w:rPr>
          <w:rFonts w:eastAsia="仿宋_GB2312" w:cs="仿宋_GB2312"/>
          <w:color w:val="000000"/>
          <w:spacing w:val="2"/>
          <w:szCs w:val="32"/>
        </w:rPr>
        <w:t>100%</w:t>
      </w:r>
      <w:r>
        <w:rPr>
          <w:rFonts w:ascii="仿宋_GB2312" w:eastAsia="仿宋_GB2312" w:hAnsi="仿宋_GB2312" w:cs="仿宋_GB2312" w:hint="eastAsia"/>
          <w:szCs w:val="32"/>
        </w:rPr>
        <w:t>；扬尘污染、秸秆燃烧得到有效管控，餐饮油烟治理走在全市前列，全县所有粘土砖瓦窑厂全部拆除。大力推进绿色生态创建，实施昌九高速、昌九大道、城际铁路沿线绿化提升。河长制、林长制全面落实，生态环境持续改善。</w:t>
      </w:r>
    </w:p>
    <w:p w14:paraId="439B5554"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社会事业全面发展。</w:t>
      </w:r>
      <w:r>
        <w:rPr>
          <w:rFonts w:ascii="仿宋_GB2312" w:eastAsia="仿宋_GB2312" w:hAnsi="仿宋_GB2312" w:cs="仿宋_GB2312" w:hint="eastAsia"/>
          <w:szCs w:val="32"/>
        </w:rPr>
        <w:t>民生工程加快推进，社会事业全面发展，人民生活更加富足，城乡居民人均可支配收入与经济增长保持基本同步，分别达到</w:t>
      </w:r>
      <w:r>
        <w:rPr>
          <w:rFonts w:ascii="仿宋_GB2312" w:eastAsia="仿宋_GB2312" w:hAnsi="仿宋_GB2312" w:cs="仿宋_GB2312"/>
          <w:color w:val="FF0000"/>
          <w:szCs w:val="32"/>
        </w:rPr>
        <w:t>38470</w:t>
      </w:r>
      <w:r>
        <w:rPr>
          <w:rFonts w:ascii="仿宋_GB2312" w:eastAsia="仿宋_GB2312" w:hAnsi="仿宋_GB2312" w:cs="仿宋_GB2312" w:hint="eastAsia"/>
          <w:szCs w:val="32"/>
        </w:rPr>
        <w:t>元和</w:t>
      </w:r>
      <w:r>
        <w:rPr>
          <w:rFonts w:ascii="仿宋_GB2312" w:eastAsia="仿宋_GB2312" w:hAnsi="仿宋_GB2312" w:cs="仿宋_GB2312"/>
          <w:color w:val="FF0000"/>
          <w:szCs w:val="32"/>
        </w:rPr>
        <w:t>19297</w:t>
      </w:r>
      <w:r>
        <w:rPr>
          <w:rFonts w:ascii="仿宋_GB2312" w:eastAsia="仿宋_GB2312" w:hAnsi="仿宋_GB2312" w:cs="仿宋_GB2312" w:hint="eastAsia"/>
          <w:szCs w:val="32"/>
        </w:rPr>
        <w:t>元，年均增长</w:t>
      </w:r>
      <w:r>
        <w:rPr>
          <w:rFonts w:ascii="仿宋_GB2312" w:eastAsia="仿宋_GB2312" w:hAnsi="仿宋_GB2312" w:cs="仿宋_GB2312"/>
          <w:szCs w:val="32"/>
        </w:rPr>
        <w:t>7.9%</w:t>
      </w:r>
      <w:r>
        <w:rPr>
          <w:rFonts w:ascii="仿宋_GB2312" w:eastAsia="仿宋_GB2312" w:hAnsi="仿宋_GB2312" w:cs="仿宋_GB2312" w:hint="eastAsia"/>
          <w:szCs w:val="32"/>
        </w:rPr>
        <w:t>和</w:t>
      </w:r>
      <w:r>
        <w:rPr>
          <w:rFonts w:ascii="仿宋_GB2312" w:eastAsia="仿宋_GB2312" w:hAnsi="仿宋_GB2312" w:cs="仿宋_GB2312"/>
          <w:szCs w:val="32"/>
        </w:rPr>
        <w:t>8.8%</w:t>
      </w:r>
      <w:r>
        <w:rPr>
          <w:rFonts w:ascii="仿宋_GB2312" w:eastAsia="仿宋_GB2312" w:hAnsi="仿宋_GB2312" w:cs="仿宋_GB2312" w:hint="eastAsia"/>
          <w:szCs w:val="32"/>
        </w:rPr>
        <w:t>。高质量打赢脱贫攻坚战，现行标准下农村贫困人口全面脱贫，城镇脱贫群众有效解困。公办和</w:t>
      </w:r>
      <w:proofErr w:type="gramStart"/>
      <w:r>
        <w:rPr>
          <w:rFonts w:ascii="仿宋_GB2312" w:eastAsia="仿宋_GB2312" w:hAnsi="仿宋_GB2312" w:cs="仿宋_GB2312" w:hint="eastAsia"/>
          <w:szCs w:val="32"/>
        </w:rPr>
        <w:t>普惠</w:t>
      </w:r>
      <w:proofErr w:type="gramEnd"/>
      <w:r>
        <w:rPr>
          <w:rFonts w:ascii="仿宋_GB2312" w:eastAsia="仿宋_GB2312" w:hAnsi="仿宋_GB2312" w:cs="仿宋_GB2312" w:hint="eastAsia"/>
          <w:szCs w:val="32"/>
        </w:rPr>
        <w:t>性幼儿园占比分别达</w:t>
      </w:r>
      <w:r>
        <w:rPr>
          <w:rFonts w:ascii="仿宋_GB2312" w:eastAsia="仿宋_GB2312" w:hAnsi="仿宋_GB2312" w:cs="仿宋_GB2312"/>
          <w:szCs w:val="32"/>
        </w:rPr>
        <w:t>54.78%</w:t>
      </w:r>
      <w:r>
        <w:rPr>
          <w:rFonts w:ascii="仿宋_GB2312" w:eastAsia="仿宋_GB2312" w:hAnsi="仿宋_GB2312" w:cs="仿宋_GB2312" w:hint="eastAsia"/>
          <w:szCs w:val="32"/>
        </w:rPr>
        <w:t>和</w:t>
      </w:r>
      <w:r>
        <w:rPr>
          <w:rFonts w:ascii="仿宋_GB2312" w:eastAsia="仿宋_GB2312" w:hAnsi="仿宋_GB2312" w:cs="仿宋_GB2312"/>
          <w:szCs w:val="32"/>
        </w:rPr>
        <w:t>80%</w:t>
      </w:r>
      <w:r>
        <w:rPr>
          <w:rFonts w:ascii="仿宋_GB2312" w:eastAsia="仿宋_GB2312" w:hAnsi="仿宋_GB2312" w:cs="仿宋_GB2312" w:hint="eastAsia"/>
          <w:szCs w:val="32"/>
        </w:rPr>
        <w:t>，义务教育巩固率达</w:t>
      </w:r>
      <w:r>
        <w:rPr>
          <w:rFonts w:ascii="仿宋_GB2312" w:eastAsia="仿宋_GB2312" w:hAnsi="仿宋_GB2312" w:cs="仿宋_GB2312"/>
          <w:szCs w:val="32"/>
        </w:rPr>
        <w:t>100%</w:t>
      </w:r>
      <w:r>
        <w:rPr>
          <w:rFonts w:ascii="仿宋_GB2312" w:eastAsia="仿宋_GB2312" w:hAnsi="仿宋_GB2312" w:cs="仿宋_GB2312" w:hint="eastAsia"/>
          <w:szCs w:val="32"/>
        </w:rPr>
        <w:t>，高中阶段教育普及率达</w:t>
      </w:r>
      <w:r>
        <w:rPr>
          <w:rFonts w:ascii="仿宋_GB2312" w:eastAsia="仿宋_GB2312" w:hAnsi="仿宋_GB2312" w:cs="仿宋_GB2312"/>
          <w:szCs w:val="32"/>
        </w:rPr>
        <w:t>94%</w:t>
      </w:r>
      <w:r>
        <w:rPr>
          <w:rFonts w:ascii="仿宋_GB2312" w:eastAsia="仿宋_GB2312" w:hAnsi="仿宋_GB2312" w:cs="仿宋_GB2312" w:hint="eastAsia"/>
          <w:szCs w:val="32"/>
        </w:rPr>
        <w:t>。医疗卫生服务水平全面提升，全县城乡居民电子健康档案建档率为</w:t>
      </w:r>
      <w:r>
        <w:rPr>
          <w:rFonts w:ascii="仿宋_GB2312" w:eastAsia="仿宋_GB2312" w:hAnsi="仿宋_GB2312" w:cs="仿宋_GB2312"/>
          <w:szCs w:val="32"/>
        </w:rPr>
        <w:t>90%</w:t>
      </w:r>
      <w:r>
        <w:rPr>
          <w:rFonts w:ascii="仿宋_GB2312" w:eastAsia="仿宋_GB2312" w:hAnsi="仿宋_GB2312" w:cs="仿宋_GB2312" w:hint="eastAsia"/>
          <w:szCs w:val="32"/>
        </w:rPr>
        <w:t>，</w:t>
      </w:r>
      <w:r>
        <w:rPr>
          <w:rFonts w:ascii="仿宋_GB2312" w:eastAsia="仿宋_GB2312" w:hAnsi="仿宋_GB2312" w:cs="仿宋_GB2312"/>
          <w:szCs w:val="32"/>
        </w:rPr>
        <w:t>150</w:t>
      </w:r>
      <w:r>
        <w:rPr>
          <w:rFonts w:ascii="仿宋_GB2312" w:eastAsia="仿宋_GB2312" w:hAnsi="仿宋_GB2312" w:cs="仿宋_GB2312" w:hint="eastAsia"/>
          <w:szCs w:val="32"/>
        </w:rPr>
        <w:t>所村级卫生计生服务室完成公有化改造。社会救助保障标准进一步提高，两孩政策得到落实，人口计划和目标任务全面完成。文化事业加快发展，顺利通过国家公共文化服务体系示范区创建工作。社会保障提质利民，累计城镇新增就业</w:t>
      </w:r>
      <w:r>
        <w:rPr>
          <w:rFonts w:ascii="仿宋_GB2312" w:eastAsia="仿宋_GB2312" w:hAnsi="仿宋_GB2312" w:cs="仿宋_GB2312"/>
          <w:szCs w:val="32"/>
        </w:rPr>
        <w:t>1.9</w:t>
      </w:r>
      <w:r>
        <w:rPr>
          <w:rFonts w:ascii="仿宋_GB2312" w:eastAsia="仿宋_GB2312" w:hAnsi="仿宋_GB2312" w:cs="仿宋_GB2312" w:hint="eastAsia"/>
          <w:szCs w:val="32"/>
        </w:rPr>
        <w:t>万人，转移农村劳动力</w:t>
      </w:r>
      <w:r>
        <w:rPr>
          <w:rFonts w:ascii="仿宋_GB2312" w:eastAsia="仿宋_GB2312" w:hAnsi="仿宋_GB2312" w:cs="仿宋_GB2312"/>
          <w:szCs w:val="32"/>
        </w:rPr>
        <w:t>2</w:t>
      </w:r>
      <w:r>
        <w:rPr>
          <w:rFonts w:ascii="仿宋_GB2312" w:eastAsia="仿宋_GB2312" w:hAnsi="仿宋_GB2312" w:cs="仿宋_GB2312" w:hint="eastAsia"/>
          <w:szCs w:val="32"/>
        </w:rPr>
        <w:t>万余人，发放创业贷款</w:t>
      </w:r>
      <w:r>
        <w:rPr>
          <w:rFonts w:ascii="仿宋_GB2312" w:eastAsia="仿宋_GB2312" w:hAnsi="仿宋_GB2312" w:cs="仿宋_GB2312"/>
          <w:szCs w:val="32"/>
        </w:rPr>
        <w:t>18.1</w:t>
      </w:r>
      <w:r>
        <w:rPr>
          <w:rFonts w:ascii="仿宋_GB2312" w:eastAsia="仿宋_GB2312" w:hAnsi="仿宋_GB2312" w:cs="仿宋_GB2312" w:hint="eastAsia"/>
          <w:szCs w:val="32"/>
        </w:rPr>
        <w:t>亿元，城乡居民医疗保障参保率达到</w:t>
      </w:r>
      <w:r>
        <w:rPr>
          <w:rFonts w:ascii="仿宋_GB2312" w:eastAsia="仿宋_GB2312" w:hAnsi="仿宋_GB2312" w:cs="仿宋_GB2312"/>
          <w:szCs w:val="32"/>
        </w:rPr>
        <w:t>93.19%</w:t>
      </w:r>
      <w:r>
        <w:rPr>
          <w:rFonts w:ascii="仿宋_GB2312" w:eastAsia="仿宋_GB2312" w:hAnsi="仿宋_GB2312" w:cs="仿宋_GB2312" w:hint="eastAsia"/>
          <w:szCs w:val="32"/>
        </w:rPr>
        <w:t>。</w:t>
      </w:r>
    </w:p>
    <w:p w14:paraId="39255301" w14:textId="77777777" w:rsidR="00EE55DB" w:rsidRDefault="00000000">
      <w:pPr>
        <w:pStyle w:val="af0"/>
        <w:ind w:firstLineChars="0" w:firstLine="0"/>
        <w:jc w:val="center"/>
      </w:pPr>
      <w:r>
        <w:rPr>
          <w:noProof/>
        </w:rPr>
        <w:lastRenderedPageBreak/>
        <w:drawing>
          <wp:inline distT="0" distB="0" distL="114300" distR="114300" wp14:anchorId="1910222C" wp14:editId="1AFBBA25">
            <wp:extent cx="5278120" cy="2697480"/>
            <wp:effectExtent l="4445" t="4445" r="5715" b="1079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EE1EE2" w14:textId="77777777" w:rsidR="00EE55DB" w:rsidRDefault="00000000">
      <w:pPr>
        <w:ind w:firstLine="482"/>
        <w:jc w:val="center"/>
        <w:rPr>
          <w:b/>
          <w:bCs/>
          <w:sz w:val="24"/>
        </w:rPr>
      </w:pPr>
      <w:r>
        <w:rPr>
          <w:rFonts w:hint="eastAsia"/>
          <w:b/>
          <w:bCs/>
          <w:sz w:val="24"/>
        </w:rPr>
        <w:t>图</w:t>
      </w:r>
      <w:r>
        <w:rPr>
          <w:b/>
          <w:bCs/>
          <w:sz w:val="24"/>
        </w:rPr>
        <w:t>3  2015-2020</w:t>
      </w:r>
      <w:r>
        <w:rPr>
          <w:rFonts w:hint="eastAsia"/>
          <w:b/>
          <w:bCs/>
          <w:sz w:val="24"/>
        </w:rPr>
        <w:t>年永修县城乡可支配收入及增速</w:t>
      </w:r>
    </w:p>
    <w:p w14:paraId="3523B5EB" w14:textId="2DB05065" w:rsidR="00EE55DB" w:rsidRDefault="00000000">
      <w:pPr>
        <w:ind w:firstLine="640"/>
      </w:pPr>
      <w:r>
        <w:rPr>
          <w:rFonts w:ascii="仿宋_GB2312" w:eastAsia="仿宋_GB2312" w:hAnsi="仿宋_GB2312" w:cs="仿宋_GB2312" w:hint="eastAsia"/>
          <w:b/>
          <w:bCs/>
          <w:szCs w:val="32"/>
        </w:rPr>
        <w:t>社会治理不断创新。</w:t>
      </w:r>
      <w:r>
        <w:rPr>
          <w:rFonts w:ascii="仿宋_GB2312" w:eastAsia="仿宋_GB2312" w:hAnsi="仿宋_GB2312" w:cs="仿宋_GB2312" w:hint="eastAsia"/>
          <w:szCs w:val="32"/>
        </w:rPr>
        <w:t>开展防范重大风险集中攻坚，安全生产总体平稳，做到了较大以上安全事故“零发生”。严格食品药品监管，群众饮食用药安全得到保障。及时回应百姓民生问题，依法解决群众信访合理诉求，</w:t>
      </w:r>
      <w:r>
        <w:rPr>
          <w:rFonts w:ascii="仿宋_GB2312" w:eastAsia="仿宋_GB2312" w:hAnsi="仿宋_GB2312" w:cs="仿宋_GB2312"/>
          <w:szCs w:val="32"/>
        </w:rPr>
        <w:t>2015</w:t>
      </w:r>
      <w:r>
        <w:rPr>
          <w:rFonts w:ascii="仿宋_GB2312" w:eastAsia="仿宋_GB2312" w:hAnsi="仿宋_GB2312" w:cs="仿宋_GB2312" w:hint="eastAsia"/>
          <w:szCs w:val="32"/>
        </w:rPr>
        <w:t>年开始连续</w:t>
      </w:r>
      <w:r>
        <w:rPr>
          <w:rFonts w:ascii="仿宋_GB2312" w:eastAsia="仿宋_GB2312" w:hAnsi="仿宋_GB2312" w:cs="仿宋_GB2312"/>
          <w:szCs w:val="32"/>
        </w:rPr>
        <w:t>5</w:t>
      </w:r>
      <w:r>
        <w:rPr>
          <w:rFonts w:ascii="仿宋_GB2312" w:eastAsia="仿宋_GB2312" w:hAnsi="仿宋_GB2312" w:cs="仿宋_GB2312" w:hint="eastAsia"/>
          <w:szCs w:val="32"/>
        </w:rPr>
        <w:t>年荣获全省信访工作“三无”县。扎实开展安全生产八大专项整治，安全生产形势保持总体稳定。深入开展</w:t>
      </w:r>
      <w:r w:rsidR="00AA4ED8">
        <w:rPr>
          <w:rFonts w:ascii="仿宋_GB2312" w:eastAsia="仿宋_GB2312" w:hAnsi="仿宋_GB2312" w:cs="仿宋_GB2312" w:hint="eastAsia"/>
          <w:szCs w:val="32"/>
        </w:rPr>
        <w:t>扫黑除恶专项斗争</w:t>
      </w:r>
      <w:r>
        <w:rPr>
          <w:rFonts w:ascii="仿宋_GB2312" w:eastAsia="仿宋_GB2312" w:hAnsi="仿宋_GB2312" w:cs="仿宋_GB2312" w:hint="eastAsia"/>
          <w:szCs w:val="32"/>
        </w:rPr>
        <w:t>，加快推进“雪亮工程”“智能安防小区”等治安防控工程建设，公众安全感位列全市第三。</w:t>
      </w:r>
    </w:p>
    <w:p w14:paraId="3606CED7" w14:textId="77777777" w:rsidR="00EE55DB" w:rsidRDefault="00000000">
      <w:pPr>
        <w:ind w:firstLineChars="0" w:firstLine="0"/>
        <w:jc w:val="center"/>
        <w:rPr>
          <w:rFonts w:ascii="仿宋_GB2312" w:eastAsia="仿宋_GB2312" w:hAnsi="仿宋_GB2312" w:cs="仿宋_GB2312"/>
          <w:b/>
          <w:bCs/>
        </w:rPr>
      </w:pPr>
      <w:bookmarkStart w:id="9" w:name="_Toc14426"/>
      <w:r>
        <w:rPr>
          <w:rFonts w:ascii="仿宋_GB2312" w:eastAsia="仿宋_GB2312" w:hAnsi="仿宋_GB2312" w:cs="仿宋_GB2312" w:hint="eastAsia"/>
          <w:b/>
          <w:bCs/>
        </w:rPr>
        <w:t>表</w:t>
      </w:r>
      <w:r>
        <w:rPr>
          <w:rFonts w:ascii="仿宋_GB2312" w:eastAsia="仿宋_GB2312" w:hAnsi="仿宋_GB2312" w:cs="仿宋_GB2312"/>
          <w:b/>
          <w:bCs/>
        </w:rPr>
        <w:t xml:space="preserve">1 </w:t>
      </w:r>
      <w:r>
        <w:rPr>
          <w:rFonts w:ascii="仿宋_GB2312" w:eastAsia="仿宋_GB2312" w:hAnsi="仿宋_GB2312" w:cs="仿宋_GB2312" w:hint="eastAsia"/>
          <w:b/>
          <w:bCs/>
        </w:rPr>
        <w:t>永修县“十三五”规划主要指标完成情况表</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1188"/>
        <w:gridCol w:w="1188"/>
        <w:gridCol w:w="1110"/>
        <w:gridCol w:w="900"/>
        <w:gridCol w:w="1090"/>
        <w:gridCol w:w="900"/>
        <w:gridCol w:w="684"/>
      </w:tblGrid>
      <w:tr w:rsidR="00EE55DB" w14:paraId="4F298414" w14:textId="77777777">
        <w:trPr>
          <w:trHeight w:val="312"/>
          <w:tblHeader/>
          <w:jc w:val="center"/>
        </w:trPr>
        <w:tc>
          <w:tcPr>
            <w:tcW w:w="2205" w:type="dxa"/>
            <w:vMerge w:val="restart"/>
            <w:vAlign w:val="center"/>
          </w:tcPr>
          <w:p w14:paraId="3E39D91C"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指标名称</w:t>
            </w:r>
          </w:p>
        </w:tc>
        <w:tc>
          <w:tcPr>
            <w:tcW w:w="1188" w:type="dxa"/>
            <w:vMerge w:val="restart"/>
            <w:vAlign w:val="center"/>
          </w:tcPr>
          <w:p w14:paraId="4C4ADA31" w14:textId="77777777" w:rsidR="00EE55DB" w:rsidRDefault="00000000">
            <w:pPr>
              <w:widowControl/>
              <w:adjustRightInd w:val="0"/>
              <w:snapToGrid w:val="0"/>
              <w:spacing w:line="300" w:lineRule="auto"/>
              <w:ind w:firstLineChars="0" w:firstLine="0"/>
              <w:jc w:val="center"/>
              <w:rPr>
                <w:rFonts w:eastAsia="宋体"/>
                <w:sz w:val="21"/>
                <w:szCs w:val="21"/>
              </w:rPr>
            </w:pPr>
            <w:r>
              <w:rPr>
                <w:rFonts w:eastAsia="宋体"/>
                <w:b/>
                <w:bCs/>
                <w:sz w:val="21"/>
                <w:szCs w:val="21"/>
              </w:rPr>
              <w:t>2015</w:t>
            </w:r>
            <w:r>
              <w:rPr>
                <w:rFonts w:eastAsia="宋体" w:hint="eastAsia"/>
                <w:b/>
                <w:bCs/>
                <w:sz w:val="21"/>
                <w:szCs w:val="21"/>
              </w:rPr>
              <w:t>年</w:t>
            </w:r>
          </w:p>
        </w:tc>
        <w:tc>
          <w:tcPr>
            <w:tcW w:w="2298" w:type="dxa"/>
            <w:gridSpan w:val="2"/>
            <w:vAlign w:val="center"/>
          </w:tcPr>
          <w:p w14:paraId="6EA16D87"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b/>
                <w:bCs/>
                <w:sz w:val="21"/>
                <w:szCs w:val="21"/>
              </w:rPr>
              <w:t>2020</w:t>
            </w:r>
            <w:r>
              <w:rPr>
                <w:rFonts w:eastAsia="宋体" w:hint="eastAsia"/>
                <w:b/>
                <w:bCs/>
                <w:sz w:val="21"/>
                <w:szCs w:val="21"/>
              </w:rPr>
              <w:t>年</w:t>
            </w:r>
          </w:p>
        </w:tc>
        <w:tc>
          <w:tcPr>
            <w:tcW w:w="1990" w:type="dxa"/>
            <w:gridSpan w:val="2"/>
            <w:vAlign w:val="center"/>
          </w:tcPr>
          <w:p w14:paraId="41F3CB2E"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“十三五”累计或年均增长（</w:t>
            </w:r>
            <w:r>
              <w:rPr>
                <w:rFonts w:eastAsia="宋体"/>
                <w:b/>
                <w:bCs/>
                <w:sz w:val="21"/>
                <w:szCs w:val="21"/>
              </w:rPr>
              <w:t>%</w:t>
            </w:r>
            <w:r>
              <w:rPr>
                <w:rFonts w:eastAsia="宋体" w:hint="eastAsia"/>
                <w:b/>
                <w:bCs/>
                <w:sz w:val="21"/>
                <w:szCs w:val="21"/>
              </w:rPr>
              <w:t>）</w:t>
            </w:r>
          </w:p>
        </w:tc>
        <w:tc>
          <w:tcPr>
            <w:tcW w:w="900" w:type="dxa"/>
            <w:vMerge w:val="restart"/>
            <w:vAlign w:val="center"/>
          </w:tcPr>
          <w:p w14:paraId="40C6765B"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属性</w:t>
            </w:r>
          </w:p>
        </w:tc>
        <w:tc>
          <w:tcPr>
            <w:tcW w:w="684" w:type="dxa"/>
            <w:vMerge w:val="restart"/>
            <w:vAlign w:val="center"/>
          </w:tcPr>
          <w:p w14:paraId="18B76850"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完成情况</w:t>
            </w:r>
          </w:p>
        </w:tc>
      </w:tr>
      <w:tr w:rsidR="00EE55DB" w14:paraId="56972145" w14:textId="77777777">
        <w:trPr>
          <w:trHeight w:val="312"/>
          <w:tblHeader/>
          <w:jc w:val="center"/>
        </w:trPr>
        <w:tc>
          <w:tcPr>
            <w:tcW w:w="2205" w:type="dxa"/>
            <w:vMerge/>
            <w:vAlign w:val="center"/>
          </w:tcPr>
          <w:p w14:paraId="06BCC3E4" w14:textId="77777777" w:rsidR="00EE55DB" w:rsidRDefault="00EE55DB">
            <w:pPr>
              <w:widowControl/>
              <w:adjustRightInd w:val="0"/>
              <w:snapToGrid w:val="0"/>
              <w:spacing w:line="300" w:lineRule="auto"/>
              <w:ind w:firstLineChars="0" w:firstLine="0"/>
              <w:jc w:val="center"/>
              <w:rPr>
                <w:rFonts w:eastAsia="宋体"/>
                <w:sz w:val="21"/>
                <w:szCs w:val="21"/>
              </w:rPr>
            </w:pPr>
          </w:p>
        </w:tc>
        <w:tc>
          <w:tcPr>
            <w:tcW w:w="1188" w:type="dxa"/>
            <w:vMerge/>
            <w:vAlign w:val="center"/>
          </w:tcPr>
          <w:p w14:paraId="12B3C664" w14:textId="77777777" w:rsidR="00EE55DB" w:rsidRDefault="00EE55DB">
            <w:pPr>
              <w:widowControl/>
              <w:adjustRightInd w:val="0"/>
              <w:snapToGrid w:val="0"/>
              <w:spacing w:line="300" w:lineRule="auto"/>
              <w:ind w:firstLineChars="0" w:firstLine="0"/>
              <w:jc w:val="center"/>
              <w:rPr>
                <w:rFonts w:eastAsia="宋体"/>
                <w:sz w:val="21"/>
                <w:szCs w:val="21"/>
              </w:rPr>
            </w:pPr>
          </w:p>
        </w:tc>
        <w:tc>
          <w:tcPr>
            <w:tcW w:w="1188" w:type="dxa"/>
            <w:vAlign w:val="center"/>
          </w:tcPr>
          <w:p w14:paraId="15CEA586"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预期值</w:t>
            </w:r>
          </w:p>
        </w:tc>
        <w:tc>
          <w:tcPr>
            <w:tcW w:w="1110" w:type="dxa"/>
            <w:vAlign w:val="center"/>
          </w:tcPr>
          <w:p w14:paraId="33B0CC30"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规划目标</w:t>
            </w:r>
          </w:p>
        </w:tc>
        <w:tc>
          <w:tcPr>
            <w:tcW w:w="900" w:type="dxa"/>
            <w:vAlign w:val="center"/>
          </w:tcPr>
          <w:p w14:paraId="2096245B"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预期值</w:t>
            </w:r>
          </w:p>
        </w:tc>
        <w:tc>
          <w:tcPr>
            <w:tcW w:w="1090" w:type="dxa"/>
            <w:vAlign w:val="center"/>
          </w:tcPr>
          <w:p w14:paraId="3AFD8582" w14:textId="77777777" w:rsidR="00EE55DB" w:rsidRDefault="00000000">
            <w:pPr>
              <w:widowControl/>
              <w:adjustRightInd w:val="0"/>
              <w:snapToGrid w:val="0"/>
              <w:spacing w:line="300" w:lineRule="auto"/>
              <w:ind w:firstLineChars="0" w:firstLine="0"/>
              <w:jc w:val="center"/>
              <w:rPr>
                <w:rFonts w:eastAsia="宋体"/>
                <w:b/>
                <w:bCs/>
                <w:sz w:val="21"/>
                <w:szCs w:val="21"/>
              </w:rPr>
            </w:pPr>
            <w:r>
              <w:rPr>
                <w:rFonts w:eastAsia="宋体" w:hint="eastAsia"/>
                <w:b/>
                <w:bCs/>
                <w:sz w:val="21"/>
                <w:szCs w:val="21"/>
              </w:rPr>
              <w:t>规划目标</w:t>
            </w:r>
          </w:p>
        </w:tc>
        <w:tc>
          <w:tcPr>
            <w:tcW w:w="900" w:type="dxa"/>
            <w:vMerge/>
            <w:vAlign w:val="center"/>
          </w:tcPr>
          <w:p w14:paraId="2AF7ACE3" w14:textId="77777777" w:rsidR="00EE55DB" w:rsidRDefault="00EE55DB">
            <w:pPr>
              <w:widowControl/>
              <w:adjustRightInd w:val="0"/>
              <w:snapToGrid w:val="0"/>
              <w:spacing w:line="300" w:lineRule="auto"/>
              <w:ind w:firstLineChars="0" w:firstLine="0"/>
              <w:jc w:val="center"/>
              <w:rPr>
                <w:rFonts w:eastAsia="宋体"/>
                <w:sz w:val="21"/>
                <w:szCs w:val="21"/>
              </w:rPr>
            </w:pPr>
          </w:p>
        </w:tc>
        <w:tc>
          <w:tcPr>
            <w:tcW w:w="684" w:type="dxa"/>
            <w:vMerge/>
            <w:vAlign w:val="center"/>
          </w:tcPr>
          <w:p w14:paraId="7AB04013" w14:textId="77777777" w:rsidR="00EE55DB" w:rsidRDefault="00EE55DB">
            <w:pPr>
              <w:widowControl/>
              <w:adjustRightInd w:val="0"/>
              <w:snapToGrid w:val="0"/>
              <w:spacing w:line="300" w:lineRule="auto"/>
              <w:ind w:firstLineChars="0" w:firstLine="0"/>
              <w:jc w:val="center"/>
              <w:rPr>
                <w:rFonts w:eastAsia="宋体"/>
                <w:sz w:val="21"/>
                <w:szCs w:val="21"/>
              </w:rPr>
            </w:pPr>
          </w:p>
        </w:tc>
      </w:tr>
      <w:tr w:rsidR="00EE55DB" w14:paraId="6037DDB9" w14:textId="77777777">
        <w:trPr>
          <w:trHeight w:val="312"/>
          <w:tblHeader/>
          <w:jc w:val="center"/>
        </w:trPr>
        <w:tc>
          <w:tcPr>
            <w:tcW w:w="2205" w:type="dxa"/>
            <w:vAlign w:val="center"/>
          </w:tcPr>
          <w:p w14:paraId="7EE4446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地区生产总值（亿元）</w:t>
            </w:r>
          </w:p>
        </w:tc>
        <w:tc>
          <w:tcPr>
            <w:tcW w:w="1188" w:type="dxa"/>
            <w:vAlign w:val="center"/>
          </w:tcPr>
          <w:p w14:paraId="1620482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121.25</w:t>
            </w:r>
          </w:p>
        </w:tc>
        <w:tc>
          <w:tcPr>
            <w:tcW w:w="1188" w:type="dxa"/>
            <w:vAlign w:val="center"/>
          </w:tcPr>
          <w:p w14:paraId="6F7CF760" w14:textId="77777777" w:rsidR="00EE55DB" w:rsidRDefault="00000000">
            <w:pPr>
              <w:widowControl/>
              <w:adjustRightInd w:val="0"/>
              <w:snapToGrid w:val="0"/>
              <w:spacing w:line="240" w:lineRule="auto"/>
              <w:ind w:firstLineChars="0" w:firstLine="0"/>
              <w:jc w:val="center"/>
              <w:rPr>
                <w:rFonts w:eastAsia="宋体"/>
                <w:color w:val="FF0000"/>
                <w:sz w:val="21"/>
                <w:szCs w:val="21"/>
              </w:rPr>
            </w:pPr>
            <w:r>
              <w:rPr>
                <w:rFonts w:eastAsia="宋体"/>
                <w:color w:val="FF0000"/>
                <w:sz w:val="21"/>
                <w:szCs w:val="21"/>
              </w:rPr>
              <w:t>250.62</w:t>
            </w:r>
          </w:p>
        </w:tc>
        <w:tc>
          <w:tcPr>
            <w:tcW w:w="1110" w:type="dxa"/>
            <w:vAlign w:val="center"/>
          </w:tcPr>
          <w:p w14:paraId="282B1DB4"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195</w:t>
            </w:r>
          </w:p>
        </w:tc>
        <w:tc>
          <w:tcPr>
            <w:tcW w:w="900" w:type="dxa"/>
            <w:vAlign w:val="center"/>
          </w:tcPr>
          <w:p w14:paraId="191F57BD" w14:textId="77777777" w:rsidR="00EE55DB" w:rsidRDefault="00000000">
            <w:pPr>
              <w:widowControl/>
              <w:adjustRightInd w:val="0"/>
              <w:snapToGrid w:val="0"/>
              <w:spacing w:line="240" w:lineRule="auto"/>
              <w:ind w:firstLineChars="0" w:firstLine="0"/>
              <w:jc w:val="center"/>
              <w:rPr>
                <w:rFonts w:eastAsia="宋体"/>
                <w:color w:val="FF0000"/>
                <w:sz w:val="21"/>
                <w:szCs w:val="21"/>
              </w:rPr>
            </w:pPr>
            <w:r>
              <w:rPr>
                <w:rFonts w:eastAsia="宋体"/>
                <w:color w:val="FF0000"/>
                <w:sz w:val="21"/>
                <w:szCs w:val="21"/>
              </w:rPr>
              <w:t>15.6</w:t>
            </w:r>
          </w:p>
        </w:tc>
        <w:tc>
          <w:tcPr>
            <w:tcW w:w="1090" w:type="dxa"/>
            <w:vAlign w:val="center"/>
          </w:tcPr>
          <w:p w14:paraId="62759CD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w:t>
            </w:r>
          </w:p>
        </w:tc>
        <w:tc>
          <w:tcPr>
            <w:tcW w:w="900" w:type="dxa"/>
            <w:vAlign w:val="center"/>
          </w:tcPr>
          <w:p w14:paraId="550FB4C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5696549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4E545A4D" w14:textId="77777777">
        <w:trPr>
          <w:trHeight w:val="312"/>
          <w:tblHeader/>
          <w:jc w:val="center"/>
        </w:trPr>
        <w:tc>
          <w:tcPr>
            <w:tcW w:w="2205" w:type="dxa"/>
            <w:vAlign w:val="center"/>
          </w:tcPr>
          <w:p w14:paraId="5A41FD3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人均生产总值（元）</w:t>
            </w:r>
          </w:p>
        </w:tc>
        <w:tc>
          <w:tcPr>
            <w:tcW w:w="1188" w:type="dxa"/>
            <w:vAlign w:val="center"/>
          </w:tcPr>
          <w:p w14:paraId="309CF0B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32560</w:t>
            </w:r>
          </w:p>
        </w:tc>
        <w:tc>
          <w:tcPr>
            <w:tcW w:w="1188" w:type="dxa"/>
            <w:vAlign w:val="center"/>
          </w:tcPr>
          <w:p w14:paraId="0FCC6BD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69518</w:t>
            </w:r>
          </w:p>
        </w:tc>
        <w:tc>
          <w:tcPr>
            <w:tcW w:w="1110" w:type="dxa"/>
            <w:vAlign w:val="center"/>
          </w:tcPr>
          <w:p w14:paraId="3052B1A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51710</w:t>
            </w:r>
          </w:p>
        </w:tc>
        <w:tc>
          <w:tcPr>
            <w:tcW w:w="900" w:type="dxa"/>
            <w:vAlign w:val="center"/>
          </w:tcPr>
          <w:p w14:paraId="6F7678F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16.4</w:t>
            </w:r>
          </w:p>
        </w:tc>
        <w:tc>
          <w:tcPr>
            <w:tcW w:w="1090" w:type="dxa"/>
            <w:vAlign w:val="center"/>
          </w:tcPr>
          <w:p w14:paraId="2F0B43A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9.7</w:t>
            </w:r>
          </w:p>
        </w:tc>
        <w:tc>
          <w:tcPr>
            <w:tcW w:w="900" w:type="dxa"/>
            <w:vAlign w:val="center"/>
          </w:tcPr>
          <w:p w14:paraId="5E2FC9E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6A620B3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61878D15" w14:textId="77777777">
        <w:trPr>
          <w:trHeight w:val="312"/>
          <w:tblHeader/>
          <w:jc w:val="center"/>
        </w:trPr>
        <w:tc>
          <w:tcPr>
            <w:tcW w:w="2205" w:type="dxa"/>
            <w:vAlign w:val="center"/>
          </w:tcPr>
          <w:p w14:paraId="15190D5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财政总收入（亿元）</w:t>
            </w:r>
          </w:p>
        </w:tc>
        <w:tc>
          <w:tcPr>
            <w:tcW w:w="1188" w:type="dxa"/>
            <w:vAlign w:val="center"/>
          </w:tcPr>
          <w:p w14:paraId="7D21CCD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21.52</w:t>
            </w:r>
          </w:p>
        </w:tc>
        <w:tc>
          <w:tcPr>
            <w:tcW w:w="1188" w:type="dxa"/>
            <w:vAlign w:val="center"/>
          </w:tcPr>
          <w:p w14:paraId="14BC7F8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30.76</w:t>
            </w:r>
          </w:p>
        </w:tc>
        <w:tc>
          <w:tcPr>
            <w:tcW w:w="1110" w:type="dxa"/>
            <w:vAlign w:val="center"/>
          </w:tcPr>
          <w:p w14:paraId="1E75C1C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32</w:t>
            </w:r>
          </w:p>
        </w:tc>
        <w:tc>
          <w:tcPr>
            <w:tcW w:w="900" w:type="dxa"/>
            <w:vAlign w:val="center"/>
          </w:tcPr>
          <w:p w14:paraId="2696BCD1" w14:textId="77777777" w:rsidR="00EE55DB" w:rsidRDefault="00000000">
            <w:pPr>
              <w:widowControl/>
              <w:tabs>
                <w:tab w:val="left" w:pos="224"/>
              </w:tabs>
              <w:adjustRightInd w:val="0"/>
              <w:snapToGrid w:val="0"/>
              <w:spacing w:line="240" w:lineRule="auto"/>
              <w:ind w:firstLineChars="0" w:firstLine="0"/>
              <w:jc w:val="center"/>
              <w:rPr>
                <w:rFonts w:eastAsia="宋体"/>
                <w:sz w:val="21"/>
                <w:szCs w:val="21"/>
              </w:rPr>
            </w:pPr>
            <w:r>
              <w:rPr>
                <w:rFonts w:eastAsia="宋体"/>
                <w:sz w:val="21"/>
                <w:szCs w:val="21"/>
              </w:rPr>
              <w:t>7.4</w:t>
            </w:r>
          </w:p>
        </w:tc>
        <w:tc>
          <w:tcPr>
            <w:tcW w:w="1090" w:type="dxa"/>
            <w:vAlign w:val="center"/>
          </w:tcPr>
          <w:p w14:paraId="7FD65E2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8.5</w:t>
            </w:r>
          </w:p>
        </w:tc>
        <w:tc>
          <w:tcPr>
            <w:tcW w:w="900" w:type="dxa"/>
            <w:vAlign w:val="center"/>
          </w:tcPr>
          <w:p w14:paraId="5DE6581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68CED32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接近完成</w:t>
            </w:r>
          </w:p>
        </w:tc>
      </w:tr>
      <w:tr w:rsidR="00EE55DB" w14:paraId="0A5C1911" w14:textId="77777777">
        <w:trPr>
          <w:trHeight w:val="312"/>
          <w:tblHeader/>
          <w:jc w:val="center"/>
        </w:trPr>
        <w:tc>
          <w:tcPr>
            <w:tcW w:w="2205" w:type="dxa"/>
            <w:vAlign w:val="center"/>
          </w:tcPr>
          <w:p w14:paraId="283C398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地方公共预算财政收入（亿元）</w:t>
            </w:r>
          </w:p>
        </w:tc>
        <w:tc>
          <w:tcPr>
            <w:tcW w:w="1188" w:type="dxa"/>
            <w:vAlign w:val="center"/>
          </w:tcPr>
          <w:p w14:paraId="2977637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17.16</w:t>
            </w:r>
          </w:p>
        </w:tc>
        <w:tc>
          <w:tcPr>
            <w:tcW w:w="1188" w:type="dxa"/>
            <w:vAlign w:val="center"/>
          </w:tcPr>
          <w:p w14:paraId="642F458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18.90</w:t>
            </w:r>
          </w:p>
        </w:tc>
        <w:tc>
          <w:tcPr>
            <w:tcW w:w="1110" w:type="dxa"/>
            <w:vAlign w:val="center"/>
          </w:tcPr>
          <w:p w14:paraId="048C78C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20</w:t>
            </w:r>
          </w:p>
        </w:tc>
        <w:tc>
          <w:tcPr>
            <w:tcW w:w="900" w:type="dxa"/>
            <w:vAlign w:val="center"/>
          </w:tcPr>
          <w:p w14:paraId="1C0277D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w:t>
            </w:r>
          </w:p>
        </w:tc>
        <w:tc>
          <w:tcPr>
            <w:tcW w:w="1090" w:type="dxa"/>
            <w:vAlign w:val="center"/>
          </w:tcPr>
          <w:p w14:paraId="25BC04C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12.8</w:t>
            </w:r>
          </w:p>
        </w:tc>
        <w:tc>
          <w:tcPr>
            <w:tcW w:w="900" w:type="dxa"/>
            <w:vAlign w:val="center"/>
          </w:tcPr>
          <w:p w14:paraId="39108E2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4B294C2C"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接近完成</w:t>
            </w:r>
          </w:p>
        </w:tc>
      </w:tr>
      <w:tr w:rsidR="00EE55DB" w14:paraId="5F0CBC1F" w14:textId="77777777">
        <w:trPr>
          <w:trHeight w:val="312"/>
          <w:tblHeader/>
          <w:jc w:val="center"/>
        </w:trPr>
        <w:tc>
          <w:tcPr>
            <w:tcW w:w="2205" w:type="dxa"/>
            <w:vAlign w:val="center"/>
          </w:tcPr>
          <w:p w14:paraId="0A3A55E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500</w:t>
            </w:r>
            <w:r>
              <w:rPr>
                <w:rFonts w:eastAsia="宋体" w:hint="eastAsia"/>
                <w:sz w:val="21"/>
                <w:szCs w:val="21"/>
              </w:rPr>
              <w:t>万元以上固定资产投资增速（</w:t>
            </w:r>
            <w:r>
              <w:rPr>
                <w:rFonts w:eastAsia="宋体"/>
                <w:sz w:val="21"/>
                <w:szCs w:val="21"/>
              </w:rPr>
              <w:t>%</w:t>
            </w:r>
            <w:r>
              <w:rPr>
                <w:rFonts w:eastAsia="宋体" w:hint="eastAsia"/>
                <w:sz w:val="21"/>
                <w:szCs w:val="21"/>
              </w:rPr>
              <w:t>）</w:t>
            </w:r>
          </w:p>
        </w:tc>
        <w:tc>
          <w:tcPr>
            <w:tcW w:w="1188" w:type="dxa"/>
            <w:vAlign w:val="center"/>
          </w:tcPr>
          <w:p w14:paraId="7AFF3A2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19.6</w:t>
            </w:r>
          </w:p>
        </w:tc>
        <w:tc>
          <w:tcPr>
            <w:tcW w:w="1188" w:type="dxa"/>
            <w:vAlign w:val="center"/>
          </w:tcPr>
          <w:p w14:paraId="2C66572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9.6</w:t>
            </w:r>
          </w:p>
        </w:tc>
        <w:tc>
          <w:tcPr>
            <w:tcW w:w="1110" w:type="dxa"/>
            <w:vAlign w:val="center"/>
          </w:tcPr>
          <w:p w14:paraId="6D29AE7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16</w:t>
            </w:r>
          </w:p>
        </w:tc>
        <w:tc>
          <w:tcPr>
            <w:tcW w:w="900" w:type="dxa"/>
            <w:vAlign w:val="center"/>
          </w:tcPr>
          <w:p w14:paraId="7316A90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9.6</w:t>
            </w:r>
          </w:p>
        </w:tc>
        <w:tc>
          <w:tcPr>
            <w:tcW w:w="1090" w:type="dxa"/>
            <w:vAlign w:val="center"/>
          </w:tcPr>
          <w:p w14:paraId="47603CF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16</w:t>
            </w:r>
          </w:p>
        </w:tc>
        <w:tc>
          <w:tcPr>
            <w:tcW w:w="900" w:type="dxa"/>
            <w:vAlign w:val="center"/>
          </w:tcPr>
          <w:p w14:paraId="520F1F6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2934863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r>
      <w:tr w:rsidR="00EE55DB" w14:paraId="32444E69" w14:textId="77777777">
        <w:trPr>
          <w:trHeight w:val="312"/>
          <w:tblHeader/>
          <w:jc w:val="center"/>
        </w:trPr>
        <w:tc>
          <w:tcPr>
            <w:tcW w:w="2205" w:type="dxa"/>
            <w:vAlign w:val="center"/>
          </w:tcPr>
          <w:p w14:paraId="0699E58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lastRenderedPageBreak/>
              <w:t>社会消费品零售总额（亿元）</w:t>
            </w:r>
          </w:p>
        </w:tc>
        <w:tc>
          <w:tcPr>
            <w:tcW w:w="1188" w:type="dxa"/>
            <w:vAlign w:val="center"/>
          </w:tcPr>
          <w:p w14:paraId="5908287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32.87</w:t>
            </w:r>
          </w:p>
        </w:tc>
        <w:tc>
          <w:tcPr>
            <w:tcW w:w="1188" w:type="dxa"/>
            <w:vAlign w:val="center"/>
          </w:tcPr>
          <w:p w14:paraId="290539B2" w14:textId="77777777" w:rsidR="00EE55DB" w:rsidRDefault="00000000">
            <w:pPr>
              <w:widowControl/>
              <w:adjustRightInd w:val="0"/>
              <w:snapToGrid w:val="0"/>
              <w:spacing w:line="240" w:lineRule="auto"/>
              <w:ind w:firstLineChars="0" w:firstLine="0"/>
              <w:jc w:val="center"/>
              <w:rPr>
                <w:rFonts w:eastAsia="宋体"/>
                <w:color w:val="FF0000"/>
                <w:sz w:val="21"/>
                <w:szCs w:val="21"/>
              </w:rPr>
            </w:pPr>
            <w:r>
              <w:rPr>
                <w:rFonts w:eastAsia="宋体"/>
                <w:color w:val="FF0000"/>
                <w:sz w:val="21"/>
                <w:szCs w:val="21"/>
              </w:rPr>
              <w:t>78.02</w:t>
            </w:r>
          </w:p>
        </w:tc>
        <w:tc>
          <w:tcPr>
            <w:tcW w:w="1110" w:type="dxa"/>
            <w:vAlign w:val="center"/>
          </w:tcPr>
          <w:p w14:paraId="48831AA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75</w:t>
            </w:r>
          </w:p>
        </w:tc>
        <w:tc>
          <w:tcPr>
            <w:tcW w:w="900" w:type="dxa"/>
            <w:vAlign w:val="center"/>
          </w:tcPr>
          <w:p w14:paraId="68A38E2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18.6</w:t>
            </w:r>
          </w:p>
        </w:tc>
        <w:tc>
          <w:tcPr>
            <w:tcW w:w="1090" w:type="dxa"/>
            <w:vAlign w:val="center"/>
          </w:tcPr>
          <w:p w14:paraId="6592560C"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19.6</w:t>
            </w:r>
          </w:p>
        </w:tc>
        <w:tc>
          <w:tcPr>
            <w:tcW w:w="900" w:type="dxa"/>
            <w:vAlign w:val="center"/>
          </w:tcPr>
          <w:p w14:paraId="39FBF44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11D84E6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15386FB3" w14:textId="77777777">
        <w:trPr>
          <w:trHeight w:val="312"/>
          <w:tblHeader/>
          <w:jc w:val="center"/>
        </w:trPr>
        <w:tc>
          <w:tcPr>
            <w:tcW w:w="2205" w:type="dxa"/>
            <w:vAlign w:val="center"/>
          </w:tcPr>
          <w:p w14:paraId="0180E43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城镇化率（</w:t>
            </w:r>
            <w:r>
              <w:rPr>
                <w:rFonts w:eastAsia="宋体"/>
                <w:sz w:val="21"/>
                <w:szCs w:val="21"/>
              </w:rPr>
              <w:t>%</w:t>
            </w:r>
            <w:r>
              <w:rPr>
                <w:rFonts w:eastAsia="宋体" w:hint="eastAsia"/>
                <w:sz w:val="21"/>
                <w:szCs w:val="21"/>
              </w:rPr>
              <w:t>）</w:t>
            </w:r>
          </w:p>
        </w:tc>
        <w:tc>
          <w:tcPr>
            <w:tcW w:w="1188" w:type="dxa"/>
            <w:vAlign w:val="center"/>
          </w:tcPr>
          <w:p w14:paraId="48BF01A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50.74</w:t>
            </w:r>
          </w:p>
        </w:tc>
        <w:tc>
          <w:tcPr>
            <w:tcW w:w="1188" w:type="dxa"/>
            <w:vAlign w:val="center"/>
          </w:tcPr>
          <w:p w14:paraId="62AFDD1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58</w:t>
            </w:r>
          </w:p>
        </w:tc>
        <w:tc>
          <w:tcPr>
            <w:tcW w:w="1110" w:type="dxa"/>
            <w:vAlign w:val="center"/>
          </w:tcPr>
          <w:p w14:paraId="0FC22DE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54</w:t>
            </w:r>
          </w:p>
        </w:tc>
        <w:tc>
          <w:tcPr>
            <w:tcW w:w="900" w:type="dxa"/>
            <w:vAlign w:val="center"/>
          </w:tcPr>
          <w:p w14:paraId="2767A94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2.7</w:t>
            </w:r>
          </w:p>
        </w:tc>
        <w:tc>
          <w:tcPr>
            <w:tcW w:w="1090" w:type="dxa"/>
            <w:vAlign w:val="center"/>
          </w:tcPr>
          <w:p w14:paraId="4ED5984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1.3</w:t>
            </w:r>
          </w:p>
        </w:tc>
        <w:tc>
          <w:tcPr>
            <w:tcW w:w="900" w:type="dxa"/>
            <w:vAlign w:val="center"/>
          </w:tcPr>
          <w:p w14:paraId="7340B2D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1418C48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32A25F1B" w14:textId="77777777">
        <w:trPr>
          <w:trHeight w:val="312"/>
          <w:tblHeader/>
          <w:jc w:val="center"/>
        </w:trPr>
        <w:tc>
          <w:tcPr>
            <w:tcW w:w="2205" w:type="dxa"/>
            <w:vAlign w:val="center"/>
          </w:tcPr>
          <w:p w14:paraId="3121D4C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三次产业结构</w:t>
            </w:r>
          </w:p>
        </w:tc>
        <w:tc>
          <w:tcPr>
            <w:tcW w:w="1188" w:type="dxa"/>
            <w:vAlign w:val="center"/>
          </w:tcPr>
          <w:p w14:paraId="79ECE3A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11.8</w:t>
            </w:r>
            <w:r>
              <w:rPr>
                <w:rFonts w:eastAsia="宋体" w:hint="eastAsia"/>
                <w:sz w:val="21"/>
                <w:szCs w:val="21"/>
              </w:rPr>
              <w:t>：</w:t>
            </w:r>
            <w:r>
              <w:rPr>
                <w:rFonts w:eastAsia="宋体"/>
                <w:sz w:val="21"/>
                <w:szCs w:val="21"/>
              </w:rPr>
              <w:t>64.4</w:t>
            </w:r>
            <w:r>
              <w:rPr>
                <w:rFonts w:eastAsia="宋体" w:hint="eastAsia"/>
                <w:sz w:val="21"/>
                <w:szCs w:val="21"/>
              </w:rPr>
              <w:t>：</w:t>
            </w:r>
            <w:r>
              <w:rPr>
                <w:rFonts w:eastAsia="宋体"/>
                <w:sz w:val="21"/>
                <w:szCs w:val="21"/>
              </w:rPr>
              <w:t>23.8</w:t>
            </w:r>
          </w:p>
        </w:tc>
        <w:tc>
          <w:tcPr>
            <w:tcW w:w="1188" w:type="dxa"/>
            <w:vAlign w:val="center"/>
          </w:tcPr>
          <w:p w14:paraId="0FE7810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w:t>
            </w:r>
            <w:r>
              <w:rPr>
                <w:rFonts w:eastAsia="宋体" w:hint="eastAsia"/>
                <w:sz w:val="21"/>
                <w:szCs w:val="21"/>
              </w:rPr>
              <w:t>：</w:t>
            </w:r>
            <w:r>
              <w:rPr>
                <w:rFonts w:eastAsia="宋体"/>
                <w:sz w:val="21"/>
                <w:szCs w:val="21"/>
              </w:rPr>
              <w:t>54</w:t>
            </w:r>
            <w:r>
              <w:rPr>
                <w:rFonts w:eastAsia="宋体" w:hint="eastAsia"/>
                <w:sz w:val="21"/>
                <w:szCs w:val="21"/>
              </w:rPr>
              <w:t>：</w:t>
            </w:r>
            <w:r>
              <w:rPr>
                <w:rFonts w:eastAsia="宋体"/>
                <w:sz w:val="21"/>
                <w:szCs w:val="21"/>
              </w:rPr>
              <w:t>36</w:t>
            </w:r>
          </w:p>
        </w:tc>
        <w:tc>
          <w:tcPr>
            <w:tcW w:w="1110" w:type="dxa"/>
            <w:vAlign w:val="center"/>
          </w:tcPr>
          <w:p w14:paraId="3F4E867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8</w:t>
            </w:r>
            <w:r>
              <w:rPr>
                <w:rFonts w:eastAsia="宋体" w:hint="eastAsia"/>
                <w:sz w:val="21"/>
                <w:szCs w:val="21"/>
              </w:rPr>
              <w:t>：</w:t>
            </w:r>
            <w:r>
              <w:rPr>
                <w:rFonts w:eastAsia="宋体"/>
                <w:sz w:val="21"/>
                <w:szCs w:val="21"/>
              </w:rPr>
              <w:t>60</w:t>
            </w:r>
            <w:r>
              <w:rPr>
                <w:rFonts w:eastAsia="宋体" w:hint="eastAsia"/>
                <w:sz w:val="21"/>
                <w:szCs w:val="21"/>
              </w:rPr>
              <w:t>：</w:t>
            </w:r>
            <w:r>
              <w:rPr>
                <w:rFonts w:eastAsia="宋体"/>
                <w:sz w:val="21"/>
                <w:szCs w:val="21"/>
              </w:rPr>
              <w:t>32</w:t>
            </w:r>
          </w:p>
        </w:tc>
        <w:tc>
          <w:tcPr>
            <w:tcW w:w="900" w:type="dxa"/>
            <w:vAlign w:val="center"/>
          </w:tcPr>
          <w:p w14:paraId="428A878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c>
          <w:tcPr>
            <w:tcW w:w="1090" w:type="dxa"/>
            <w:vAlign w:val="center"/>
          </w:tcPr>
          <w:p w14:paraId="577D6A1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c>
          <w:tcPr>
            <w:tcW w:w="900" w:type="dxa"/>
            <w:vAlign w:val="center"/>
          </w:tcPr>
          <w:p w14:paraId="015C6C8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51BBF49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接近完成</w:t>
            </w:r>
          </w:p>
        </w:tc>
      </w:tr>
      <w:tr w:rsidR="00EE55DB" w14:paraId="203FFD09" w14:textId="77777777">
        <w:trPr>
          <w:trHeight w:val="312"/>
          <w:tblHeader/>
          <w:jc w:val="center"/>
        </w:trPr>
        <w:tc>
          <w:tcPr>
            <w:tcW w:w="2205" w:type="dxa"/>
            <w:vAlign w:val="center"/>
          </w:tcPr>
          <w:p w14:paraId="1A275A7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规模以上工业增加值增速（</w:t>
            </w:r>
            <w:r>
              <w:rPr>
                <w:rFonts w:eastAsia="宋体"/>
                <w:sz w:val="21"/>
                <w:szCs w:val="21"/>
              </w:rPr>
              <w:t>%</w:t>
            </w:r>
            <w:r>
              <w:rPr>
                <w:rFonts w:eastAsia="宋体" w:hint="eastAsia"/>
                <w:sz w:val="21"/>
                <w:szCs w:val="21"/>
              </w:rPr>
              <w:t>）</w:t>
            </w:r>
          </w:p>
        </w:tc>
        <w:tc>
          <w:tcPr>
            <w:tcW w:w="1188" w:type="dxa"/>
            <w:vAlign w:val="center"/>
          </w:tcPr>
          <w:p w14:paraId="72C7326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10.2</w:t>
            </w:r>
          </w:p>
        </w:tc>
        <w:tc>
          <w:tcPr>
            <w:tcW w:w="1188" w:type="dxa"/>
            <w:vAlign w:val="center"/>
          </w:tcPr>
          <w:p w14:paraId="5EE617D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5.5</w:t>
            </w:r>
          </w:p>
        </w:tc>
        <w:tc>
          <w:tcPr>
            <w:tcW w:w="1110" w:type="dxa"/>
            <w:vAlign w:val="center"/>
          </w:tcPr>
          <w:p w14:paraId="3C2EC08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17.2</w:t>
            </w:r>
          </w:p>
        </w:tc>
        <w:tc>
          <w:tcPr>
            <w:tcW w:w="900" w:type="dxa"/>
            <w:vAlign w:val="center"/>
          </w:tcPr>
          <w:p w14:paraId="689C877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-11.6</w:t>
            </w:r>
          </w:p>
        </w:tc>
        <w:tc>
          <w:tcPr>
            <w:tcW w:w="1090" w:type="dxa"/>
            <w:vAlign w:val="center"/>
          </w:tcPr>
          <w:p w14:paraId="5806595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11</w:t>
            </w:r>
          </w:p>
        </w:tc>
        <w:tc>
          <w:tcPr>
            <w:tcW w:w="900" w:type="dxa"/>
            <w:vAlign w:val="center"/>
          </w:tcPr>
          <w:p w14:paraId="069F434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26E4528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r>
      <w:tr w:rsidR="00EE55DB" w14:paraId="4050B49F" w14:textId="77777777">
        <w:trPr>
          <w:trHeight w:val="312"/>
          <w:tblHeader/>
          <w:jc w:val="center"/>
        </w:trPr>
        <w:tc>
          <w:tcPr>
            <w:tcW w:w="2205" w:type="dxa"/>
            <w:vAlign w:val="center"/>
          </w:tcPr>
          <w:p w14:paraId="51DB07E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规模以上工业营业收入（亿元）</w:t>
            </w:r>
          </w:p>
        </w:tc>
        <w:tc>
          <w:tcPr>
            <w:tcW w:w="1188" w:type="dxa"/>
            <w:vAlign w:val="center"/>
          </w:tcPr>
          <w:p w14:paraId="5ACA12C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466.81</w:t>
            </w:r>
          </w:p>
        </w:tc>
        <w:tc>
          <w:tcPr>
            <w:tcW w:w="1188" w:type="dxa"/>
            <w:vAlign w:val="center"/>
          </w:tcPr>
          <w:p w14:paraId="153E9C6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577</w:t>
            </w:r>
          </w:p>
        </w:tc>
        <w:tc>
          <w:tcPr>
            <w:tcW w:w="1110" w:type="dxa"/>
            <w:vAlign w:val="center"/>
          </w:tcPr>
          <w:p w14:paraId="1E02116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1000</w:t>
            </w:r>
          </w:p>
        </w:tc>
        <w:tc>
          <w:tcPr>
            <w:tcW w:w="900" w:type="dxa"/>
            <w:vAlign w:val="center"/>
          </w:tcPr>
          <w:p w14:paraId="50625FE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4.3</w:t>
            </w:r>
          </w:p>
        </w:tc>
        <w:tc>
          <w:tcPr>
            <w:tcW w:w="1090" w:type="dxa"/>
            <w:vAlign w:val="center"/>
          </w:tcPr>
          <w:p w14:paraId="6906FA2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16.5</w:t>
            </w:r>
          </w:p>
        </w:tc>
        <w:tc>
          <w:tcPr>
            <w:tcW w:w="900" w:type="dxa"/>
            <w:vAlign w:val="center"/>
          </w:tcPr>
          <w:p w14:paraId="4BB8DD4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0E0DBE7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r>
      <w:tr w:rsidR="00EE55DB" w14:paraId="3C3D63C4" w14:textId="77777777">
        <w:trPr>
          <w:trHeight w:val="312"/>
          <w:tblHeader/>
          <w:jc w:val="center"/>
        </w:trPr>
        <w:tc>
          <w:tcPr>
            <w:tcW w:w="2205" w:type="dxa"/>
            <w:vAlign w:val="center"/>
          </w:tcPr>
          <w:p w14:paraId="732E05FC"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工业利税总额（亿元）</w:t>
            </w:r>
          </w:p>
        </w:tc>
        <w:tc>
          <w:tcPr>
            <w:tcW w:w="1188" w:type="dxa"/>
            <w:vAlign w:val="center"/>
          </w:tcPr>
          <w:p w14:paraId="47A886A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45.87</w:t>
            </w:r>
          </w:p>
        </w:tc>
        <w:tc>
          <w:tcPr>
            <w:tcW w:w="1188" w:type="dxa"/>
            <w:vAlign w:val="center"/>
          </w:tcPr>
          <w:p w14:paraId="2742F3D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55</w:t>
            </w:r>
          </w:p>
        </w:tc>
        <w:tc>
          <w:tcPr>
            <w:tcW w:w="1110" w:type="dxa"/>
            <w:vAlign w:val="center"/>
          </w:tcPr>
          <w:p w14:paraId="4E90340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w:t>
            </w:r>
          </w:p>
        </w:tc>
        <w:tc>
          <w:tcPr>
            <w:tcW w:w="900" w:type="dxa"/>
            <w:vAlign w:val="center"/>
          </w:tcPr>
          <w:p w14:paraId="0D29A72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3.7</w:t>
            </w:r>
          </w:p>
        </w:tc>
        <w:tc>
          <w:tcPr>
            <w:tcW w:w="1090" w:type="dxa"/>
            <w:vAlign w:val="center"/>
          </w:tcPr>
          <w:p w14:paraId="11FD264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16.9</w:t>
            </w:r>
          </w:p>
        </w:tc>
        <w:tc>
          <w:tcPr>
            <w:tcW w:w="900" w:type="dxa"/>
            <w:vAlign w:val="center"/>
          </w:tcPr>
          <w:p w14:paraId="37B25FB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510EB4D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r>
      <w:tr w:rsidR="00EE55DB" w14:paraId="7DBAC8CA" w14:textId="77777777">
        <w:trPr>
          <w:trHeight w:val="312"/>
          <w:tblHeader/>
          <w:jc w:val="center"/>
        </w:trPr>
        <w:tc>
          <w:tcPr>
            <w:tcW w:w="2205" w:type="dxa"/>
            <w:vAlign w:val="center"/>
          </w:tcPr>
          <w:p w14:paraId="1A293C1C"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旅游综合总收入（亿元）</w:t>
            </w:r>
          </w:p>
        </w:tc>
        <w:tc>
          <w:tcPr>
            <w:tcW w:w="1188" w:type="dxa"/>
            <w:vAlign w:val="center"/>
          </w:tcPr>
          <w:p w14:paraId="3AF3B2D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36.11</w:t>
            </w:r>
          </w:p>
        </w:tc>
        <w:tc>
          <w:tcPr>
            <w:tcW w:w="1188" w:type="dxa"/>
            <w:vAlign w:val="center"/>
          </w:tcPr>
          <w:p w14:paraId="3220FCE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72.47</w:t>
            </w:r>
          </w:p>
        </w:tc>
        <w:tc>
          <w:tcPr>
            <w:tcW w:w="1110" w:type="dxa"/>
            <w:vAlign w:val="center"/>
          </w:tcPr>
          <w:p w14:paraId="3693347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70</w:t>
            </w:r>
          </w:p>
        </w:tc>
        <w:tc>
          <w:tcPr>
            <w:tcW w:w="900" w:type="dxa"/>
            <w:vAlign w:val="center"/>
          </w:tcPr>
          <w:p w14:paraId="4850671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15</w:t>
            </w:r>
          </w:p>
        </w:tc>
        <w:tc>
          <w:tcPr>
            <w:tcW w:w="1090" w:type="dxa"/>
            <w:vAlign w:val="center"/>
          </w:tcPr>
          <w:p w14:paraId="4F8F972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14.2</w:t>
            </w:r>
          </w:p>
        </w:tc>
        <w:tc>
          <w:tcPr>
            <w:tcW w:w="900" w:type="dxa"/>
            <w:vAlign w:val="center"/>
          </w:tcPr>
          <w:p w14:paraId="52A5823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328043E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143FC10D" w14:textId="77777777">
        <w:trPr>
          <w:trHeight w:val="312"/>
          <w:tblHeader/>
          <w:jc w:val="center"/>
        </w:trPr>
        <w:tc>
          <w:tcPr>
            <w:tcW w:w="2205" w:type="dxa"/>
            <w:vAlign w:val="center"/>
          </w:tcPr>
          <w:p w14:paraId="01B5EA9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万元生产总值能耗累计下降（</w:t>
            </w:r>
            <w:r>
              <w:rPr>
                <w:rFonts w:eastAsia="宋体"/>
                <w:sz w:val="21"/>
                <w:szCs w:val="21"/>
              </w:rPr>
              <w:t>%</w:t>
            </w:r>
            <w:r>
              <w:rPr>
                <w:rFonts w:eastAsia="宋体" w:hint="eastAsia"/>
                <w:sz w:val="21"/>
                <w:szCs w:val="21"/>
              </w:rPr>
              <w:t>）</w:t>
            </w:r>
          </w:p>
        </w:tc>
        <w:tc>
          <w:tcPr>
            <w:tcW w:w="1188" w:type="dxa"/>
            <w:vAlign w:val="center"/>
          </w:tcPr>
          <w:p w14:paraId="3AF56A6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16</w:t>
            </w:r>
          </w:p>
        </w:tc>
        <w:tc>
          <w:tcPr>
            <w:tcW w:w="1188" w:type="dxa"/>
            <w:vAlign w:val="center"/>
          </w:tcPr>
          <w:p w14:paraId="740029E4"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14</w:t>
            </w:r>
          </w:p>
        </w:tc>
        <w:tc>
          <w:tcPr>
            <w:tcW w:w="1110" w:type="dxa"/>
            <w:vAlign w:val="center"/>
          </w:tcPr>
          <w:p w14:paraId="4554085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rPr>
              <w:t>省市下达的任务</w:t>
            </w:r>
          </w:p>
        </w:tc>
        <w:tc>
          <w:tcPr>
            <w:tcW w:w="900" w:type="dxa"/>
            <w:vAlign w:val="center"/>
          </w:tcPr>
          <w:p w14:paraId="43CFC1E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14</w:t>
            </w:r>
          </w:p>
        </w:tc>
        <w:tc>
          <w:tcPr>
            <w:tcW w:w="1090" w:type="dxa"/>
            <w:vAlign w:val="center"/>
          </w:tcPr>
          <w:p w14:paraId="144E706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rPr>
              <w:t>省市下达的任务</w:t>
            </w:r>
          </w:p>
        </w:tc>
        <w:tc>
          <w:tcPr>
            <w:tcW w:w="900" w:type="dxa"/>
            <w:vAlign w:val="center"/>
          </w:tcPr>
          <w:p w14:paraId="203B86E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约束性</w:t>
            </w:r>
          </w:p>
        </w:tc>
        <w:tc>
          <w:tcPr>
            <w:tcW w:w="684" w:type="dxa"/>
            <w:vAlign w:val="center"/>
          </w:tcPr>
          <w:p w14:paraId="26B1F63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386A7FE1" w14:textId="77777777">
        <w:trPr>
          <w:trHeight w:val="312"/>
          <w:tblHeader/>
          <w:jc w:val="center"/>
        </w:trPr>
        <w:tc>
          <w:tcPr>
            <w:tcW w:w="2205" w:type="dxa"/>
            <w:vAlign w:val="center"/>
          </w:tcPr>
          <w:p w14:paraId="6CDDC91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主要河流监测断面</w:t>
            </w:r>
            <w:r>
              <w:rPr>
                <w:rFonts w:eastAsia="宋体"/>
                <w:sz w:val="21"/>
                <w:szCs w:val="21"/>
              </w:rPr>
              <w:fldChar w:fldCharType="begin"/>
            </w:r>
            <w:r>
              <w:rPr>
                <w:rFonts w:eastAsia="宋体"/>
                <w:sz w:val="21"/>
                <w:szCs w:val="21"/>
              </w:rPr>
              <w:instrText xml:space="preserve"> = 1 \* ROMAN \* MERGEFORMAT </w:instrText>
            </w:r>
            <w:r>
              <w:rPr>
                <w:rFonts w:eastAsia="宋体"/>
                <w:sz w:val="21"/>
                <w:szCs w:val="21"/>
              </w:rPr>
              <w:fldChar w:fldCharType="separate"/>
            </w:r>
            <w:r>
              <w:rPr>
                <w:rFonts w:eastAsia="宋体"/>
                <w:sz w:val="21"/>
                <w:szCs w:val="21"/>
              </w:rPr>
              <w:t>I</w:t>
            </w:r>
            <w:r>
              <w:rPr>
                <w:rFonts w:eastAsia="宋体"/>
                <w:sz w:val="21"/>
                <w:szCs w:val="21"/>
              </w:rPr>
              <w:fldChar w:fldCharType="end"/>
            </w:r>
            <w:r>
              <w:rPr>
                <w:rFonts w:eastAsia="宋体"/>
                <w:sz w:val="21"/>
                <w:szCs w:val="21"/>
              </w:rPr>
              <w:t>—</w:t>
            </w:r>
            <w:r>
              <w:rPr>
                <w:rFonts w:eastAsia="宋体"/>
                <w:sz w:val="21"/>
                <w:szCs w:val="21"/>
              </w:rPr>
              <w:fldChar w:fldCharType="begin"/>
            </w:r>
            <w:r>
              <w:rPr>
                <w:rFonts w:eastAsia="宋体"/>
                <w:sz w:val="21"/>
                <w:szCs w:val="21"/>
              </w:rPr>
              <w:instrText xml:space="preserve"> = 3 \* ROMAN \* MERGEFORMAT </w:instrText>
            </w:r>
            <w:r>
              <w:rPr>
                <w:rFonts w:eastAsia="宋体"/>
                <w:sz w:val="21"/>
                <w:szCs w:val="21"/>
              </w:rPr>
              <w:fldChar w:fldCharType="separate"/>
            </w:r>
            <w:r>
              <w:rPr>
                <w:rFonts w:eastAsia="宋体"/>
                <w:sz w:val="21"/>
                <w:szCs w:val="21"/>
              </w:rPr>
              <w:t>III</w:t>
            </w:r>
            <w:r>
              <w:rPr>
                <w:rFonts w:eastAsia="宋体"/>
                <w:sz w:val="21"/>
                <w:szCs w:val="21"/>
              </w:rPr>
              <w:fldChar w:fldCharType="end"/>
            </w:r>
            <w:r>
              <w:rPr>
                <w:rFonts w:eastAsia="宋体" w:hint="eastAsia"/>
                <w:sz w:val="21"/>
                <w:szCs w:val="21"/>
              </w:rPr>
              <w:t>类以上水质比重（</w:t>
            </w:r>
            <w:r>
              <w:rPr>
                <w:rFonts w:eastAsia="宋体"/>
                <w:sz w:val="21"/>
                <w:szCs w:val="21"/>
              </w:rPr>
              <w:t>%</w:t>
            </w:r>
            <w:r>
              <w:rPr>
                <w:rFonts w:eastAsia="宋体" w:hint="eastAsia"/>
                <w:sz w:val="21"/>
                <w:szCs w:val="21"/>
              </w:rPr>
              <w:t>）</w:t>
            </w:r>
          </w:p>
        </w:tc>
        <w:tc>
          <w:tcPr>
            <w:tcW w:w="1188" w:type="dxa"/>
            <w:vAlign w:val="center"/>
          </w:tcPr>
          <w:p w14:paraId="137962FC"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w:t>
            </w:r>
          </w:p>
        </w:tc>
        <w:tc>
          <w:tcPr>
            <w:tcW w:w="1188" w:type="dxa"/>
            <w:vAlign w:val="center"/>
          </w:tcPr>
          <w:p w14:paraId="32D7245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w:t>
            </w:r>
          </w:p>
        </w:tc>
        <w:tc>
          <w:tcPr>
            <w:tcW w:w="1110" w:type="dxa"/>
            <w:vAlign w:val="center"/>
          </w:tcPr>
          <w:p w14:paraId="029A837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w:t>
            </w:r>
          </w:p>
        </w:tc>
        <w:tc>
          <w:tcPr>
            <w:tcW w:w="900" w:type="dxa"/>
            <w:vAlign w:val="center"/>
          </w:tcPr>
          <w:p w14:paraId="7CB3105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c>
          <w:tcPr>
            <w:tcW w:w="1090" w:type="dxa"/>
            <w:vAlign w:val="center"/>
          </w:tcPr>
          <w:p w14:paraId="7C88150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c>
          <w:tcPr>
            <w:tcW w:w="900" w:type="dxa"/>
            <w:vAlign w:val="center"/>
          </w:tcPr>
          <w:p w14:paraId="0B9BC2E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约束性</w:t>
            </w:r>
          </w:p>
        </w:tc>
        <w:tc>
          <w:tcPr>
            <w:tcW w:w="684" w:type="dxa"/>
            <w:vAlign w:val="center"/>
          </w:tcPr>
          <w:p w14:paraId="718FE5A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38A46D37" w14:textId="77777777">
        <w:trPr>
          <w:trHeight w:val="312"/>
          <w:tblHeader/>
          <w:jc w:val="center"/>
        </w:trPr>
        <w:tc>
          <w:tcPr>
            <w:tcW w:w="2205" w:type="dxa"/>
            <w:vAlign w:val="center"/>
          </w:tcPr>
          <w:p w14:paraId="68B89B6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城镇生活污水集中处理率（</w:t>
            </w:r>
            <w:r>
              <w:rPr>
                <w:rFonts w:eastAsia="宋体"/>
                <w:sz w:val="21"/>
                <w:szCs w:val="21"/>
              </w:rPr>
              <w:t>%</w:t>
            </w:r>
            <w:r>
              <w:rPr>
                <w:rFonts w:eastAsia="宋体" w:hint="eastAsia"/>
                <w:sz w:val="21"/>
                <w:szCs w:val="21"/>
              </w:rPr>
              <w:t>）</w:t>
            </w:r>
          </w:p>
        </w:tc>
        <w:tc>
          <w:tcPr>
            <w:tcW w:w="1188" w:type="dxa"/>
            <w:vAlign w:val="center"/>
          </w:tcPr>
          <w:p w14:paraId="0D2E8EE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80</w:t>
            </w:r>
            <w:r>
              <w:rPr>
                <w:rFonts w:eastAsia="宋体" w:hint="eastAsia"/>
                <w:sz w:val="21"/>
                <w:szCs w:val="21"/>
              </w:rPr>
              <w:t>以上</w:t>
            </w:r>
          </w:p>
        </w:tc>
        <w:tc>
          <w:tcPr>
            <w:tcW w:w="1188" w:type="dxa"/>
            <w:vAlign w:val="center"/>
          </w:tcPr>
          <w:p w14:paraId="4E2C9DD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91</w:t>
            </w:r>
          </w:p>
        </w:tc>
        <w:tc>
          <w:tcPr>
            <w:tcW w:w="1110" w:type="dxa"/>
            <w:vAlign w:val="center"/>
          </w:tcPr>
          <w:p w14:paraId="20AF1E5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90</w:t>
            </w:r>
            <w:r>
              <w:rPr>
                <w:rFonts w:eastAsia="宋体" w:hint="eastAsia"/>
                <w:sz w:val="21"/>
                <w:szCs w:val="21"/>
              </w:rPr>
              <w:t>以上</w:t>
            </w:r>
          </w:p>
        </w:tc>
        <w:tc>
          <w:tcPr>
            <w:tcW w:w="900" w:type="dxa"/>
            <w:vAlign w:val="center"/>
          </w:tcPr>
          <w:p w14:paraId="792C9B8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2.6</w:t>
            </w:r>
            <w:r>
              <w:rPr>
                <w:rFonts w:eastAsia="宋体" w:hint="eastAsia"/>
                <w:sz w:val="21"/>
                <w:szCs w:val="21"/>
              </w:rPr>
              <w:t>左右</w:t>
            </w:r>
          </w:p>
        </w:tc>
        <w:tc>
          <w:tcPr>
            <w:tcW w:w="1090" w:type="dxa"/>
            <w:vAlign w:val="center"/>
          </w:tcPr>
          <w:p w14:paraId="3F58017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2.4</w:t>
            </w:r>
            <w:r>
              <w:rPr>
                <w:rFonts w:eastAsia="宋体" w:hint="eastAsia"/>
                <w:sz w:val="21"/>
                <w:szCs w:val="21"/>
              </w:rPr>
              <w:t>左右</w:t>
            </w:r>
          </w:p>
        </w:tc>
        <w:tc>
          <w:tcPr>
            <w:tcW w:w="900" w:type="dxa"/>
            <w:vAlign w:val="center"/>
          </w:tcPr>
          <w:p w14:paraId="2E3CB6F4"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约束性</w:t>
            </w:r>
          </w:p>
        </w:tc>
        <w:tc>
          <w:tcPr>
            <w:tcW w:w="684" w:type="dxa"/>
            <w:vAlign w:val="center"/>
          </w:tcPr>
          <w:p w14:paraId="6A43731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575CDEB5" w14:textId="77777777">
        <w:trPr>
          <w:trHeight w:val="312"/>
          <w:tblHeader/>
          <w:jc w:val="center"/>
        </w:trPr>
        <w:tc>
          <w:tcPr>
            <w:tcW w:w="2205" w:type="dxa"/>
            <w:vAlign w:val="center"/>
          </w:tcPr>
          <w:p w14:paraId="16FEA19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城镇生活垃圾处理率（</w:t>
            </w:r>
            <w:r>
              <w:rPr>
                <w:rFonts w:eastAsia="宋体"/>
                <w:sz w:val="21"/>
                <w:szCs w:val="21"/>
              </w:rPr>
              <w:t>%</w:t>
            </w:r>
            <w:r>
              <w:rPr>
                <w:rFonts w:eastAsia="宋体" w:hint="eastAsia"/>
                <w:sz w:val="21"/>
                <w:szCs w:val="21"/>
              </w:rPr>
              <w:t>）</w:t>
            </w:r>
          </w:p>
        </w:tc>
        <w:tc>
          <w:tcPr>
            <w:tcW w:w="1188" w:type="dxa"/>
            <w:vAlign w:val="center"/>
          </w:tcPr>
          <w:p w14:paraId="418AB43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80</w:t>
            </w:r>
            <w:r>
              <w:rPr>
                <w:rFonts w:eastAsia="宋体" w:hint="eastAsia"/>
                <w:sz w:val="21"/>
                <w:szCs w:val="21"/>
              </w:rPr>
              <w:t>以上</w:t>
            </w:r>
          </w:p>
        </w:tc>
        <w:tc>
          <w:tcPr>
            <w:tcW w:w="1188" w:type="dxa"/>
            <w:vAlign w:val="center"/>
          </w:tcPr>
          <w:p w14:paraId="013073F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w:t>
            </w:r>
          </w:p>
        </w:tc>
        <w:tc>
          <w:tcPr>
            <w:tcW w:w="1110" w:type="dxa"/>
            <w:vAlign w:val="center"/>
          </w:tcPr>
          <w:p w14:paraId="3ADD268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90</w:t>
            </w:r>
            <w:r>
              <w:rPr>
                <w:rFonts w:eastAsia="宋体" w:hint="eastAsia"/>
                <w:sz w:val="21"/>
                <w:szCs w:val="21"/>
              </w:rPr>
              <w:t>以上</w:t>
            </w:r>
          </w:p>
        </w:tc>
        <w:tc>
          <w:tcPr>
            <w:tcW w:w="900" w:type="dxa"/>
            <w:vAlign w:val="center"/>
          </w:tcPr>
          <w:p w14:paraId="511C603D"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4.6</w:t>
            </w:r>
            <w:r>
              <w:rPr>
                <w:rFonts w:eastAsia="宋体" w:hint="eastAsia"/>
                <w:sz w:val="21"/>
                <w:szCs w:val="21"/>
              </w:rPr>
              <w:t>左右</w:t>
            </w:r>
          </w:p>
        </w:tc>
        <w:tc>
          <w:tcPr>
            <w:tcW w:w="1090" w:type="dxa"/>
            <w:vAlign w:val="center"/>
          </w:tcPr>
          <w:p w14:paraId="48A4DCE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2.4</w:t>
            </w:r>
            <w:r>
              <w:rPr>
                <w:rFonts w:eastAsia="宋体" w:hint="eastAsia"/>
                <w:sz w:val="21"/>
                <w:szCs w:val="21"/>
              </w:rPr>
              <w:t>左右</w:t>
            </w:r>
          </w:p>
        </w:tc>
        <w:tc>
          <w:tcPr>
            <w:tcW w:w="900" w:type="dxa"/>
            <w:vAlign w:val="center"/>
          </w:tcPr>
          <w:p w14:paraId="77BA599C"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约束性</w:t>
            </w:r>
          </w:p>
        </w:tc>
        <w:tc>
          <w:tcPr>
            <w:tcW w:w="684" w:type="dxa"/>
            <w:vAlign w:val="center"/>
          </w:tcPr>
          <w:p w14:paraId="430CA684"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6E16D667" w14:textId="77777777">
        <w:trPr>
          <w:trHeight w:val="312"/>
          <w:tblHeader/>
          <w:jc w:val="center"/>
        </w:trPr>
        <w:tc>
          <w:tcPr>
            <w:tcW w:w="2205" w:type="dxa"/>
            <w:vAlign w:val="center"/>
          </w:tcPr>
          <w:p w14:paraId="20D8ADE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森林覆盖率（</w:t>
            </w:r>
            <w:r>
              <w:rPr>
                <w:rFonts w:eastAsia="宋体"/>
                <w:sz w:val="21"/>
                <w:szCs w:val="21"/>
              </w:rPr>
              <w:t>%</w:t>
            </w:r>
            <w:r>
              <w:rPr>
                <w:rFonts w:eastAsia="宋体" w:hint="eastAsia"/>
                <w:sz w:val="21"/>
                <w:szCs w:val="21"/>
              </w:rPr>
              <w:t>）</w:t>
            </w:r>
          </w:p>
        </w:tc>
        <w:tc>
          <w:tcPr>
            <w:tcW w:w="1188" w:type="dxa"/>
            <w:vAlign w:val="center"/>
          </w:tcPr>
          <w:p w14:paraId="3394633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36.53</w:t>
            </w:r>
          </w:p>
        </w:tc>
        <w:tc>
          <w:tcPr>
            <w:tcW w:w="1188" w:type="dxa"/>
            <w:vAlign w:val="center"/>
          </w:tcPr>
          <w:p w14:paraId="5EAE145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37.99</w:t>
            </w:r>
          </w:p>
        </w:tc>
        <w:tc>
          <w:tcPr>
            <w:tcW w:w="1110" w:type="dxa"/>
            <w:vAlign w:val="center"/>
          </w:tcPr>
          <w:p w14:paraId="574EF04C"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37.7</w:t>
            </w:r>
          </w:p>
        </w:tc>
        <w:tc>
          <w:tcPr>
            <w:tcW w:w="900" w:type="dxa"/>
            <w:vAlign w:val="center"/>
          </w:tcPr>
          <w:p w14:paraId="0A65714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0.8</w:t>
            </w:r>
          </w:p>
        </w:tc>
        <w:tc>
          <w:tcPr>
            <w:tcW w:w="1090" w:type="dxa"/>
            <w:vAlign w:val="center"/>
          </w:tcPr>
          <w:p w14:paraId="70B73FD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0.6</w:t>
            </w:r>
          </w:p>
        </w:tc>
        <w:tc>
          <w:tcPr>
            <w:tcW w:w="900" w:type="dxa"/>
            <w:vAlign w:val="center"/>
          </w:tcPr>
          <w:p w14:paraId="41197B97"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约束性</w:t>
            </w:r>
          </w:p>
        </w:tc>
        <w:tc>
          <w:tcPr>
            <w:tcW w:w="684" w:type="dxa"/>
            <w:vAlign w:val="center"/>
          </w:tcPr>
          <w:p w14:paraId="09A7313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713A4043" w14:textId="77777777">
        <w:trPr>
          <w:trHeight w:val="312"/>
          <w:tblHeader/>
          <w:jc w:val="center"/>
        </w:trPr>
        <w:tc>
          <w:tcPr>
            <w:tcW w:w="2205" w:type="dxa"/>
            <w:vAlign w:val="center"/>
          </w:tcPr>
          <w:p w14:paraId="7D2C10B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城镇登记失业率（</w:t>
            </w:r>
            <w:r>
              <w:rPr>
                <w:rFonts w:eastAsia="宋体"/>
                <w:sz w:val="21"/>
                <w:szCs w:val="21"/>
              </w:rPr>
              <w:t>%</w:t>
            </w:r>
            <w:r>
              <w:rPr>
                <w:rFonts w:eastAsia="宋体" w:hint="eastAsia"/>
                <w:sz w:val="21"/>
                <w:szCs w:val="21"/>
              </w:rPr>
              <w:t>）</w:t>
            </w:r>
          </w:p>
        </w:tc>
        <w:tc>
          <w:tcPr>
            <w:tcW w:w="1188" w:type="dxa"/>
            <w:vAlign w:val="center"/>
          </w:tcPr>
          <w:p w14:paraId="1E89706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1.5</w:t>
            </w:r>
          </w:p>
        </w:tc>
        <w:tc>
          <w:tcPr>
            <w:tcW w:w="1188" w:type="dxa"/>
            <w:vAlign w:val="center"/>
          </w:tcPr>
          <w:p w14:paraId="19AAF7D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预期范围内</w:t>
            </w:r>
          </w:p>
        </w:tc>
        <w:tc>
          <w:tcPr>
            <w:tcW w:w="1110" w:type="dxa"/>
            <w:vAlign w:val="center"/>
          </w:tcPr>
          <w:p w14:paraId="4EF3B33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3</w:t>
            </w:r>
          </w:p>
        </w:tc>
        <w:tc>
          <w:tcPr>
            <w:tcW w:w="900" w:type="dxa"/>
            <w:vAlign w:val="center"/>
          </w:tcPr>
          <w:p w14:paraId="762E842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w:t>
            </w:r>
          </w:p>
        </w:tc>
        <w:tc>
          <w:tcPr>
            <w:tcW w:w="1090" w:type="dxa"/>
            <w:vAlign w:val="center"/>
          </w:tcPr>
          <w:p w14:paraId="71913AE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14.9</w:t>
            </w:r>
          </w:p>
        </w:tc>
        <w:tc>
          <w:tcPr>
            <w:tcW w:w="900" w:type="dxa"/>
            <w:vAlign w:val="center"/>
          </w:tcPr>
          <w:p w14:paraId="6B8D0B9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1D02030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3B04BDAA" w14:textId="77777777">
        <w:trPr>
          <w:trHeight w:val="312"/>
          <w:tblHeader/>
          <w:jc w:val="center"/>
        </w:trPr>
        <w:tc>
          <w:tcPr>
            <w:tcW w:w="2205" w:type="dxa"/>
            <w:vAlign w:val="center"/>
          </w:tcPr>
          <w:p w14:paraId="62C030B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新型农村社会养老保险参保率（</w:t>
            </w:r>
            <w:r>
              <w:rPr>
                <w:rFonts w:eastAsia="宋体"/>
                <w:sz w:val="21"/>
                <w:szCs w:val="21"/>
              </w:rPr>
              <w:t>%</w:t>
            </w:r>
            <w:r>
              <w:rPr>
                <w:rFonts w:eastAsia="宋体" w:hint="eastAsia"/>
                <w:sz w:val="21"/>
                <w:szCs w:val="21"/>
              </w:rPr>
              <w:t>）</w:t>
            </w:r>
          </w:p>
        </w:tc>
        <w:tc>
          <w:tcPr>
            <w:tcW w:w="1188" w:type="dxa"/>
            <w:vAlign w:val="center"/>
          </w:tcPr>
          <w:p w14:paraId="0218D4F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99.5</w:t>
            </w:r>
          </w:p>
        </w:tc>
        <w:tc>
          <w:tcPr>
            <w:tcW w:w="1188" w:type="dxa"/>
            <w:vAlign w:val="center"/>
          </w:tcPr>
          <w:p w14:paraId="0DADBE7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w:t>
            </w:r>
          </w:p>
        </w:tc>
        <w:tc>
          <w:tcPr>
            <w:tcW w:w="1110" w:type="dxa"/>
            <w:vAlign w:val="center"/>
          </w:tcPr>
          <w:p w14:paraId="5D71062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100</w:t>
            </w:r>
          </w:p>
        </w:tc>
        <w:tc>
          <w:tcPr>
            <w:tcW w:w="900" w:type="dxa"/>
            <w:vAlign w:val="center"/>
          </w:tcPr>
          <w:p w14:paraId="54059048"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0.1</w:t>
            </w:r>
          </w:p>
        </w:tc>
        <w:tc>
          <w:tcPr>
            <w:tcW w:w="1090" w:type="dxa"/>
            <w:vAlign w:val="center"/>
          </w:tcPr>
          <w:p w14:paraId="747D080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0.1</w:t>
            </w:r>
          </w:p>
        </w:tc>
        <w:tc>
          <w:tcPr>
            <w:tcW w:w="900" w:type="dxa"/>
            <w:vAlign w:val="center"/>
          </w:tcPr>
          <w:p w14:paraId="7BA8CCC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15C4D3F9"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完成</w:t>
            </w:r>
          </w:p>
        </w:tc>
      </w:tr>
      <w:tr w:rsidR="00EE55DB" w14:paraId="5B7D7C70" w14:textId="77777777">
        <w:trPr>
          <w:trHeight w:val="312"/>
          <w:tblHeader/>
          <w:jc w:val="center"/>
        </w:trPr>
        <w:tc>
          <w:tcPr>
            <w:tcW w:w="2205" w:type="dxa"/>
            <w:vAlign w:val="center"/>
          </w:tcPr>
          <w:p w14:paraId="3FED042A"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城镇居民人均可支配收入（元）</w:t>
            </w:r>
          </w:p>
        </w:tc>
        <w:tc>
          <w:tcPr>
            <w:tcW w:w="1188" w:type="dxa"/>
            <w:vAlign w:val="center"/>
          </w:tcPr>
          <w:p w14:paraId="02C59E3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26299</w:t>
            </w:r>
          </w:p>
        </w:tc>
        <w:tc>
          <w:tcPr>
            <w:tcW w:w="1188" w:type="dxa"/>
            <w:vAlign w:val="center"/>
          </w:tcPr>
          <w:p w14:paraId="72529CF5" w14:textId="77777777" w:rsidR="00EE55DB" w:rsidRDefault="00000000">
            <w:pPr>
              <w:widowControl/>
              <w:adjustRightInd w:val="0"/>
              <w:snapToGrid w:val="0"/>
              <w:spacing w:line="240" w:lineRule="auto"/>
              <w:ind w:firstLineChars="0" w:firstLine="0"/>
              <w:jc w:val="center"/>
              <w:rPr>
                <w:rFonts w:eastAsia="宋体"/>
                <w:color w:val="FF0000"/>
                <w:sz w:val="21"/>
                <w:szCs w:val="21"/>
              </w:rPr>
            </w:pPr>
            <w:r>
              <w:rPr>
                <w:rFonts w:eastAsia="宋体"/>
                <w:color w:val="FF0000"/>
                <w:sz w:val="21"/>
                <w:szCs w:val="21"/>
              </w:rPr>
              <w:t>38470</w:t>
            </w:r>
          </w:p>
        </w:tc>
        <w:tc>
          <w:tcPr>
            <w:tcW w:w="1110" w:type="dxa"/>
            <w:vAlign w:val="center"/>
          </w:tcPr>
          <w:p w14:paraId="665C571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44315</w:t>
            </w:r>
          </w:p>
        </w:tc>
        <w:tc>
          <w:tcPr>
            <w:tcW w:w="900" w:type="dxa"/>
            <w:vAlign w:val="center"/>
          </w:tcPr>
          <w:p w14:paraId="7F8525E0"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7.9</w:t>
            </w:r>
          </w:p>
        </w:tc>
        <w:tc>
          <w:tcPr>
            <w:tcW w:w="1090" w:type="dxa"/>
            <w:vAlign w:val="center"/>
          </w:tcPr>
          <w:p w14:paraId="320B087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11</w:t>
            </w:r>
          </w:p>
        </w:tc>
        <w:tc>
          <w:tcPr>
            <w:tcW w:w="900" w:type="dxa"/>
            <w:vAlign w:val="center"/>
          </w:tcPr>
          <w:p w14:paraId="6C51CF5E"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198D442F"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接近完成</w:t>
            </w:r>
          </w:p>
        </w:tc>
      </w:tr>
      <w:tr w:rsidR="00EE55DB" w14:paraId="099C2A70" w14:textId="77777777">
        <w:trPr>
          <w:trHeight w:val="312"/>
          <w:tblHeader/>
          <w:jc w:val="center"/>
        </w:trPr>
        <w:tc>
          <w:tcPr>
            <w:tcW w:w="2205" w:type="dxa"/>
            <w:vAlign w:val="center"/>
          </w:tcPr>
          <w:p w14:paraId="781BCBD2"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农村居民可支配收入（元）</w:t>
            </w:r>
          </w:p>
        </w:tc>
        <w:tc>
          <w:tcPr>
            <w:tcW w:w="1188" w:type="dxa"/>
            <w:vAlign w:val="center"/>
          </w:tcPr>
          <w:p w14:paraId="5D673026"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12662</w:t>
            </w:r>
          </w:p>
        </w:tc>
        <w:tc>
          <w:tcPr>
            <w:tcW w:w="1188" w:type="dxa"/>
            <w:vAlign w:val="center"/>
          </w:tcPr>
          <w:p w14:paraId="5AAEFB31" w14:textId="77777777" w:rsidR="00EE55DB" w:rsidRDefault="00000000">
            <w:pPr>
              <w:widowControl/>
              <w:adjustRightInd w:val="0"/>
              <w:snapToGrid w:val="0"/>
              <w:spacing w:line="240" w:lineRule="auto"/>
              <w:ind w:firstLineChars="0" w:firstLine="0"/>
              <w:jc w:val="center"/>
              <w:rPr>
                <w:rFonts w:eastAsia="宋体"/>
                <w:color w:val="FF0000"/>
                <w:sz w:val="21"/>
                <w:szCs w:val="21"/>
              </w:rPr>
            </w:pPr>
            <w:r>
              <w:rPr>
                <w:rFonts w:eastAsia="宋体"/>
                <w:color w:val="FF0000"/>
                <w:sz w:val="21"/>
                <w:szCs w:val="21"/>
              </w:rPr>
              <w:t>19297</w:t>
            </w:r>
          </w:p>
        </w:tc>
        <w:tc>
          <w:tcPr>
            <w:tcW w:w="1110" w:type="dxa"/>
            <w:vAlign w:val="center"/>
          </w:tcPr>
          <w:p w14:paraId="05E77B6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21336</w:t>
            </w:r>
          </w:p>
        </w:tc>
        <w:tc>
          <w:tcPr>
            <w:tcW w:w="900" w:type="dxa"/>
            <w:vAlign w:val="center"/>
          </w:tcPr>
          <w:p w14:paraId="1C757715"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8.8</w:t>
            </w:r>
          </w:p>
        </w:tc>
        <w:tc>
          <w:tcPr>
            <w:tcW w:w="1090" w:type="dxa"/>
            <w:vAlign w:val="center"/>
          </w:tcPr>
          <w:p w14:paraId="61662C9B"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sz w:val="21"/>
                <w:szCs w:val="21"/>
              </w:rPr>
              <w:t>11</w:t>
            </w:r>
          </w:p>
        </w:tc>
        <w:tc>
          <w:tcPr>
            <w:tcW w:w="900" w:type="dxa"/>
            <w:vAlign w:val="center"/>
          </w:tcPr>
          <w:p w14:paraId="27CA1731"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预期性</w:t>
            </w:r>
          </w:p>
        </w:tc>
        <w:tc>
          <w:tcPr>
            <w:tcW w:w="684" w:type="dxa"/>
            <w:vAlign w:val="center"/>
          </w:tcPr>
          <w:p w14:paraId="0EE88753" w14:textId="77777777" w:rsidR="00EE55DB" w:rsidRDefault="00000000">
            <w:pPr>
              <w:widowControl/>
              <w:adjustRightInd w:val="0"/>
              <w:snapToGrid w:val="0"/>
              <w:spacing w:line="240" w:lineRule="auto"/>
              <w:ind w:firstLineChars="0" w:firstLine="0"/>
              <w:jc w:val="center"/>
              <w:rPr>
                <w:rFonts w:eastAsia="宋体"/>
                <w:sz w:val="21"/>
                <w:szCs w:val="21"/>
              </w:rPr>
            </w:pPr>
            <w:r>
              <w:rPr>
                <w:rFonts w:eastAsia="宋体" w:hint="eastAsia"/>
                <w:sz w:val="21"/>
                <w:szCs w:val="21"/>
              </w:rPr>
              <w:t>接近完成</w:t>
            </w:r>
          </w:p>
        </w:tc>
      </w:tr>
    </w:tbl>
    <w:p w14:paraId="4714AF67" w14:textId="77777777" w:rsidR="00EE55DB" w:rsidRDefault="00000000">
      <w:pPr>
        <w:pStyle w:val="2"/>
        <w:spacing w:before="156" w:after="156"/>
      </w:pPr>
      <w:bookmarkStart w:id="10" w:name="_Toc10879"/>
      <w:r>
        <w:rPr>
          <w:rFonts w:hint="eastAsia"/>
        </w:rPr>
        <w:t>第二节</w:t>
      </w:r>
      <w:r>
        <w:t xml:space="preserve"> </w:t>
      </w:r>
      <w:r>
        <w:rPr>
          <w:rFonts w:hint="eastAsia"/>
        </w:rPr>
        <w:t>发展环境</w:t>
      </w:r>
      <w:bookmarkEnd w:id="9"/>
      <w:bookmarkEnd w:id="10"/>
    </w:p>
    <w:p w14:paraId="7F99DC67"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当前和今后一个时期，永修面临一系列新机遇与新挑战，世界百年未有之大变局深度演化与我国社会主义现代化建设新征程开局起步相互交融，发展的外部环境和内部条件将发生深刻变化，进入新的战略机遇期。</w:t>
      </w:r>
    </w:p>
    <w:p w14:paraId="4CA96164"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从国际看，</w:t>
      </w:r>
      <w:r>
        <w:rPr>
          <w:rFonts w:ascii="仿宋_GB2312" w:eastAsia="仿宋_GB2312" w:hAnsi="仿宋_GB2312" w:cs="仿宋_GB2312" w:hint="eastAsia"/>
          <w:szCs w:val="32"/>
        </w:rPr>
        <w:t>世界处于百年未有之大变局深度演化期，外部发展环境更加错综复杂。</w:t>
      </w:r>
      <w:r>
        <w:rPr>
          <w:rFonts w:ascii="仿宋_GB2312" w:eastAsia="仿宋_GB2312" w:hAnsi="仿宋_GB2312" w:cs="仿宋_GB2312" w:hint="eastAsia"/>
          <w:b/>
          <w:bCs/>
          <w:szCs w:val="32"/>
        </w:rPr>
        <w:t>一是</w:t>
      </w:r>
      <w:r>
        <w:rPr>
          <w:rFonts w:ascii="仿宋_GB2312" w:eastAsia="仿宋_GB2312" w:hAnsi="仿宋_GB2312" w:cs="仿宋_GB2312" w:hint="eastAsia"/>
          <w:szCs w:val="32"/>
        </w:rPr>
        <w:t>全球经济多元化格局加速演进。世界经济的传统增长动能正在减弱，国际分工格局面临</w:t>
      </w:r>
      <w:r>
        <w:rPr>
          <w:rFonts w:ascii="仿宋_GB2312" w:eastAsia="仿宋_GB2312" w:hAnsi="仿宋_GB2312" w:cs="仿宋_GB2312" w:hint="eastAsia"/>
          <w:szCs w:val="32"/>
        </w:rPr>
        <w:lastRenderedPageBreak/>
        <w:t>系统性调整，我国产业发展面临着与美、英、德等发达国家争夺科技竞争的压力。</w:t>
      </w:r>
      <w:r>
        <w:rPr>
          <w:rFonts w:ascii="仿宋_GB2312" w:eastAsia="仿宋_GB2312" w:hAnsi="仿宋_GB2312" w:cs="仿宋_GB2312" w:hint="eastAsia"/>
          <w:b/>
          <w:bCs/>
          <w:szCs w:val="32"/>
        </w:rPr>
        <w:t>二是</w:t>
      </w:r>
      <w:r>
        <w:rPr>
          <w:rFonts w:ascii="仿宋_GB2312" w:eastAsia="仿宋_GB2312" w:hAnsi="仿宋_GB2312" w:cs="仿宋_GB2312" w:hint="eastAsia"/>
          <w:szCs w:val="32"/>
        </w:rPr>
        <w:t>全球产业链、</w:t>
      </w:r>
      <w:proofErr w:type="gramStart"/>
      <w:r>
        <w:rPr>
          <w:rFonts w:ascii="仿宋_GB2312" w:eastAsia="仿宋_GB2312" w:hAnsi="仿宋_GB2312" w:cs="仿宋_GB2312" w:hint="eastAsia"/>
          <w:szCs w:val="32"/>
        </w:rPr>
        <w:t>价值链正加速</w:t>
      </w:r>
      <w:proofErr w:type="gramEnd"/>
      <w:r>
        <w:rPr>
          <w:rFonts w:ascii="仿宋_GB2312" w:eastAsia="仿宋_GB2312" w:hAnsi="仿宋_GB2312" w:cs="仿宋_GB2312" w:hint="eastAsia"/>
          <w:szCs w:val="32"/>
        </w:rPr>
        <w:t>重构。全球进入科技创新高度活跃期，物联网、大数据、人工智能、</w:t>
      </w:r>
      <w:r>
        <w:rPr>
          <w:rFonts w:ascii="仿宋_GB2312" w:eastAsia="仿宋_GB2312" w:hAnsi="仿宋_GB2312" w:cs="仿宋_GB2312"/>
          <w:szCs w:val="32"/>
        </w:rPr>
        <w:t>5G</w:t>
      </w:r>
      <w:r>
        <w:rPr>
          <w:rFonts w:ascii="仿宋_GB2312" w:eastAsia="仿宋_GB2312" w:hAnsi="仿宋_GB2312" w:cs="仿宋_GB2312" w:hint="eastAsia"/>
          <w:szCs w:val="32"/>
        </w:rPr>
        <w:t>技术、</w:t>
      </w:r>
      <w:r>
        <w:rPr>
          <w:rFonts w:ascii="仿宋_GB2312" w:eastAsia="仿宋_GB2312" w:hAnsi="仿宋_GB2312" w:cs="仿宋_GB2312"/>
          <w:szCs w:val="32"/>
        </w:rPr>
        <w:t>3D</w:t>
      </w:r>
      <w:r>
        <w:rPr>
          <w:rFonts w:ascii="仿宋_GB2312" w:eastAsia="仿宋_GB2312" w:hAnsi="仿宋_GB2312" w:cs="仿宋_GB2312" w:hint="eastAsia"/>
          <w:szCs w:val="32"/>
        </w:rPr>
        <w:t>打印等新技术、新业</w:t>
      </w:r>
      <w:proofErr w:type="gramStart"/>
      <w:r>
        <w:rPr>
          <w:rFonts w:ascii="仿宋_GB2312" w:eastAsia="仿宋_GB2312" w:hAnsi="仿宋_GB2312" w:cs="仿宋_GB2312" w:hint="eastAsia"/>
          <w:szCs w:val="32"/>
        </w:rPr>
        <w:t>态不断</w:t>
      </w:r>
      <w:proofErr w:type="gramEnd"/>
      <w:r>
        <w:rPr>
          <w:rFonts w:ascii="仿宋_GB2312" w:eastAsia="仿宋_GB2312" w:hAnsi="仿宋_GB2312" w:cs="仿宋_GB2312" w:hint="eastAsia"/>
          <w:szCs w:val="32"/>
        </w:rPr>
        <w:t>涌现，将引发产业链分工和生产组织网络发生重大调整，也为新兴市场国家在一些关键领域率先突破提供契机。</w:t>
      </w:r>
      <w:r>
        <w:rPr>
          <w:rFonts w:ascii="仿宋_GB2312" w:eastAsia="仿宋_GB2312" w:hAnsi="仿宋_GB2312" w:cs="仿宋_GB2312" w:hint="eastAsia"/>
          <w:b/>
          <w:bCs/>
          <w:szCs w:val="32"/>
        </w:rPr>
        <w:t>三是</w:t>
      </w:r>
      <w:r>
        <w:rPr>
          <w:rFonts w:ascii="仿宋_GB2312" w:eastAsia="仿宋_GB2312" w:hAnsi="仿宋_GB2312" w:cs="仿宋_GB2312" w:hint="eastAsia"/>
          <w:szCs w:val="32"/>
        </w:rPr>
        <w:t>国际经济贸易规则正面临重构。以美国为主的少数国家，越来越明显地实行单边主义和贸易保护主义策略，对多年建立起来的国际协商合作关系构成严重挑战，主要经济体间市场竞争激化。</w:t>
      </w:r>
    </w:p>
    <w:p w14:paraId="190A0A7A"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从国内看，</w:t>
      </w:r>
      <w:r>
        <w:rPr>
          <w:rFonts w:ascii="仿宋_GB2312" w:eastAsia="仿宋_GB2312" w:hAnsi="仿宋_GB2312" w:cs="仿宋_GB2312" w:hint="eastAsia"/>
          <w:szCs w:val="32"/>
        </w:rPr>
        <w:t>中国特色社会主义进入新时代，高质量发展成为社会经济发展的主基调。一</w:t>
      </w:r>
      <w:r>
        <w:rPr>
          <w:rFonts w:ascii="仿宋_GB2312" w:eastAsia="仿宋_GB2312" w:hAnsi="仿宋_GB2312" w:cs="仿宋_GB2312" w:hint="eastAsia"/>
          <w:b/>
          <w:bCs/>
          <w:szCs w:val="32"/>
        </w:rPr>
        <w:t>是</w:t>
      </w:r>
      <w:r>
        <w:rPr>
          <w:rFonts w:ascii="仿宋_GB2312" w:eastAsia="仿宋_GB2312" w:hAnsi="仿宋_GB2312" w:cs="仿宋_GB2312" w:hint="eastAsia"/>
          <w:szCs w:val="32"/>
        </w:rPr>
        <w:t>创新驱动发展处于重大突破期。面对我国产业发展“大而不强”，创新能力薄弱，产业附加值低，还存在许多“卡脖子”领域的问题。我国加快建设创新型国家，出台七大新兴产业新基建计划，这将对传统制造业产业链、价值链带来革命性影响。</w:t>
      </w:r>
      <w:r>
        <w:rPr>
          <w:rFonts w:ascii="仿宋_GB2312" w:eastAsia="仿宋_GB2312" w:hAnsi="仿宋_GB2312" w:cs="仿宋_GB2312" w:hint="eastAsia"/>
          <w:b/>
          <w:bCs/>
          <w:szCs w:val="32"/>
        </w:rPr>
        <w:t>二是</w:t>
      </w:r>
      <w:r>
        <w:rPr>
          <w:rFonts w:ascii="仿宋_GB2312" w:eastAsia="仿宋_GB2312" w:hAnsi="仿宋_GB2312" w:cs="仿宋_GB2312" w:hint="eastAsia"/>
          <w:szCs w:val="32"/>
        </w:rPr>
        <w:t>竞争优势处于重塑期。随着劳动力、土地、资源等要素成本上升和环境成本内生化，支撑我国长期快速发展的低成本优势明显减弱，新动能还难以弥补增长缺口。如何更好地利用知识、技术、管理、数据等新生产要素和市场规模优势，培育竞争新优势、壮大新动能形势迫切。</w:t>
      </w:r>
      <w:r>
        <w:rPr>
          <w:rFonts w:ascii="仿宋_GB2312" w:eastAsia="仿宋_GB2312" w:hAnsi="仿宋_GB2312" w:cs="仿宋_GB2312" w:hint="eastAsia"/>
          <w:b/>
          <w:bCs/>
          <w:szCs w:val="32"/>
        </w:rPr>
        <w:t>三是</w:t>
      </w:r>
      <w:r>
        <w:rPr>
          <w:rFonts w:ascii="仿宋_GB2312" w:eastAsia="仿宋_GB2312" w:hAnsi="仿宋_GB2312" w:cs="仿宋_GB2312" w:hint="eastAsia"/>
          <w:szCs w:val="32"/>
        </w:rPr>
        <w:t>需求结构处于提升期。受全球市场低迷和中美经贸摩擦等因素制约，保持出口快速增长难度明显加大。我国拥有世界最多人口和最庞大中等收入群体，</w:t>
      </w:r>
      <w:r>
        <w:rPr>
          <w:rFonts w:ascii="仿宋_GB2312" w:eastAsia="仿宋_GB2312" w:hAnsi="仿宋_GB2312" w:cs="仿宋_GB2312" w:hint="eastAsia"/>
          <w:szCs w:val="32"/>
        </w:rPr>
        <w:lastRenderedPageBreak/>
        <w:t>消费总量扩大和结构升级空间广阔，消费升级和供给提升的投资潜力巨大，将国内市场的规模优势转化为新一轮发展优势的要求更加突出。</w:t>
      </w:r>
      <w:r>
        <w:rPr>
          <w:rFonts w:ascii="仿宋_GB2312" w:eastAsia="仿宋_GB2312" w:hAnsi="仿宋_GB2312" w:cs="仿宋_GB2312" w:hint="eastAsia"/>
          <w:b/>
          <w:bCs/>
          <w:szCs w:val="32"/>
        </w:rPr>
        <w:t>四是</w:t>
      </w:r>
      <w:r>
        <w:rPr>
          <w:rFonts w:ascii="仿宋_GB2312" w:eastAsia="仿宋_GB2312" w:hAnsi="仿宋_GB2312" w:cs="仿宋_GB2312" w:hint="eastAsia"/>
          <w:szCs w:val="32"/>
        </w:rPr>
        <w:t>城乡融合发展处于深化期。“十四五”时期，随着我国综合交通体系的大幅度提升，特别是高铁网络的深入布局，区域间要素流动将加快发展，城市发展、城镇发展、乡村振兴、城乡协调发展迎来新的机遇。</w:t>
      </w:r>
    </w:p>
    <w:p w14:paraId="3140B94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从全省看，一是</w:t>
      </w:r>
      <w:r>
        <w:rPr>
          <w:rFonts w:ascii="仿宋_GB2312" w:eastAsia="仿宋_GB2312" w:hAnsi="仿宋_GB2312" w:cs="仿宋_GB2312" w:hint="eastAsia"/>
          <w:szCs w:val="32"/>
        </w:rPr>
        <w:t>习近平总书记为江西发展擘画了发展蓝图，为江西发展指明的前进方向。“十三五”期间，习近平总书记先后两次亲临江西视察指导，特别是对江西提出“在加快革命老区高质量发展上作示范，在推动中部地区崛起上勇争先”的目标定位和“五个推进”的更高要求，为新时代江西改革发展提供了根本遵循，注入了澎湃动力。</w:t>
      </w:r>
      <w:r>
        <w:rPr>
          <w:rFonts w:ascii="仿宋_GB2312" w:eastAsia="仿宋_GB2312" w:hAnsi="仿宋_GB2312" w:cs="仿宋_GB2312" w:hint="eastAsia"/>
          <w:b/>
          <w:bCs/>
          <w:szCs w:val="32"/>
        </w:rPr>
        <w:t>二是</w:t>
      </w:r>
      <w:r>
        <w:rPr>
          <w:rFonts w:ascii="仿宋_GB2312" w:eastAsia="仿宋_GB2312" w:hAnsi="仿宋_GB2312" w:cs="仿宋_GB2312" w:hint="eastAsia"/>
          <w:szCs w:val="32"/>
        </w:rPr>
        <w:t>“四面逢源”区位优势进一步提升。我省“连南接北、承东启西、通江达海”的交通优势愈发凸显，</w:t>
      </w:r>
      <w:proofErr w:type="gramStart"/>
      <w:r>
        <w:rPr>
          <w:rFonts w:ascii="仿宋_GB2312" w:eastAsia="仿宋_GB2312" w:hAnsi="仿宋_GB2312" w:cs="仿宋_GB2312" w:hint="eastAsia"/>
          <w:szCs w:val="32"/>
        </w:rPr>
        <w:t>毗邻长</w:t>
      </w:r>
      <w:proofErr w:type="gramEnd"/>
      <w:r>
        <w:rPr>
          <w:rFonts w:ascii="仿宋_GB2312" w:eastAsia="仿宋_GB2312" w:hAnsi="仿宋_GB2312" w:cs="仿宋_GB2312" w:hint="eastAsia"/>
          <w:szCs w:val="32"/>
        </w:rPr>
        <w:t>珠闽、连接中西部、内陆腹地广阔的战略地位愈发重要，融入“一带一路”、长江经济带、中部地区崛起，</w:t>
      </w:r>
      <w:proofErr w:type="gramStart"/>
      <w:r>
        <w:rPr>
          <w:rFonts w:ascii="仿宋_GB2312" w:eastAsia="仿宋_GB2312" w:hAnsi="仿宋_GB2312" w:cs="仿宋_GB2312" w:hint="eastAsia"/>
          <w:szCs w:val="32"/>
        </w:rPr>
        <w:t>对接长</w:t>
      </w:r>
      <w:proofErr w:type="gramEnd"/>
      <w:r>
        <w:rPr>
          <w:rFonts w:ascii="仿宋_GB2312" w:eastAsia="仿宋_GB2312" w:hAnsi="仿宋_GB2312" w:cs="仿宋_GB2312" w:hint="eastAsia"/>
          <w:szCs w:val="32"/>
        </w:rPr>
        <w:t>三角一体化、粤港澳大湾区建设等国家战略叠加效应愈发显现。</w:t>
      </w:r>
      <w:r>
        <w:rPr>
          <w:rFonts w:ascii="仿宋_GB2312" w:eastAsia="仿宋_GB2312" w:hAnsi="仿宋_GB2312" w:cs="仿宋_GB2312" w:hint="eastAsia"/>
          <w:b/>
          <w:bCs/>
          <w:szCs w:val="32"/>
        </w:rPr>
        <w:t>三是</w:t>
      </w:r>
      <w:r>
        <w:rPr>
          <w:rFonts w:ascii="仿宋_GB2312" w:eastAsia="仿宋_GB2312" w:hAnsi="仿宋_GB2312" w:cs="仿宋_GB2312" w:hint="eastAsia"/>
          <w:szCs w:val="32"/>
        </w:rPr>
        <w:t>美丽中国“江西样板”品牌效应日益显现。作为首批三个国家生态文明试验区之一，我省生态条件优越，生态资源丰富，生态经济居前，生态文明领先，产业生态化、生态产业化水平不断提升，特色优势独具竞争力。四是内陆开放型经济试验区带来新机遇。这是全国第</w:t>
      </w:r>
      <w:r>
        <w:rPr>
          <w:rFonts w:ascii="仿宋_GB2312" w:eastAsia="仿宋_GB2312" w:hAnsi="仿宋_GB2312" w:cs="仿宋_GB2312"/>
          <w:szCs w:val="32"/>
        </w:rPr>
        <w:t>3</w:t>
      </w:r>
      <w:r>
        <w:rPr>
          <w:rFonts w:ascii="仿宋_GB2312" w:eastAsia="仿宋_GB2312" w:hAnsi="仿宋_GB2312" w:cs="仿宋_GB2312" w:hint="eastAsia"/>
          <w:szCs w:val="32"/>
        </w:rPr>
        <w:t>个、中部首</w:t>
      </w:r>
      <w:proofErr w:type="gramStart"/>
      <w:r>
        <w:rPr>
          <w:rFonts w:ascii="仿宋_GB2312" w:eastAsia="仿宋_GB2312" w:hAnsi="仿宋_GB2312" w:cs="仿宋_GB2312" w:hint="eastAsia"/>
          <w:szCs w:val="32"/>
        </w:rPr>
        <w:t>个</w:t>
      </w:r>
      <w:proofErr w:type="gramEnd"/>
      <w:r>
        <w:rPr>
          <w:rFonts w:ascii="仿宋_GB2312" w:eastAsia="仿宋_GB2312" w:hAnsi="仿宋_GB2312" w:cs="仿宋_GB2312" w:hint="eastAsia"/>
          <w:szCs w:val="32"/>
        </w:rPr>
        <w:t>国家级内陆开放型经济试验区，</w:t>
      </w:r>
      <w:r>
        <w:rPr>
          <w:rFonts w:ascii="仿宋_GB2312" w:eastAsia="仿宋_GB2312" w:hAnsi="仿宋_GB2312" w:cs="仿宋_GB2312" w:hint="eastAsia"/>
          <w:szCs w:val="32"/>
        </w:rPr>
        <w:lastRenderedPageBreak/>
        <w:t>是继国家生态文明试验区之后又一个覆盖全省范围的具有里程碑意义的重大国家战略，有利于中部地区承接产业转移新模式，有利于探索革命老区高质量发展新路径。</w:t>
      </w:r>
    </w:p>
    <w:p w14:paraId="1B115D52" w14:textId="77777777" w:rsidR="00EE55DB" w:rsidRDefault="00000000">
      <w:pPr>
        <w:pStyle w:val="a0"/>
        <w:ind w:firstLine="640"/>
        <w:rPr>
          <w:rFonts w:ascii="仿宋_GB2312" w:eastAsia="仿宋_GB2312" w:hAnsi="仿宋_GB2312" w:cs="仿宋_GB2312"/>
          <w:szCs w:val="32"/>
        </w:rPr>
      </w:pPr>
      <w:r>
        <w:rPr>
          <w:rFonts w:ascii="仿宋_GB2312" w:eastAsia="仿宋_GB2312" w:hAnsi="仿宋_GB2312" w:cs="仿宋_GB2312" w:hint="eastAsia"/>
          <w:b/>
          <w:bCs/>
          <w:szCs w:val="32"/>
        </w:rPr>
        <w:t>从全市看，一是</w:t>
      </w:r>
      <w:r>
        <w:rPr>
          <w:rFonts w:ascii="仿宋_GB2312" w:eastAsia="仿宋_GB2312" w:hAnsi="仿宋_GB2312" w:cs="仿宋_GB2312" w:hint="eastAsia"/>
          <w:szCs w:val="32"/>
        </w:rPr>
        <w:t>九江市</w:t>
      </w:r>
      <w:r>
        <w:rPr>
          <w:rFonts w:ascii="仿宋_GB2312" w:eastAsia="仿宋_GB2312" w:hAnsi="仿宋_GB2312" w:cs="仿宋_GB2312" w:hint="eastAsia"/>
          <w:color w:val="000000"/>
          <w:szCs w:val="32"/>
        </w:rPr>
        <w:t>港口资源整合改</w:t>
      </w:r>
      <w:r>
        <w:rPr>
          <w:rFonts w:ascii="仿宋_GB2312" w:eastAsia="仿宋_GB2312" w:hAnsi="仿宋_GB2312" w:cs="仿宋_GB2312" w:hint="eastAsia"/>
          <w:szCs w:val="32"/>
        </w:rPr>
        <w:t>革</w:t>
      </w:r>
      <w:r>
        <w:rPr>
          <w:rFonts w:ascii="仿宋_GB2312" w:eastAsia="仿宋_GB2312" w:hAnsi="仿宋_GB2312" w:cs="仿宋_GB2312" w:hint="eastAsia"/>
          <w:color w:val="000000"/>
          <w:szCs w:val="32"/>
        </w:rPr>
        <w:t>高效推进，江海直达区域航运中心加快建设，开放平台能级不断提升，江海联动、双向开放的全新格局正在形成</w:t>
      </w:r>
      <w:r>
        <w:rPr>
          <w:rFonts w:ascii="仿宋_GB2312" w:eastAsia="仿宋_GB2312" w:hAnsi="仿宋_GB2312" w:cs="仿宋_GB2312" w:hint="eastAsia"/>
          <w:szCs w:val="32"/>
        </w:rPr>
        <w:t>。</w:t>
      </w:r>
      <w:r>
        <w:rPr>
          <w:rFonts w:ascii="仿宋_GB2312" w:eastAsia="仿宋_GB2312" w:hAnsi="仿宋_GB2312" w:cs="仿宋_GB2312" w:hint="eastAsia"/>
          <w:b/>
          <w:bCs/>
          <w:szCs w:val="32"/>
        </w:rPr>
        <w:t>二是</w:t>
      </w:r>
      <w:r>
        <w:rPr>
          <w:rFonts w:ascii="仿宋_GB2312" w:eastAsia="仿宋_GB2312" w:hAnsi="仿宋_GB2312" w:cs="仿宋_GB2312" w:hint="eastAsia"/>
          <w:szCs w:val="32"/>
        </w:rPr>
        <w:t>随着“一带一路”、长江经济带、长江中游城市群、昌九一体化战略持续深入推进，为九江打造赣</w:t>
      </w:r>
      <w:proofErr w:type="gramStart"/>
      <w:r>
        <w:rPr>
          <w:rFonts w:ascii="仿宋_GB2312" w:eastAsia="仿宋_GB2312" w:hAnsi="仿宋_GB2312" w:cs="仿宋_GB2312" w:hint="eastAsia"/>
          <w:szCs w:val="32"/>
        </w:rPr>
        <w:t>北开放</w:t>
      </w:r>
      <w:proofErr w:type="gramEnd"/>
      <w:r>
        <w:rPr>
          <w:rFonts w:ascii="仿宋_GB2312" w:eastAsia="仿宋_GB2312" w:hAnsi="仿宋_GB2312" w:cs="仿宋_GB2312" w:hint="eastAsia"/>
          <w:szCs w:val="32"/>
        </w:rPr>
        <w:t>大门户积蓄了新优势。</w:t>
      </w:r>
    </w:p>
    <w:p w14:paraId="0435DBE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从全县看，一是</w:t>
      </w:r>
      <w:r>
        <w:rPr>
          <w:rFonts w:ascii="仿宋_GB2312" w:eastAsia="仿宋_GB2312" w:hAnsi="仿宋_GB2312" w:cs="仿宋_GB2312" w:hint="eastAsia"/>
          <w:szCs w:val="32"/>
        </w:rPr>
        <w:t>随着大南昌都市圈、赣江新区建设全面启动，永修作为昌九一体化的桥头堡、赣江新区的核心板块，地位和作用更加凸显。</w:t>
      </w:r>
      <w:r>
        <w:rPr>
          <w:rFonts w:ascii="仿宋_GB2312" w:eastAsia="仿宋_GB2312" w:hAnsi="仿宋_GB2312" w:cs="仿宋_GB2312" w:hint="eastAsia"/>
          <w:b/>
          <w:bCs/>
          <w:szCs w:val="32"/>
        </w:rPr>
        <w:t>二是</w:t>
      </w:r>
      <w:r>
        <w:rPr>
          <w:rFonts w:ascii="仿宋_GB2312" w:eastAsia="仿宋_GB2312" w:hAnsi="仿宋_GB2312" w:cs="仿宋_GB2312" w:hint="eastAsia"/>
          <w:szCs w:val="32"/>
        </w:rPr>
        <w:t>面临产业转移机遇。利用国家新一轮产业“腾笼换鸟”“异地升级”的大好机遇，在产业基础好、市场潜能大的既有优势上，充分发挥产业园区的载体功能</w:t>
      </w:r>
      <w:r>
        <w:rPr>
          <w:rFonts w:ascii="仿宋_GB2312" w:eastAsia="仿宋_GB2312" w:hAnsi="仿宋_GB2312" w:cs="仿宋_GB2312"/>
          <w:szCs w:val="32"/>
        </w:rPr>
        <w:t>,</w:t>
      </w:r>
      <w:r>
        <w:rPr>
          <w:rFonts w:ascii="仿宋_GB2312" w:eastAsia="仿宋_GB2312" w:hAnsi="仿宋_GB2312" w:cs="仿宋_GB2312" w:hint="eastAsia"/>
          <w:szCs w:val="32"/>
        </w:rPr>
        <w:t>打造优良的“软环境”，依托具有比较优势的资源承载能力和生态环境容量，有选择的承接转移产业，永修的后发优势将更加明显。</w:t>
      </w:r>
    </w:p>
    <w:p w14:paraId="2142AB01"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风险挑战</w:t>
      </w:r>
      <w:r>
        <w:rPr>
          <w:rFonts w:ascii="仿宋_GB2312" w:eastAsia="仿宋_GB2312" w:hAnsi="仿宋_GB2312" w:cs="仿宋_GB2312" w:hint="eastAsia"/>
          <w:szCs w:val="32"/>
        </w:rPr>
        <w:t>。永修尚处于爬坡过坎、提质升级的纵深推进期，在大环境影响下，全县总量与结构、短期与长期、外部与内部的矛盾和问题相互交织，统筹稳增长、促改革、调结构、惠民生、防风险的压力不断加大。</w:t>
      </w:r>
      <w:r>
        <w:rPr>
          <w:rFonts w:ascii="仿宋_GB2312" w:eastAsia="仿宋_GB2312" w:hAnsi="仿宋_GB2312" w:cs="仿宋_GB2312" w:hint="eastAsia"/>
          <w:b/>
          <w:bCs/>
          <w:szCs w:val="32"/>
        </w:rPr>
        <w:t>一是</w:t>
      </w:r>
      <w:r>
        <w:rPr>
          <w:rFonts w:ascii="仿宋_GB2312" w:eastAsia="仿宋_GB2312" w:hAnsi="仿宋_GB2312" w:cs="仿宋_GB2312" w:hint="eastAsia"/>
          <w:szCs w:val="32"/>
        </w:rPr>
        <w:t>支撑经济发展的传统优势产业将会继续处在调整阶段，而新兴产业的动能释放尚不充分，新旧产业面临接续转换。</w:t>
      </w:r>
      <w:r>
        <w:rPr>
          <w:rFonts w:ascii="仿宋_GB2312" w:eastAsia="仿宋_GB2312" w:hAnsi="仿宋_GB2312" w:cs="仿宋_GB2312" w:hint="eastAsia"/>
          <w:b/>
          <w:bCs/>
          <w:szCs w:val="32"/>
        </w:rPr>
        <w:t>二是</w:t>
      </w:r>
      <w:r>
        <w:rPr>
          <w:rFonts w:ascii="仿宋_GB2312" w:eastAsia="仿宋_GB2312" w:hAnsi="仿宋_GB2312" w:cs="仿宋_GB2312" w:hint="eastAsia"/>
          <w:szCs w:val="32"/>
        </w:rPr>
        <w:t>全县将面临区域</w:t>
      </w:r>
      <w:r>
        <w:rPr>
          <w:rFonts w:ascii="仿宋_GB2312" w:eastAsia="仿宋_GB2312" w:hAnsi="仿宋_GB2312" w:cs="仿宋_GB2312" w:hint="eastAsia"/>
          <w:szCs w:val="32"/>
        </w:rPr>
        <w:lastRenderedPageBreak/>
        <w:t>竞争更加激烈的“挤压”，尤其是县域经济</w:t>
      </w:r>
      <w:proofErr w:type="gramStart"/>
      <w:r>
        <w:rPr>
          <w:rFonts w:ascii="仿宋_GB2312" w:eastAsia="仿宋_GB2312" w:hAnsi="仿宋_GB2312" w:cs="仿宋_GB2312" w:hint="eastAsia"/>
          <w:szCs w:val="32"/>
        </w:rPr>
        <w:t>不</w:t>
      </w:r>
      <w:proofErr w:type="gramEnd"/>
      <w:r>
        <w:rPr>
          <w:rFonts w:ascii="仿宋_GB2312" w:eastAsia="仿宋_GB2312" w:hAnsi="仿宋_GB2312" w:cs="仿宋_GB2312" w:hint="eastAsia"/>
          <w:szCs w:val="32"/>
        </w:rPr>
        <w:t>强将制约全县在项目、人才、资本、技术、管理等要素方面集聚。</w:t>
      </w:r>
      <w:r>
        <w:rPr>
          <w:rFonts w:ascii="仿宋_GB2312" w:eastAsia="仿宋_GB2312" w:hAnsi="仿宋_GB2312" w:cs="仿宋_GB2312" w:hint="eastAsia"/>
          <w:b/>
          <w:bCs/>
          <w:szCs w:val="32"/>
        </w:rPr>
        <w:t>三是</w:t>
      </w:r>
      <w:r>
        <w:rPr>
          <w:rFonts w:ascii="仿宋_GB2312" w:eastAsia="仿宋_GB2312" w:hAnsi="仿宋_GB2312" w:cs="仿宋_GB2312" w:hint="eastAsia"/>
          <w:szCs w:val="32"/>
        </w:rPr>
        <w:t>随着经济社会结构深刻变化，资源环境约束增加经济发展的不确定性，社会风险将呈现外部内部连锁联动、显性隐性交织的态势。</w:t>
      </w:r>
    </w:p>
    <w:p w14:paraId="15A6F6AB"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综合</w:t>
      </w:r>
      <w:proofErr w:type="gramStart"/>
      <w:r>
        <w:rPr>
          <w:rFonts w:ascii="仿宋_GB2312" w:eastAsia="仿宋_GB2312" w:hAnsi="仿宋_GB2312" w:cs="仿宋_GB2312" w:hint="eastAsia"/>
          <w:b/>
          <w:bCs/>
          <w:szCs w:val="32"/>
        </w:rPr>
        <w:t>研</w:t>
      </w:r>
      <w:proofErr w:type="gramEnd"/>
      <w:r>
        <w:rPr>
          <w:rFonts w:ascii="仿宋_GB2312" w:eastAsia="仿宋_GB2312" w:hAnsi="仿宋_GB2312" w:cs="仿宋_GB2312" w:hint="eastAsia"/>
          <w:b/>
          <w:bCs/>
          <w:szCs w:val="32"/>
        </w:rPr>
        <w:t>判</w:t>
      </w:r>
      <w:r>
        <w:rPr>
          <w:rFonts w:ascii="仿宋_GB2312" w:eastAsia="仿宋_GB2312" w:hAnsi="仿宋_GB2312" w:cs="仿宋_GB2312" w:hint="eastAsia"/>
          <w:szCs w:val="32"/>
        </w:rPr>
        <w:t>，“十四五”时期，永修县发展机遇大于挑战，发展空间依然较大，仍然是大有可为的战略机遇期，更是需要主动创造的战略机遇期，要将“变”的挑战转化为“进”的机遇，开创永修高质量跨越式发展新局面。</w:t>
      </w:r>
    </w:p>
    <w:p w14:paraId="4151C587" w14:textId="77777777" w:rsidR="00EE55DB" w:rsidRDefault="00000000">
      <w:pPr>
        <w:pStyle w:val="2"/>
        <w:spacing w:before="156" w:after="156"/>
      </w:pPr>
      <w:bookmarkStart w:id="11" w:name="_Toc9525"/>
      <w:bookmarkStart w:id="12" w:name="_Toc10459"/>
      <w:r>
        <w:rPr>
          <w:rFonts w:hint="eastAsia"/>
        </w:rPr>
        <w:t>第三节</w:t>
      </w:r>
      <w:r>
        <w:t xml:space="preserve"> </w:t>
      </w:r>
      <w:r>
        <w:rPr>
          <w:rFonts w:hint="eastAsia"/>
        </w:rPr>
        <w:t>总体要求</w:t>
      </w:r>
      <w:bookmarkEnd w:id="11"/>
      <w:bookmarkEnd w:id="12"/>
    </w:p>
    <w:p w14:paraId="7913A9DA"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color w:val="000000"/>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坚决贯彻习近平总书记视察江西重要讲话精神，聚焦“做示范、勇争先”目标定位和“五个推进”重要要求，统筹推进“五位一体”总体布局，协调推进“四个全面”战略布局，全面落实省委“二十四字”工作思路，对标对表“五个奋勇争先”更高要求，坚持党的全面领导，坚持以人民为中心，坚持新发展理念，坚持系统观念，坚持稳中求进工作总基调，以推动高质量跨越式发展为主题，以深化供给侧结构性改革为主线，以改革创新为根本动力，以满足人民日益增长的美</w:t>
      </w:r>
      <w:r>
        <w:rPr>
          <w:rFonts w:ascii="仿宋_GB2312" w:eastAsia="仿宋_GB2312" w:hAnsi="仿宋_GB2312" w:cs="仿宋_GB2312" w:hint="eastAsia"/>
          <w:color w:val="000000"/>
          <w:szCs w:val="32"/>
        </w:rPr>
        <w:lastRenderedPageBreak/>
        <w:t>好生活需要为根本目的，加快构建具有永修特色的现代化经济体系、创新体系和治理体系，以县域经济强县为标杆，融入赣江新区，着力构建工业升级、</w:t>
      </w:r>
      <w:proofErr w:type="gramStart"/>
      <w:r>
        <w:rPr>
          <w:rFonts w:ascii="仿宋_GB2312" w:eastAsia="仿宋_GB2312" w:hAnsi="仿宋_GB2312" w:cs="仿宋_GB2312" w:hint="eastAsia"/>
          <w:color w:val="000000"/>
          <w:szCs w:val="32"/>
        </w:rPr>
        <w:t>产城融合</w:t>
      </w:r>
      <w:proofErr w:type="gramEnd"/>
      <w:r>
        <w:rPr>
          <w:rFonts w:ascii="仿宋_GB2312" w:eastAsia="仿宋_GB2312" w:hAnsi="仿宋_GB2312" w:cs="仿宋_GB2312" w:hint="eastAsia"/>
          <w:color w:val="000000"/>
          <w:szCs w:val="32"/>
        </w:rPr>
        <w:t>、乡村振兴、改革创新、民生改善的高质量发展新格局，在更高水平上把永修打造成中部地区先进制造业示范县、长江经济</w:t>
      </w:r>
      <w:proofErr w:type="gramStart"/>
      <w:r>
        <w:rPr>
          <w:rFonts w:ascii="仿宋_GB2312" w:eastAsia="仿宋_GB2312" w:hAnsi="仿宋_GB2312" w:cs="仿宋_GB2312" w:hint="eastAsia"/>
          <w:color w:val="000000"/>
          <w:szCs w:val="32"/>
        </w:rPr>
        <w:t>带现代</w:t>
      </w:r>
      <w:proofErr w:type="gramEnd"/>
      <w:r>
        <w:rPr>
          <w:rFonts w:ascii="仿宋_GB2312" w:eastAsia="仿宋_GB2312" w:hAnsi="仿宋_GB2312" w:cs="仿宋_GB2312" w:hint="eastAsia"/>
          <w:color w:val="000000"/>
          <w:szCs w:val="32"/>
        </w:rPr>
        <w:t>农业示范</w:t>
      </w:r>
      <w:r>
        <w:rPr>
          <w:rFonts w:ascii="仿宋_GB2312" w:eastAsia="仿宋_GB2312" w:hAnsi="仿宋_GB2312" w:cs="仿宋_GB2312" w:hint="eastAsia"/>
          <w:szCs w:val="32"/>
        </w:rPr>
        <w:t>县、国家级全域旅游示范县，奋力擘画永修高质量跨越式发展新蓝图。</w:t>
      </w:r>
    </w:p>
    <w:p w14:paraId="0267F9EC" w14:textId="77777777" w:rsidR="00EE55DB" w:rsidRDefault="00000000">
      <w:pPr>
        <w:pStyle w:val="2"/>
        <w:spacing w:before="156" w:after="156"/>
      </w:pPr>
      <w:bookmarkStart w:id="13" w:name="_Toc2802"/>
      <w:bookmarkStart w:id="14" w:name="_Toc28923"/>
      <w:r>
        <w:rPr>
          <w:rFonts w:hint="eastAsia"/>
        </w:rPr>
        <w:t>第四节</w:t>
      </w:r>
      <w:r>
        <w:t xml:space="preserve"> </w:t>
      </w:r>
      <w:r>
        <w:rPr>
          <w:rFonts w:hint="eastAsia"/>
        </w:rPr>
        <w:t>发展目标</w:t>
      </w:r>
      <w:bookmarkEnd w:id="13"/>
      <w:bookmarkEnd w:id="14"/>
    </w:p>
    <w:p w14:paraId="69EB9199"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color w:val="000000"/>
          <w:szCs w:val="32"/>
        </w:rPr>
        <w:t>展望二〇三五年，永修与全国、全省同步基本实现现代化。富强民主文明和谐美丽现代化新永修基本建成，成为新时代全面展示大南昌都市圈县域现代化的重要窗口。经济实力、产业规模、科技创新能力将大幅跃升，经济总量和城乡居民人均收入将再迈上新的更大台阶，基本实现新型工业化、信息化、城镇化、农业现代化，加快建设工业强县、农业强县、旅游强县、交通强县，建成具有永修特色的现代化经济体系。县域治理体系和治理能力现代化基本实现，法治永修基本建成。国民素质和社会文明程度达到新高度，文化</w:t>
      </w:r>
      <w:proofErr w:type="gramStart"/>
      <w:r>
        <w:rPr>
          <w:rFonts w:ascii="仿宋_GB2312" w:eastAsia="仿宋_GB2312" w:hAnsi="仿宋_GB2312" w:cs="仿宋_GB2312" w:hint="eastAsia"/>
          <w:color w:val="000000"/>
          <w:szCs w:val="32"/>
        </w:rPr>
        <w:t>软实力</w:t>
      </w:r>
      <w:proofErr w:type="gramEnd"/>
      <w:r>
        <w:rPr>
          <w:rFonts w:ascii="仿宋_GB2312" w:eastAsia="仿宋_GB2312" w:hAnsi="仿宋_GB2312" w:cs="仿宋_GB2312" w:hint="eastAsia"/>
          <w:color w:val="000000"/>
          <w:szCs w:val="32"/>
        </w:rPr>
        <w:t>显著增强，文明永修建</w:t>
      </w:r>
      <w:proofErr w:type="gramStart"/>
      <w:r>
        <w:rPr>
          <w:rFonts w:ascii="仿宋_GB2312" w:eastAsia="仿宋_GB2312" w:hAnsi="仿宋_GB2312" w:cs="仿宋_GB2312" w:hint="eastAsia"/>
          <w:color w:val="000000"/>
          <w:szCs w:val="32"/>
        </w:rPr>
        <w:t>设取得</w:t>
      </w:r>
      <w:proofErr w:type="gramEnd"/>
      <w:r>
        <w:rPr>
          <w:rFonts w:ascii="仿宋_GB2312" w:eastAsia="仿宋_GB2312" w:hAnsi="仿宋_GB2312" w:cs="仿宋_GB2312" w:hint="eastAsia"/>
          <w:color w:val="000000"/>
          <w:szCs w:val="32"/>
        </w:rPr>
        <w:t>更大成效。广泛形成绿色生产生活方式，人与自然和谐共生，生态环境质量保持全国前列，美丽永修建</w:t>
      </w:r>
      <w:proofErr w:type="gramStart"/>
      <w:r>
        <w:rPr>
          <w:rFonts w:ascii="仿宋_GB2312" w:eastAsia="仿宋_GB2312" w:hAnsi="仿宋_GB2312" w:cs="仿宋_GB2312" w:hint="eastAsia"/>
          <w:color w:val="000000"/>
          <w:szCs w:val="32"/>
        </w:rPr>
        <w:t>设目标</w:t>
      </w:r>
      <w:proofErr w:type="gramEnd"/>
      <w:r>
        <w:rPr>
          <w:rFonts w:ascii="仿宋_GB2312" w:eastAsia="仿宋_GB2312" w:hAnsi="仿宋_GB2312" w:cs="仿宋_GB2312" w:hint="eastAsia"/>
          <w:color w:val="000000"/>
          <w:szCs w:val="32"/>
        </w:rPr>
        <w:t>基本实现。形成双向开放新格局，参与国际国内经济合作和竞争新优势明显增强，建成内陆开放型经济试验区重要节点城市。人均地区生产总值基本达到中</w:t>
      </w:r>
      <w:r>
        <w:rPr>
          <w:rFonts w:ascii="仿宋_GB2312" w:eastAsia="仿宋_GB2312" w:hAnsi="仿宋_GB2312" w:cs="仿宋_GB2312" w:hint="eastAsia"/>
          <w:color w:val="000000"/>
          <w:szCs w:val="32"/>
        </w:rPr>
        <w:lastRenderedPageBreak/>
        <w:t>等发达国家水平，中等收入群体显著扩大，基本公共服务实现均等化，城乡区域发展差距和居民生活水平差距显著缩小。平安永修建设达到更高水平，共建共治共享的社会发展新局面基本形成，社会充满活力又和谐有序。人民生活更加美好，人的全面发展、全体人民共同富裕取得更为明显的实质性进展</w:t>
      </w:r>
      <w:r>
        <w:rPr>
          <w:rFonts w:ascii="仿宋_GB2312" w:eastAsia="仿宋_GB2312" w:hAnsi="仿宋_GB2312" w:cs="仿宋_GB2312" w:hint="eastAsia"/>
          <w:szCs w:val="32"/>
        </w:rPr>
        <w:t>。</w:t>
      </w:r>
    </w:p>
    <w:p w14:paraId="0D3D83A3"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锚定二〇三五年远景目标，综合</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判国内外发展趋势和省情市情县情，今后五年永修经济社会发展的总体目标是：</w:t>
      </w:r>
    </w:p>
    <w:p w14:paraId="0BEFC1A9"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综合实力实现新跨越。</w:t>
      </w:r>
      <w:r>
        <w:rPr>
          <w:rFonts w:ascii="仿宋_GB2312" w:eastAsia="仿宋_GB2312" w:hAnsi="仿宋_GB2312" w:cs="仿宋_GB2312" w:hint="eastAsia"/>
          <w:color w:val="000000"/>
          <w:szCs w:val="32"/>
        </w:rPr>
        <w:t>县域经济实力明显增强，总量明显扩大，经济发展质量稳步提升，对全市经济发展的贡献率明显提高。力争到</w:t>
      </w:r>
      <w:r>
        <w:rPr>
          <w:rFonts w:ascii="仿宋_GB2312" w:eastAsia="仿宋_GB2312" w:hAnsi="仿宋_GB2312" w:cs="仿宋_GB2312"/>
          <w:color w:val="000000"/>
          <w:szCs w:val="32"/>
        </w:rPr>
        <w:t>2025</w:t>
      </w:r>
      <w:r>
        <w:rPr>
          <w:rFonts w:ascii="仿宋_GB2312" w:eastAsia="仿宋_GB2312" w:hAnsi="仿宋_GB2312" w:cs="仿宋_GB2312" w:hint="eastAsia"/>
          <w:color w:val="000000"/>
          <w:szCs w:val="32"/>
        </w:rPr>
        <w:t>年，地区生产总值年均增长</w:t>
      </w:r>
      <w:r>
        <w:rPr>
          <w:rFonts w:ascii="仿宋_GB2312" w:eastAsia="仿宋_GB2312" w:hAnsi="仿宋_GB2312" w:cs="仿宋_GB2312"/>
          <w:color w:val="000000"/>
          <w:szCs w:val="32"/>
        </w:rPr>
        <w:t>8%</w:t>
      </w:r>
      <w:r>
        <w:rPr>
          <w:rFonts w:ascii="仿宋_GB2312" w:eastAsia="仿宋_GB2312" w:hAnsi="仿宋_GB2312" w:cs="仿宋_GB2312" w:hint="eastAsia"/>
          <w:color w:val="000000"/>
          <w:szCs w:val="32"/>
        </w:rPr>
        <w:t>，经济总量在</w:t>
      </w:r>
      <w:r>
        <w:rPr>
          <w:rFonts w:ascii="仿宋_GB2312" w:eastAsia="仿宋_GB2312" w:hAnsi="仿宋_GB2312" w:cs="仿宋_GB2312"/>
          <w:color w:val="000000"/>
          <w:szCs w:val="32"/>
        </w:rPr>
        <w:t>2020</w:t>
      </w:r>
      <w:r>
        <w:rPr>
          <w:rFonts w:ascii="仿宋_GB2312" w:eastAsia="仿宋_GB2312" w:hAnsi="仿宋_GB2312" w:cs="仿宋_GB2312" w:hint="eastAsia"/>
          <w:color w:val="000000"/>
          <w:szCs w:val="32"/>
        </w:rPr>
        <w:t>年的基础上进入全省排名前</w:t>
      </w:r>
      <w:r>
        <w:rPr>
          <w:rFonts w:ascii="仿宋_GB2312" w:eastAsia="仿宋_GB2312" w:hAnsi="仿宋_GB2312" w:cs="仿宋_GB2312"/>
          <w:color w:val="000000"/>
          <w:szCs w:val="32"/>
        </w:rPr>
        <w:t>20</w:t>
      </w:r>
      <w:r>
        <w:rPr>
          <w:rFonts w:ascii="仿宋_GB2312" w:eastAsia="仿宋_GB2312" w:hAnsi="仿宋_GB2312" w:cs="仿宋_GB2312" w:hint="eastAsia"/>
          <w:color w:val="000000"/>
          <w:szCs w:val="32"/>
        </w:rPr>
        <w:t>位，经济增长速度继续保持全省县域“第一方阵”。社会消费品零售总额达到</w:t>
      </w:r>
      <w:r>
        <w:rPr>
          <w:rFonts w:ascii="仿宋_GB2312" w:eastAsia="仿宋_GB2312" w:hAnsi="仿宋_GB2312" w:cs="仿宋_GB2312"/>
          <w:color w:val="000000"/>
          <w:szCs w:val="32"/>
        </w:rPr>
        <w:t>138</w:t>
      </w:r>
      <w:r>
        <w:rPr>
          <w:rFonts w:ascii="仿宋_GB2312" w:eastAsia="仿宋_GB2312" w:hAnsi="仿宋_GB2312" w:cs="仿宋_GB2312" w:hint="eastAsia"/>
          <w:color w:val="000000"/>
          <w:szCs w:val="32"/>
        </w:rPr>
        <w:t>亿元，年均增长</w:t>
      </w:r>
      <w:r>
        <w:rPr>
          <w:rFonts w:ascii="仿宋_GB2312" w:eastAsia="仿宋_GB2312" w:hAnsi="仿宋_GB2312" w:cs="仿宋_GB2312"/>
          <w:color w:val="000000"/>
          <w:szCs w:val="32"/>
        </w:rPr>
        <w:t>11.6%</w:t>
      </w:r>
      <w:r>
        <w:rPr>
          <w:rFonts w:ascii="仿宋_GB2312" w:eastAsia="仿宋_GB2312" w:hAnsi="仿宋_GB2312" w:cs="仿宋_GB2312" w:hint="eastAsia"/>
          <w:color w:val="000000"/>
          <w:szCs w:val="32"/>
        </w:rPr>
        <w:t>，在</w:t>
      </w:r>
      <w:r>
        <w:rPr>
          <w:rFonts w:ascii="仿宋_GB2312" w:eastAsia="仿宋_GB2312" w:hAnsi="仿宋_GB2312" w:cs="仿宋_GB2312"/>
          <w:color w:val="000000"/>
          <w:szCs w:val="32"/>
        </w:rPr>
        <w:t>2020</w:t>
      </w:r>
      <w:r>
        <w:rPr>
          <w:rFonts w:ascii="仿宋_GB2312" w:eastAsia="仿宋_GB2312" w:hAnsi="仿宋_GB2312" w:cs="仿宋_GB2312" w:hint="eastAsia"/>
          <w:color w:val="000000"/>
          <w:szCs w:val="32"/>
        </w:rPr>
        <w:t>年的基础上前移</w:t>
      </w:r>
      <w:r>
        <w:rPr>
          <w:rFonts w:ascii="仿宋_GB2312" w:eastAsia="仿宋_GB2312" w:hAnsi="仿宋_GB2312" w:cs="仿宋_GB2312"/>
          <w:color w:val="000000"/>
          <w:szCs w:val="32"/>
        </w:rPr>
        <w:t>10</w:t>
      </w:r>
      <w:r>
        <w:rPr>
          <w:rFonts w:ascii="仿宋_GB2312" w:eastAsia="仿宋_GB2312" w:hAnsi="仿宋_GB2312" w:cs="仿宋_GB2312" w:hint="eastAsia"/>
          <w:color w:val="000000"/>
          <w:szCs w:val="32"/>
        </w:rPr>
        <w:t>位以上。</w:t>
      </w:r>
      <w:r>
        <w:rPr>
          <w:rFonts w:ascii="仿宋_GB2312" w:eastAsia="仿宋_GB2312" w:hAnsi="仿宋_GB2312" w:cs="仿宋_GB2312"/>
          <w:color w:val="000000"/>
          <w:szCs w:val="32"/>
        </w:rPr>
        <w:t>500</w:t>
      </w:r>
      <w:r>
        <w:rPr>
          <w:rFonts w:ascii="仿宋_GB2312" w:eastAsia="仿宋_GB2312" w:hAnsi="仿宋_GB2312" w:cs="仿宋_GB2312" w:hint="eastAsia"/>
          <w:color w:val="000000"/>
          <w:szCs w:val="32"/>
        </w:rPr>
        <w:t>万以上社会固定资产投资年均增长</w:t>
      </w:r>
      <w:r>
        <w:rPr>
          <w:rFonts w:ascii="仿宋_GB2312" w:eastAsia="仿宋_GB2312" w:hAnsi="仿宋_GB2312" w:cs="仿宋_GB2312"/>
          <w:color w:val="000000"/>
          <w:szCs w:val="32"/>
        </w:rPr>
        <w:t>9%</w:t>
      </w:r>
      <w:r>
        <w:rPr>
          <w:rFonts w:ascii="仿宋_GB2312" w:eastAsia="仿宋_GB2312" w:hAnsi="仿宋_GB2312" w:cs="仿宋_GB2312" w:hint="eastAsia"/>
          <w:color w:val="000000"/>
          <w:szCs w:val="32"/>
        </w:rPr>
        <w:t>。</w:t>
      </w:r>
    </w:p>
    <w:p w14:paraId="07E521C7"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创新发展取得新突破。</w:t>
      </w:r>
      <w:r>
        <w:rPr>
          <w:rFonts w:ascii="仿宋_GB2312" w:eastAsia="仿宋_GB2312" w:hAnsi="仿宋_GB2312" w:cs="仿宋_GB2312" w:hint="eastAsia"/>
          <w:color w:val="000000"/>
          <w:szCs w:val="32"/>
        </w:rPr>
        <w:t>创新体系更加完善，聚才用才育才环境大幅改善，全县</w:t>
      </w:r>
      <w:proofErr w:type="gramStart"/>
      <w:r>
        <w:rPr>
          <w:rFonts w:ascii="仿宋_GB2312" w:eastAsia="仿宋_GB2312" w:hAnsi="仿宋_GB2312" w:cs="仿宋_GB2312" w:hint="eastAsia"/>
          <w:color w:val="000000"/>
          <w:szCs w:val="32"/>
        </w:rPr>
        <w:t>规</w:t>
      </w:r>
      <w:proofErr w:type="gramEnd"/>
      <w:r>
        <w:rPr>
          <w:rFonts w:ascii="仿宋_GB2312" w:eastAsia="仿宋_GB2312" w:hAnsi="仿宋_GB2312" w:cs="仿宋_GB2312" w:hint="eastAsia"/>
          <w:color w:val="000000"/>
          <w:szCs w:val="32"/>
        </w:rPr>
        <w:t>上工业企业</w:t>
      </w:r>
      <w:r>
        <w:rPr>
          <w:rFonts w:ascii="仿宋_GB2312" w:eastAsia="仿宋_GB2312" w:hAnsi="仿宋_GB2312" w:cs="仿宋_GB2312"/>
          <w:color w:val="000000"/>
          <w:szCs w:val="32"/>
        </w:rPr>
        <w:t>R&amp;D</w:t>
      </w:r>
      <w:r>
        <w:rPr>
          <w:rFonts w:ascii="仿宋_GB2312" w:eastAsia="仿宋_GB2312" w:hAnsi="仿宋_GB2312" w:cs="仿宋_GB2312" w:hint="eastAsia"/>
          <w:color w:val="000000"/>
          <w:szCs w:val="32"/>
        </w:rPr>
        <w:t>经费支出和工业企业技术改造投资额年均增长均达</w:t>
      </w:r>
      <w:r>
        <w:rPr>
          <w:rFonts w:ascii="仿宋_GB2312" w:eastAsia="仿宋_GB2312" w:hAnsi="仿宋_GB2312" w:cs="仿宋_GB2312"/>
          <w:color w:val="000000"/>
          <w:szCs w:val="32"/>
        </w:rPr>
        <w:t>35%</w:t>
      </w:r>
      <w:r>
        <w:rPr>
          <w:rFonts w:ascii="仿宋_GB2312" w:eastAsia="仿宋_GB2312" w:hAnsi="仿宋_GB2312" w:cs="仿宋_GB2312" w:hint="eastAsia"/>
          <w:color w:val="000000"/>
          <w:szCs w:val="32"/>
        </w:rPr>
        <w:t>以上，到</w:t>
      </w:r>
      <w:r>
        <w:rPr>
          <w:rFonts w:ascii="仿宋_GB2312" w:eastAsia="仿宋_GB2312" w:hAnsi="仿宋_GB2312" w:cs="仿宋_GB2312"/>
          <w:color w:val="000000"/>
          <w:szCs w:val="32"/>
        </w:rPr>
        <w:t>2025</w:t>
      </w:r>
      <w:r>
        <w:rPr>
          <w:rFonts w:ascii="仿宋_GB2312" w:eastAsia="仿宋_GB2312" w:hAnsi="仿宋_GB2312" w:cs="仿宋_GB2312" w:hint="eastAsia"/>
          <w:color w:val="000000"/>
          <w:szCs w:val="32"/>
        </w:rPr>
        <w:t>年，全县研发经费支出占</w:t>
      </w:r>
      <w:r>
        <w:rPr>
          <w:rFonts w:ascii="仿宋_GB2312" w:eastAsia="仿宋_GB2312" w:hAnsi="仿宋_GB2312" w:cs="仿宋_GB2312"/>
          <w:color w:val="000000"/>
          <w:szCs w:val="32"/>
        </w:rPr>
        <w:t>GDP</w:t>
      </w:r>
      <w:r>
        <w:rPr>
          <w:rFonts w:ascii="仿宋_GB2312" w:eastAsia="仿宋_GB2312" w:hAnsi="仿宋_GB2312" w:cs="仿宋_GB2312" w:hint="eastAsia"/>
          <w:color w:val="000000"/>
          <w:szCs w:val="32"/>
        </w:rPr>
        <w:t>比重提高到</w:t>
      </w:r>
      <w:r>
        <w:rPr>
          <w:rFonts w:ascii="仿宋_GB2312" w:eastAsia="仿宋_GB2312" w:hAnsi="仿宋_GB2312" w:cs="仿宋_GB2312"/>
          <w:color w:val="000000"/>
          <w:szCs w:val="32"/>
        </w:rPr>
        <w:t>3%</w:t>
      </w:r>
      <w:r>
        <w:rPr>
          <w:rFonts w:ascii="仿宋_GB2312" w:eastAsia="仿宋_GB2312" w:hAnsi="仿宋_GB2312" w:cs="仿宋_GB2312" w:hint="eastAsia"/>
          <w:color w:val="000000"/>
          <w:szCs w:val="32"/>
        </w:rPr>
        <w:t>左右。自主创新能力显著增强，主要创新指标超过全省平均水平；依托永修现有科技基础，广泛开展同国内外发达地区的科技合作，在有机硅、绿色建材、电子信息和高端装备等领域形成具有区域</w:t>
      </w:r>
      <w:r>
        <w:rPr>
          <w:rFonts w:ascii="仿宋_GB2312" w:eastAsia="仿宋_GB2312" w:hAnsi="仿宋_GB2312" w:cs="仿宋_GB2312" w:hint="eastAsia"/>
          <w:color w:val="000000"/>
          <w:szCs w:val="32"/>
        </w:rPr>
        <w:lastRenderedPageBreak/>
        <w:t>影响力的科技创新中心。</w:t>
      </w:r>
    </w:p>
    <w:p w14:paraId="7C4D774D"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产业结构实现新优化。</w:t>
      </w:r>
      <w:r>
        <w:rPr>
          <w:rFonts w:ascii="仿宋_GB2312" w:eastAsia="仿宋_GB2312" w:hAnsi="仿宋_GB2312" w:cs="仿宋_GB2312" w:hint="eastAsia"/>
          <w:color w:val="000000"/>
          <w:szCs w:val="32"/>
        </w:rPr>
        <w:t>优化提升“首位产业</w:t>
      </w:r>
      <w:r>
        <w:rPr>
          <w:rFonts w:ascii="仿宋_GB2312" w:eastAsia="仿宋_GB2312" w:hAnsi="仿宋_GB2312" w:cs="仿宋_GB2312"/>
          <w:color w:val="000000"/>
          <w:szCs w:val="32"/>
        </w:rPr>
        <w:t>+</w:t>
      </w:r>
      <w:r>
        <w:rPr>
          <w:rFonts w:ascii="仿宋_GB2312" w:eastAsia="仿宋_GB2312" w:hAnsi="仿宋_GB2312" w:cs="仿宋_GB2312" w:hint="eastAsia"/>
          <w:color w:val="000000"/>
          <w:szCs w:val="32"/>
        </w:rPr>
        <w:t>主导产业</w:t>
      </w:r>
      <w:r>
        <w:rPr>
          <w:rFonts w:ascii="仿宋_GB2312" w:eastAsia="仿宋_GB2312" w:hAnsi="仿宋_GB2312" w:cs="仿宋_GB2312"/>
          <w:color w:val="000000"/>
          <w:szCs w:val="32"/>
        </w:rPr>
        <w:t>+</w:t>
      </w:r>
      <w:r>
        <w:rPr>
          <w:rFonts w:ascii="仿宋_GB2312" w:eastAsia="仿宋_GB2312" w:hAnsi="仿宋_GB2312" w:cs="仿宋_GB2312" w:hint="eastAsia"/>
          <w:color w:val="000000"/>
          <w:szCs w:val="32"/>
        </w:rPr>
        <w:t>新兴产业”的制造业体系，形成有机硅新材料、绿色建材、电子信息和高端装备、数字经济、现代农业、文化旅游服务协同发展的现代化产业体系；战略新兴产业、高新技术产业、数字经济等比重显著提高，新动能成为拉动经济增长的主动力。首位有机硅新材料产业营业收入迈入</w:t>
      </w:r>
      <w:r>
        <w:rPr>
          <w:rFonts w:ascii="仿宋_GB2312" w:eastAsia="仿宋_GB2312" w:hAnsi="仿宋_GB2312" w:cs="仿宋_GB2312"/>
          <w:color w:val="000000"/>
          <w:szCs w:val="32"/>
        </w:rPr>
        <w:t>500</w:t>
      </w:r>
      <w:r>
        <w:rPr>
          <w:rFonts w:ascii="仿宋_GB2312" w:eastAsia="仿宋_GB2312" w:hAnsi="仿宋_GB2312" w:cs="仿宋_GB2312" w:hint="eastAsia"/>
          <w:color w:val="000000"/>
          <w:szCs w:val="32"/>
        </w:rPr>
        <w:t>亿产业集群台阶，绿色建材、电子信息和装备、数字经济、文化旅游服务等产业营业收入全部迈入“百亿产业俱乐部”。</w:t>
      </w:r>
    </w:p>
    <w:p w14:paraId="42E6C506"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城乡融合取得新成就。</w:t>
      </w:r>
      <w:r>
        <w:rPr>
          <w:rFonts w:ascii="仿宋_GB2312" w:eastAsia="仿宋_GB2312" w:hAnsi="仿宋_GB2312" w:cs="仿宋_GB2312" w:hint="eastAsia"/>
          <w:color w:val="000000"/>
          <w:szCs w:val="32"/>
        </w:rPr>
        <w:t>到</w:t>
      </w:r>
      <w:r>
        <w:rPr>
          <w:rFonts w:ascii="仿宋_GB2312" w:eastAsia="仿宋_GB2312" w:hAnsi="仿宋_GB2312" w:cs="仿宋_GB2312"/>
          <w:color w:val="000000"/>
          <w:szCs w:val="32"/>
        </w:rPr>
        <w:t>2025</w:t>
      </w:r>
      <w:r>
        <w:rPr>
          <w:rFonts w:ascii="仿宋_GB2312" w:eastAsia="仿宋_GB2312" w:hAnsi="仿宋_GB2312" w:cs="仿宋_GB2312" w:hint="eastAsia"/>
          <w:color w:val="000000"/>
          <w:szCs w:val="32"/>
        </w:rPr>
        <w:t>年，常住人口城镇化率达到</w:t>
      </w:r>
      <w:r>
        <w:rPr>
          <w:rFonts w:ascii="仿宋_GB2312" w:eastAsia="仿宋_GB2312" w:hAnsi="仿宋_GB2312" w:cs="仿宋_GB2312"/>
          <w:color w:val="000000"/>
          <w:szCs w:val="32"/>
        </w:rPr>
        <w:t>60%</w:t>
      </w:r>
      <w:r>
        <w:rPr>
          <w:rFonts w:ascii="仿宋_GB2312" w:eastAsia="仿宋_GB2312" w:hAnsi="仿宋_GB2312" w:cs="仿宋_GB2312" w:hint="eastAsia"/>
          <w:color w:val="000000"/>
          <w:szCs w:val="32"/>
        </w:rPr>
        <w:t>以上，城市功能明显提升，城乡融合发展水平进一步提高。城乡之间、区域之间居民收入水平、基础设施通达水平、基本公共服务均等化水平、人民生活水平等方面差距进一步缩小。</w:t>
      </w:r>
    </w:p>
    <w:p w14:paraId="2A21615B"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改革开放迈上新台阶。</w:t>
      </w:r>
      <w:r>
        <w:rPr>
          <w:rFonts w:ascii="仿宋_GB2312" w:eastAsia="仿宋_GB2312" w:hAnsi="仿宋_GB2312" w:cs="仿宋_GB2312" w:hint="eastAsia"/>
          <w:color w:val="000000"/>
          <w:szCs w:val="32"/>
        </w:rPr>
        <w:t>社会主义市场经济体制更加完善，市场主体更加充满活力，公平竞争制度更加健全。“放管服”改革持续深入，政务服务水平全面提升，营商环境显著改善。内陆双向开放高地取得重大进展，更高水平开放型经济新体制基本形成。</w:t>
      </w:r>
    </w:p>
    <w:p w14:paraId="5DA0A24B"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生态文明呈现新面貌。</w:t>
      </w:r>
      <w:r>
        <w:rPr>
          <w:rFonts w:ascii="仿宋_GB2312" w:eastAsia="仿宋_GB2312" w:hAnsi="仿宋_GB2312" w:cs="仿宋_GB2312" w:hint="eastAsia"/>
          <w:color w:val="000000"/>
          <w:szCs w:val="32"/>
        </w:rPr>
        <w:t>山水林田湖草生命共同体示范区建设纵深推进，节能减</w:t>
      </w:r>
      <w:proofErr w:type="gramStart"/>
      <w:r>
        <w:rPr>
          <w:rFonts w:ascii="仿宋_GB2312" w:eastAsia="仿宋_GB2312" w:hAnsi="仿宋_GB2312" w:cs="仿宋_GB2312" w:hint="eastAsia"/>
          <w:color w:val="000000"/>
          <w:szCs w:val="32"/>
        </w:rPr>
        <w:t>排成效</w:t>
      </w:r>
      <w:proofErr w:type="gramEnd"/>
      <w:r>
        <w:rPr>
          <w:rFonts w:ascii="仿宋_GB2312" w:eastAsia="仿宋_GB2312" w:hAnsi="仿宋_GB2312" w:cs="仿宋_GB2312" w:hint="eastAsia"/>
          <w:color w:val="000000"/>
          <w:szCs w:val="32"/>
        </w:rPr>
        <w:t>明显，资源能源利用效率大幅提高，基本建成绿色产业体系，绿色生产方式和生活方式加</w:t>
      </w:r>
      <w:r>
        <w:rPr>
          <w:rFonts w:ascii="仿宋_GB2312" w:eastAsia="仿宋_GB2312" w:hAnsi="仿宋_GB2312" w:cs="仿宋_GB2312" w:hint="eastAsia"/>
          <w:color w:val="000000"/>
          <w:szCs w:val="32"/>
        </w:rPr>
        <w:lastRenderedPageBreak/>
        <w:t>快形成，绿色发展水平位居全省前列。</w:t>
      </w:r>
    </w:p>
    <w:p w14:paraId="767F06F6"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社会文明得到新提高。</w:t>
      </w:r>
      <w:r>
        <w:rPr>
          <w:rFonts w:ascii="仿宋_GB2312" w:eastAsia="仿宋_GB2312" w:hAnsi="仿宋_GB2312" w:cs="仿宋_GB2312" w:hint="eastAsia"/>
          <w:color w:val="000000"/>
          <w:szCs w:val="32"/>
        </w:rPr>
        <w:t>社会主义核心价值观深入人心，人民思想道德素质、科学文化素质和身心健康素质明显提高，永修优秀传统文化、红色文化传承不断推进，公共文化体育服务体系不断完善，文化产业体系更加健全，人民精神文化生活日益丰富。</w:t>
      </w:r>
    </w:p>
    <w:p w14:paraId="023B04E8"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民生福祉实现新提升。</w:t>
      </w:r>
      <w:r>
        <w:rPr>
          <w:rFonts w:ascii="仿宋_GB2312" w:eastAsia="仿宋_GB2312" w:hAnsi="仿宋_GB2312" w:cs="仿宋_GB2312" w:hint="eastAsia"/>
          <w:color w:val="000000"/>
          <w:szCs w:val="32"/>
        </w:rPr>
        <w:t>实现居民收入增长和经济发展同步、劳动报酬增长和劳动生产率提高同步，城镇、农村居民人均可支配收入大幅提高，在</w:t>
      </w:r>
      <w:r>
        <w:rPr>
          <w:rFonts w:ascii="仿宋_GB2312" w:eastAsia="仿宋_GB2312" w:hAnsi="仿宋_GB2312" w:cs="仿宋_GB2312"/>
          <w:color w:val="000000"/>
          <w:szCs w:val="32"/>
        </w:rPr>
        <w:t>2020</w:t>
      </w:r>
      <w:r>
        <w:rPr>
          <w:rFonts w:ascii="仿宋_GB2312" w:eastAsia="仿宋_GB2312" w:hAnsi="仿宋_GB2312" w:cs="仿宋_GB2312" w:hint="eastAsia"/>
          <w:color w:val="000000"/>
          <w:szCs w:val="32"/>
        </w:rPr>
        <w:t>年全省排位的基础上均前移</w:t>
      </w:r>
      <w:r>
        <w:rPr>
          <w:rFonts w:ascii="仿宋_GB2312" w:eastAsia="仿宋_GB2312" w:hAnsi="仿宋_GB2312" w:cs="仿宋_GB2312"/>
          <w:color w:val="000000"/>
          <w:szCs w:val="32"/>
        </w:rPr>
        <w:t>10</w:t>
      </w:r>
      <w:r>
        <w:rPr>
          <w:rFonts w:ascii="仿宋_GB2312" w:eastAsia="仿宋_GB2312" w:hAnsi="仿宋_GB2312" w:cs="仿宋_GB2312" w:hint="eastAsia"/>
          <w:color w:val="000000"/>
          <w:szCs w:val="32"/>
        </w:rPr>
        <w:t>位以上。就业、养老、教育、文化体育、社会保障、健康医疗、住房等公共服体系达到较高水平，基本公共服务均等化基本实现，人民生活水平总体达到更加富裕水平。</w:t>
      </w:r>
    </w:p>
    <w:p w14:paraId="2D37DD5F"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县域治理书写新篇章。</w:t>
      </w:r>
      <w:r>
        <w:rPr>
          <w:rFonts w:ascii="仿宋_GB2312" w:eastAsia="仿宋_GB2312" w:hAnsi="仿宋_GB2312" w:cs="仿宋_GB2312" w:hint="eastAsia"/>
          <w:color w:val="000000"/>
          <w:szCs w:val="32"/>
        </w:rPr>
        <w:t>行政管理体制改革取得新突破，“五型”政府建设取得新成效，营商环境主要评价指标稳居全省前列；社会治理体系更加优化，平安永</w:t>
      </w:r>
      <w:proofErr w:type="gramStart"/>
      <w:r>
        <w:rPr>
          <w:rFonts w:ascii="仿宋_GB2312" w:eastAsia="仿宋_GB2312" w:hAnsi="仿宋_GB2312" w:cs="仿宋_GB2312" w:hint="eastAsia"/>
          <w:color w:val="000000"/>
          <w:szCs w:val="32"/>
        </w:rPr>
        <w:t>修建设向更</w:t>
      </w:r>
      <w:proofErr w:type="gramEnd"/>
      <w:r>
        <w:rPr>
          <w:rFonts w:ascii="仿宋_GB2312" w:eastAsia="仿宋_GB2312" w:hAnsi="仿宋_GB2312" w:cs="仿宋_GB2312" w:hint="eastAsia"/>
          <w:color w:val="000000"/>
          <w:szCs w:val="32"/>
        </w:rPr>
        <w:t>高水平、更高质量迈进。防范化解重大风险体制机制不断健全，公共卫生应急管理、自然灾害防范等短板得到明显增强，安全保障更加有力。各领域基础性制度体系更加健全，法治政府、法治社会一体化建设取得重大进展，社会公众安全感有效提升。</w:t>
      </w:r>
    </w:p>
    <w:p w14:paraId="53345BFB" w14:textId="77777777" w:rsidR="00EE55DB" w:rsidRDefault="00EE55DB">
      <w:pPr>
        <w:pStyle w:val="a0"/>
        <w:ind w:firstLine="640"/>
        <w:rPr>
          <w:rFonts w:ascii="仿宋_GB2312" w:eastAsia="仿宋_GB2312" w:hAnsi="仿宋_GB2312" w:cs="仿宋_GB2312"/>
          <w:color w:val="000000"/>
          <w:szCs w:val="32"/>
        </w:rPr>
      </w:pPr>
    </w:p>
    <w:p w14:paraId="1AB98E31" w14:textId="77777777" w:rsidR="00EE55DB" w:rsidRDefault="00EE55DB">
      <w:pPr>
        <w:ind w:firstLine="640"/>
      </w:pPr>
    </w:p>
    <w:p w14:paraId="5B90B7C1" w14:textId="77777777" w:rsidR="00EE55DB" w:rsidRDefault="00000000">
      <w:pPr>
        <w:ind w:firstLineChars="0" w:firstLine="0"/>
        <w:jc w:val="center"/>
        <w:rPr>
          <w:rFonts w:ascii="仿宋_GB2312" w:eastAsia="仿宋_GB2312" w:hAnsi="仿宋_GB2312" w:cs="仿宋_GB2312"/>
        </w:rPr>
      </w:pPr>
      <w:r>
        <w:rPr>
          <w:rFonts w:ascii="仿宋_GB2312" w:eastAsia="仿宋_GB2312" w:hAnsi="仿宋_GB2312" w:cs="仿宋_GB2312" w:hint="eastAsia"/>
          <w:b/>
          <w:bCs/>
        </w:rPr>
        <w:lastRenderedPageBreak/>
        <w:t>表</w:t>
      </w:r>
      <w:r>
        <w:rPr>
          <w:rFonts w:ascii="仿宋_GB2312" w:eastAsia="仿宋_GB2312" w:hAnsi="仿宋_GB2312" w:cs="仿宋_GB2312"/>
          <w:b/>
          <w:bCs/>
        </w:rPr>
        <w:t xml:space="preserve">2 </w:t>
      </w:r>
      <w:r>
        <w:rPr>
          <w:rFonts w:ascii="仿宋_GB2312" w:eastAsia="仿宋_GB2312" w:hAnsi="仿宋_GB2312" w:cs="仿宋_GB2312" w:hint="eastAsia"/>
          <w:b/>
          <w:bCs/>
        </w:rPr>
        <w:t>永修县“十四五”规划主要指标表</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100"/>
        <w:gridCol w:w="970"/>
        <w:gridCol w:w="920"/>
        <w:gridCol w:w="1203"/>
        <w:gridCol w:w="1080"/>
        <w:gridCol w:w="912"/>
      </w:tblGrid>
      <w:tr w:rsidR="00EE55DB" w14:paraId="75434EED" w14:textId="77777777">
        <w:trPr>
          <w:trHeight w:val="626"/>
          <w:jc w:val="center"/>
        </w:trPr>
        <w:tc>
          <w:tcPr>
            <w:tcW w:w="839" w:type="dxa"/>
            <w:vAlign w:val="center"/>
          </w:tcPr>
          <w:p w14:paraId="59E64BAA" w14:textId="77777777" w:rsidR="00EE55DB" w:rsidRDefault="00000000">
            <w:pPr>
              <w:spacing w:line="240" w:lineRule="auto"/>
              <w:ind w:firstLineChars="0" w:firstLine="0"/>
              <w:jc w:val="center"/>
              <w:rPr>
                <w:rFonts w:eastAsia="宋体"/>
                <w:b/>
                <w:bCs/>
                <w:sz w:val="21"/>
              </w:rPr>
            </w:pPr>
            <w:r>
              <w:rPr>
                <w:rFonts w:eastAsia="宋体" w:hint="eastAsia"/>
                <w:b/>
                <w:bCs/>
                <w:sz w:val="21"/>
              </w:rPr>
              <w:t>类别</w:t>
            </w:r>
          </w:p>
        </w:tc>
        <w:tc>
          <w:tcPr>
            <w:tcW w:w="4100" w:type="dxa"/>
            <w:vAlign w:val="center"/>
          </w:tcPr>
          <w:p w14:paraId="72F1AFD1" w14:textId="77777777" w:rsidR="00EE55DB" w:rsidRDefault="00000000">
            <w:pPr>
              <w:spacing w:line="240" w:lineRule="auto"/>
              <w:ind w:firstLineChars="0" w:firstLine="0"/>
              <w:jc w:val="center"/>
              <w:rPr>
                <w:rFonts w:eastAsia="宋体"/>
                <w:b/>
                <w:bCs/>
                <w:sz w:val="21"/>
              </w:rPr>
            </w:pPr>
            <w:r>
              <w:rPr>
                <w:rFonts w:eastAsia="宋体" w:hint="eastAsia"/>
                <w:b/>
                <w:bCs/>
                <w:sz w:val="21"/>
              </w:rPr>
              <w:t>指标</w:t>
            </w:r>
          </w:p>
        </w:tc>
        <w:tc>
          <w:tcPr>
            <w:tcW w:w="970" w:type="dxa"/>
            <w:vAlign w:val="center"/>
          </w:tcPr>
          <w:p w14:paraId="3CF2D6D1" w14:textId="77777777" w:rsidR="00EE55DB" w:rsidRDefault="00000000">
            <w:pPr>
              <w:spacing w:line="240" w:lineRule="auto"/>
              <w:ind w:firstLineChars="0" w:firstLine="0"/>
              <w:jc w:val="center"/>
              <w:rPr>
                <w:rFonts w:eastAsia="宋体"/>
                <w:b/>
                <w:bCs/>
                <w:sz w:val="21"/>
              </w:rPr>
            </w:pPr>
            <w:r>
              <w:rPr>
                <w:rFonts w:eastAsia="宋体"/>
                <w:b/>
                <w:bCs/>
                <w:sz w:val="21"/>
              </w:rPr>
              <w:t>2020</w:t>
            </w:r>
            <w:r>
              <w:rPr>
                <w:rFonts w:eastAsia="宋体" w:hint="eastAsia"/>
                <w:b/>
                <w:bCs/>
                <w:sz w:val="21"/>
              </w:rPr>
              <w:t>年</w:t>
            </w:r>
          </w:p>
          <w:p w14:paraId="4B27ED5C" w14:textId="77777777" w:rsidR="00EE55DB" w:rsidRDefault="00000000">
            <w:pPr>
              <w:spacing w:line="240" w:lineRule="auto"/>
              <w:ind w:firstLineChars="0" w:firstLine="0"/>
              <w:jc w:val="center"/>
              <w:rPr>
                <w:rFonts w:eastAsia="宋体"/>
                <w:b/>
                <w:bCs/>
                <w:sz w:val="21"/>
              </w:rPr>
            </w:pPr>
            <w:r>
              <w:rPr>
                <w:rFonts w:eastAsia="宋体" w:hint="eastAsia"/>
                <w:b/>
                <w:bCs/>
                <w:sz w:val="21"/>
              </w:rPr>
              <w:t>基期值</w:t>
            </w:r>
          </w:p>
        </w:tc>
        <w:tc>
          <w:tcPr>
            <w:tcW w:w="920" w:type="dxa"/>
            <w:vAlign w:val="center"/>
          </w:tcPr>
          <w:p w14:paraId="55C9CFAB" w14:textId="77777777" w:rsidR="00EE55DB" w:rsidRDefault="00000000">
            <w:pPr>
              <w:spacing w:line="240" w:lineRule="auto"/>
              <w:ind w:firstLineChars="0" w:firstLine="0"/>
              <w:jc w:val="center"/>
              <w:rPr>
                <w:rFonts w:eastAsia="宋体"/>
                <w:b/>
                <w:bCs/>
                <w:sz w:val="21"/>
              </w:rPr>
            </w:pPr>
            <w:r>
              <w:rPr>
                <w:rFonts w:eastAsia="宋体"/>
                <w:b/>
                <w:bCs/>
                <w:sz w:val="21"/>
              </w:rPr>
              <w:t>2025</w:t>
            </w:r>
            <w:r>
              <w:rPr>
                <w:rFonts w:eastAsia="宋体" w:hint="eastAsia"/>
                <w:b/>
                <w:bCs/>
                <w:sz w:val="21"/>
              </w:rPr>
              <w:t>年</w:t>
            </w:r>
          </w:p>
          <w:p w14:paraId="3A30A684" w14:textId="77777777" w:rsidR="00EE55DB" w:rsidRDefault="00000000">
            <w:pPr>
              <w:spacing w:line="240" w:lineRule="auto"/>
              <w:ind w:firstLineChars="0" w:firstLine="0"/>
              <w:jc w:val="center"/>
              <w:rPr>
                <w:rFonts w:eastAsia="宋体"/>
                <w:b/>
                <w:bCs/>
                <w:sz w:val="21"/>
              </w:rPr>
            </w:pPr>
            <w:r>
              <w:rPr>
                <w:rFonts w:eastAsia="宋体" w:hint="eastAsia"/>
                <w:b/>
                <w:bCs/>
                <w:sz w:val="21"/>
              </w:rPr>
              <w:t>目标值</w:t>
            </w:r>
          </w:p>
        </w:tc>
        <w:tc>
          <w:tcPr>
            <w:tcW w:w="1203" w:type="dxa"/>
            <w:vAlign w:val="center"/>
          </w:tcPr>
          <w:p w14:paraId="7770F628" w14:textId="77777777" w:rsidR="00EE55DB" w:rsidRDefault="00000000">
            <w:pPr>
              <w:spacing w:line="240" w:lineRule="auto"/>
              <w:ind w:firstLineChars="0" w:firstLine="0"/>
              <w:jc w:val="center"/>
              <w:rPr>
                <w:rFonts w:eastAsia="宋体"/>
                <w:b/>
                <w:bCs/>
                <w:sz w:val="21"/>
              </w:rPr>
            </w:pPr>
            <w:r>
              <w:rPr>
                <w:rFonts w:eastAsia="宋体" w:hint="eastAsia"/>
                <w:b/>
                <w:bCs/>
                <w:sz w:val="21"/>
              </w:rPr>
              <w:t>年均</w:t>
            </w:r>
            <w:r>
              <w:rPr>
                <w:rFonts w:eastAsia="宋体"/>
                <w:b/>
                <w:bCs/>
                <w:sz w:val="21"/>
              </w:rPr>
              <w:t>/</w:t>
            </w:r>
            <w:r>
              <w:rPr>
                <w:rFonts w:eastAsia="宋体" w:hint="eastAsia"/>
                <w:b/>
                <w:bCs/>
                <w:sz w:val="21"/>
              </w:rPr>
              <w:t>累计</w:t>
            </w:r>
          </w:p>
          <w:p w14:paraId="43A0656D" w14:textId="77777777" w:rsidR="00EE55DB" w:rsidRDefault="00000000">
            <w:pPr>
              <w:spacing w:line="240" w:lineRule="auto"/>
              <w:ind w:firstLineChars="0" w:firstLine="0"/>
              <w:jc w:val="center"/>
              <w:rPr>
                <w:rFonts w:eastAsia="宋体"/>
                <w:b/>
                <w:bCs/>
                <w:sz w:val="21"/>
              </w:rPr>
            </w:pPr>
            <w:r>
              <w:rPr>
                <w:rFonts w:eastAsia="宋体" w:hint="eastAsia"/>
                <w:b/>
                <w:bCs/>
                <w:sz w:val="21"/>
              </w:rPr>
              <w:t>增长（</w:t>
            </w:r>
            <w:r>
              <w:rPr>
                <w:rFonts w:eastAsia="宋体"/>
                <w:b/>
                <w:bCs/>
                <w:sz w:val="21"/>
              </w:rPr>
              <w:t>%</w:t>
            </w:r>
            <w:r>
              <w:rPr>
                <w:rFonts w:eastAsia="宋体" w:hint="eastAsia"/>
                <w:b/>
                <w:bCs/>
                <w:sz w:val="21"/>
              </w:rPr>
              <w:t>）</w:t>
            </w:r>
          </w:p>
        </w:tc>
        <w:tc>
          <w:tcPr>
            <w:tcW w:w="1080" w:type="dxa"/>
            <w:vAlign w:val="center"/>
          </w:tcPr>
          <w:p w14:paraId="7B5FDB0A" w14:textId="77777777" w:rsidR="00EE55DB" w:rsidRDefault="00000000">
            <w:pPr>
              <w:spacing w:line="240" w:lineRule="auto"/>
              <w:ind w:firstLineChars="0" w:firstLine="0"/>
              <w:jc w:val="center"/>
              <w:rPr>
                <w:rFonts w:eastAsia="宋体"/>
                <w:b/>
                <w:bCs/>
                <w:sz w:val="21"/>
              </w:rPr>
            </w:pPr>
            <w:r>
              <w:rPr>
                <w:rFonts w:eastAsia="宋体" w:hint="eastAsia"/>
                <w:b/>
                <w:bCs/>
                <w:sz w:val="21"/>
              </w:rPr>
              <w:t>九江市年均</w:t>
            </w:r>
            <w:r>
              <w:rPr>
                <w:rFonts w:eastAsia="宋体"/>
                <w:b/>
                <w:bCs/>
                <w:sz w:val="21"/>
              </w:rPr>
              <w:t>/</w:t>
            </w:r>
            <w:r>
              <w:rPr>
                <w:rFonts w:eastAsia="宋体" w:hint="eastAsia"/>
                <w:b/>
                <w:bCs/>
                <w:sz w:val="21"/>
              </w:rPr>
              <w:t>累计</w:t>
            </w:r>
          </w:p>
          <w:p w14:paraId="276303AC" w14:textId="77777777" w:rsidR="00EE55DB" w:rsidRDefault="00000000">
            <w:pPr>
              <w:spacing w:line="240" w:lineRule="auto"/>
              <w:ind w:firstLineChars="0" w:firstLine="0"/>
              <w:jc w:val="center"/>
              <w:rPr>
                <w:rFonts w:eastAsia="宋体"/>
                <w:b/>
                <w:bCs/>
                <w:sz w:val="21"/>
              </w:rPr>
            </w:pPr>
            <w:r>
              <w:rPr>
                <w:rFonts w:eastAsia="宋体" w:hint="eastAsia"/>
                <w:b/>
                <w:bCs/>
                <w:sz w:val="21"/>
              </w:rPr>
              <w:t>增长（</w:t>
            </w:r>
            <w:r>
              <w:rPr>
                <w:rFonts w:eastAsia="宋体"/>
                <w:b/>
                <w:bCs/>
                <w:sz w:val="21"/>
              </w:rPr>
              <w:t>%</w:t>
            </w:r>
            <w:r>
              <w:rPr>
                <w:rFonts w:eastAsia="宋体" w:hint="eastAsia"/>
                <w:b/>
                <w:bCs/>
                <w:sz w:val="21"/>
              </w:rPr>
              <w:t>）</w:t>
            </w:r>
          </w:p>
        </w:tc>
        <w:tc>
          <w:tcPr>
            <w:tcW w:w="912" w:type="dxa"/>
            <w:vAlign w:val="center"/>
          </w:tcPr>
          <w:p w14:paraId="1C90ACD6" w14:textId="77777777" w:rsidR="00EE55DB" w:rsidRDefault="00000000">
            <w:pPr>
              <w:spacing w:line="240" w:lineRule="auto"/>
              <w:ind w:firstLineChars="0" w:firstLine="0"/>
              <w:jc w:val="center"/>
              <w:rPr>
                <w:rFonts w:eastAsia="宋体"/>
                <w:b/>
                <w:bCs/>
                <w:sz w:val="21"/>
              </w:rPr>
            </w:pPr>
            <w:r>
              <w:rPr>
                <w:rFonts w:eastAsia="宋体" w:hint="eastAsia"/>
                <w:b/>
                <w:bCs/>
                <w:sz w:val="21"/>
              </w:rPr>
              <w:t>属性</w:t>
            </w:r>
          </w:p>
        </w:tc>
      </w:tr>
      <w:tr w:rsidR="00EE55DB" w14:paraId="7B4544F1" w14:textId="77777777">
        <w:trPr>
          <w:trHeight w:val="312"/>
          <w:jc w:val="center"/>
        </w:trPr>
        <w:tc>
          <w:tcPr>
            <w:tcW w:w="839" w:type="dxa"/>
            <w:vMerge w:val="restart"/>
            <w:vAlign w:val="center"/>
          </w:tcPr>
          <w:p w14:paraId="3237DB5A" w14:textId="77777777" w:rsidR="00EE55DB" w:rsidRDefault="00000000">
            <w:pPr>
              <w:spacing w:line="240" w:lineRule="auto"/>
              <w:ind w:firstLineChars="0" w:firstLine="0"/>
              <w:jc w:val="center"/>
              <w:rPr>
                <w:rFonts w:eastAsia="宋体"/>
                <w:sz w:val="21"/>
              </w:rPr>
            </w:pPr>
            <w:r>
              <w:rPr>
                <w:rFonts w:eastAsia="宋体" w:hint="eastAsia"/>
                <w:sz w:val="21"/>
              </w:rPr>
              <w:t>综合</w:t>
            </w:r>
          </w:p>
          <w:p w14:paraId="23E6CBE9" w14:textId="77777777" w:rsidR="00EE55DB" w:rsidRDefault="00000000">
            <w:pPr>
              <w:spacing w:line="240" w:lineRule="auto"/>
              <w:ind w:firstLineChars="0" w:firstLine="0"/>
              <w:jc w:val="center"/>
              <w:rPr>
                <w:rFonts w:eastAsia="宋体"/>
                <w:sz w:val="21"/>
              </w:rPr>
            </w:pPr>
            <w:r>
              <w:rPr>
                <w:rFonts w:eastAsia="宋体" w:hint="eastAsia"/>
                <w:sz w:val="21"/>
              </w:rPr>
              <w:t>质效</w:t>
            </w:r>
          </w:p>
        </w:tc>
        <w:tc>
          <w:tcPr>
            <w:tcW w:w="4100" w:type="dxa"/>
            <w:vAlign w:val="center"/>
          </w:tcPr>
          <w:p w14:paraId="682976AB" w14:textId="77777777" w:rsidR="00EE55DB" w:rsidRDefault="00000000">
            <w:pPr>
              <w:spacing w:line="240" w:lineRule="auto"/>
              <w:ind w:firstLineChars="0" w:firstLine="0"/>
              <w:jc w:val="center"/>
              <w:rPr>
                <w:rFonts w:eastAsia="宋体"/>
                <w:sz w:val="21"/>
              </w:rPr>
            </w:pPr>
            <w:r>
              <w:rPr>
                <w:rFonts w:eastAsia="宋体" w:hint="eastAsia"/>
                <w:sz w:val="21"/>
              </w:rPr>
              <w:t>地区生产总值（亿元）</w:t>
            </w:r>
          </w:p>
        </w:tc>
        <w:tc>
          <w:tcPr>
            <w:tcW w:w="970" w:type="dxa"/>
            <w:vAlign w:val="center"/>
          </w:tcPr>
          <w:p w14:paraId="19BA73D6" w14:textId="77777777" w:rsidR="00EE55DB" w:rsidRDefault="00000000">
            <w:pPr>
              <w:spacing w:line="240" w:lineRule="auto"/>
              <w:ind w:firstLineChars="0" w:firstLine="0"/>
              <w:jc w:val="center"/>
              <w:rPr>
                <w:rFonts w:eastAsia="宋体"/>
                <w:sz w:val="21"/>
              </w:rPr>
            </w:pPr>
            <w:r>
              <w:rPr>
                <w:rFonts w:eastAsia="宋体"/>
                <w:sz w:val="21"/>
              </w:rPr>
              <w:t>250.62</w:t>
            </w:r>
          </w:p>
        </w:tc>
        <w:tc>
          <w:tcPr>
            <w:tcW w:w="920" w:type="dxa"/>
            <w:vAlign w:val="center"/>
          </w:tcPr>
          <w:p w14:paraId="20FA99EF" w14:textId="77777777" w:rsidR="00EE55DB" w:rsidRDefault="00000000">
            <w:pPr>
              <w:spacing w:line="240" w:lineRule="auto"/>
              <w:ind w:firstLineChars="0" w:firstLine="0"/>
              <w:jc w:val="center"/>
              <w:rPr>
                <w:rFonts w:eastAsia="宋体"/>
                <w:color w:val="FF0000"/>
                <w:sz w:val="21"/>
              </w:rPr>
            </w:pPr>
            <w:r>
              <w:rPr>
                <w:rFonts w:eastAsia="宋体"/>
                <w:color w:val="FF0000"/>
                <w:sz w:val="21"/>
              </w:rPr>
              <w:t>341.2</w:t>
            </w:r>
          </w:p>
        </w:tc>
        <w:tc>
          <w:tcPr>
            <w:tcW w:w="1203" w:type="dxa"/>
            <w:vAlign w:val="center"/>
          </w:tcPr>
          <w:p w14:paraId="48F01A59" w14:textId="77777777" w:rsidR="00EE55DB" w:rsidRDefault="00000000">
            <w:pPr>
              <w:spacing w:line="240" w:lineRule="auto"/>
              <w:ind w:firstLineChars="0" w:firstLine="0"/>
              <w:jc w:val="center"/>
              <w:rPr>
                <w:rFonts w:eastAsia="宋体"/>
                <w:sz w:val="21"/>
              </w:rPr>
            </w:pPr>
            <w:r>
              <w:rPr>
                <w:rFonts w:eastAsia="宋体"/>
                <w:sz w:val="21"/>
              </w:rPr>
              <w:t>8</w:t>
            </w:r>
          </w:p>
        </w:tc>
        <w:tc>
          <w:tcPr>
            <w:tcW w:w="1080" w:type="dxa"/>
            <w:vAlign w:val="center"/>
          </w:tcPr>
          <w:p w14:paraId="3E2FAED6" w14:textId="77777777" w:rsidR="00EE55DB" w:rsidRDefault="00000000">
            <w:pPr>
              <w:spacing w:line="240" w:lineRule="auto"/>
              <w:ind w:firstLineChars="0" w:firstLine="0"/>
              <w:jc w:val="center"/>
              <w:rPr>
                <w:rFonts w:eastAsia="宋体"/>
                <w:sz w:val="21"/>
              </w:rPr>
            </w:pPr>
            <w:r>
              <w:rPr>
                <w:rFonts w:eastAsia="宋体"/>
                <w:sz w:val="21"/>
              </w:rPr>
              <w:t>7.5</w:t>
            </w:r>
            <w:r>
              <w:rPr>
                <w:rFonts w:eastAsia="宋体" w:hint="eastAsia"/>
                <w:sz w:val="21"/>
              </w:rPr>
              <w:t>左右</w:t>
            </w:r>
          </w:p>
        </w:tc>
        <w:tc>
          <w:tcPr>
            <w:tcW w:w="912" w:type="dxa"/>
            <w:vAlign w:val="center"/>
          </w:tcPr>
          <w:p w14:paraId="46530DCD"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0BC3E8DC" w14:textId="77777777">
        <w:trPr>
          <w:jc w:val="center"/>
        </w:trPr>
        <w:tc>
          <w:tcPr>
            <w:tcW w:w="839" w:type="dxa"/>
            <w:vMerge/>
            <w:vAlign w:val="center"/>
          </w:tcPr>
          <w:p w14:paraId="2B72B8BB" w14:textId="77777777" w:rsidR="00EE55DB" w:rsidRDefault="00EE55DB">
            <w:pPr>
              <w:spacing w:line="240" w:lineRule="auto"/>
              <w:ind w:firstLineChars="0" w:firstLine="0"/>
              <w:jc w:val="center"/>
              <w:rPr>
                <w:rFonts w:eastAsia="宋体"/>
                <w:sz w:val="21"/>
              </w:rPr>
            </w:pPr>
          </w:p>
        </w:tc>
        <w:tc>
          <w:tcPr>
            <w:tcW w:w="4100" w:type="dxa"/>
            <w:vAlign w:val="center"/>
          </w:tcPr>
          <w:p w14:paraId="6B25960D" w14:textId="77777777" w:rsidR="00EE55DB" w:rsidRDefault="00000000">
            <w:pPr>
              <w:spacing w:line="240" w:lineRule="auto"/>
              <w:ind w:firstLineChars="0" w:firstLine="0"/>
              <w:jc w:val="center"/>
              <w:rPr>
                <w:rFonts w:eastAsia="宋体"/>
                <w:sz w:val="21"/>
              </w:rPr>
            </w:pPr>
            <w:r>
              <w:rPr>
                <w:rFonts w:eastAsia="宋体" w:hint="eastAsia"/>
                <w:sz w:val="21"/>
              </w:rPr>
              <w:t>财政总收入（亿元）</w:t>
            </w:r>
          </w:p>
        </w:tc>
        <w:tc>
          <w:tcPr>
            <w:tcW w:w="970" w:type="dxa"/>
            <w:vAlign w:val="center"/>
          </w:tcPr>
          <w:p w14:paraId="1BFA72CD" w14:textId="77777777" w:rsidR="00EE55DB" w:rsidRDefault="00000000">
            <w:pPr>
              <w:spacing w:line="240" w:lineRule="auto"/>
              <w:ind w:firstLineChars="0" w:firstLine="0"/>
              <w:jc w:val="center"/>
              <w:rPr>
                <w:rFonts w:eastAsia="宋体"/>
                <w:sz w:val="21"/>
              </w:rPr>
            </w:pPr>
            <w:r>
              <w:rPr>
                <w:rFonts w:eastAsia="宋体"/>
                <w:sz w:val="21"/>
              </w:rPr>
              <w:t>30.76</w:t>
            </w:r>
          </w:p>
        </w:tc>
        <w:tc>
          <w:tcPr>
            <w:tcW w:w="920" w:type="dxa"/>
            <w:vAlign w:val="center"/>
          </w:tcPr>
          <w:p w14:paraId="7212E289" w14:textId="77777777" w:rsidR="00EE55DB" w:rsidRDefault="00000000">
            <w:pPr>
              <w:spacing w:line="240" w:lineRule="auto"/>
              <w:ind w:firstLineChars="0" w:firstLine="0"/>
              <w:jc w:val="center"/>
              <w:rPr>
                <w:rFonts w:eastAsia="宋体"/>
                <w:sz w:val="21"/>
              </w:rPr>
            </w:pPr>
            <w:r>
              <w:rPr>
                <w:rFonts w:eastAsia="宋体"/>
                <w:sz w:val="21"/>
              </w:rPr>
              <w:t>40</w:t>
            </w:r>
          </w:p>
        </w:tc>
        <w:tc>
          <w:tcPr>
            <w:tcW w:w="1203" w:type="dxa"/>
            <w:vAlign w:val="center"/>
          </w:tcPr>
          <w:p w14:paraId="59898739" w14:textId="77777777" w:rsidR="00EE55DB" w:rsidRDefault="00000000">
            <w:pPr>
              <w:spacing w:line="240" w:lineRule="auto"/>
              <w:ind w:firstLineChars="0" w:firstLine="0"/>
              <w:jc w:val="center"/>
              <w:rPr>
                <w:rFonts w:eastAsia="宋体"/>
                <w:sz w:val="21"/>
              </w:rPr>
            </w:pPr>
            <w:r>
              <w:rPr>
                <w:rFonts w:eastAsia="宋体"/>
                <w:sz w:val="21"/>
              </w:rPr>
              <w:t>5.4</w:t>
            </w:r>
          </w:p>
        </w:tc>
        <w:tc>
          <w:tcPr>
            <w:tcW w:w="1080" w:type="dxa"/>
            <w:vAlign w:val="center"/>
          </w:tcPr>
          <w:p w14:paraId="0C156D74" w14:textId="77777777" w:rsidR="00EE55DB" w:rsidRDefault="00000000">
            <w:pPr>
              <w:spacing w:line="240" w:lineRule="auto"/>
              <w:ind w:firstLineChars="0" w:firstLine="0"/>
              <w:jc w:val="center"/>
              <w:rPr>
                <w:rFonts w:eastAsia="宋体"/>
                <w:sz w:val="21"/>
              </w:rPr>
            </w:pPr>
            <w:r>
              <w:rPr>
                <w:rFonts w:eastAsia="宋体"/>
                <w:sz w:val="21"/>
              </w:rPr>
              <w:t>—</w:t>
            </w:r>
          </w:p>
        </w:tc>
        <w:tc>
          <w:tcPr>
            <w:tcW w:w="912" w:type="dxa"/>
            <w:vAlign w:val="center"/>
          </w:tcPr>
          <w:p w14:paraId="2D14A327"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783875FD" w14:textId="77777777">
        <w:trPr>
          <w:jc w:val="center"/>
        </w:trPr>
        <w:tc>
          <w:tcPr>
            <w:tcW w:w="839" w:type="dxa"/>
            <w:vMerge/>
            <w:vAlign w:val="center"/>
          </w:tcPr>
          <w:p w14:paraId="75C903A7" w14:textId="77777777" w:rsidR="00EE55DB" w:rsidRDefault="00EE55DB">
            <w:pPr>
              <w:spacing w:line="240" w:lineRule="auto"/>
              <w:ind w:firstLineChars="0" w:firstLine="0"/>
              <w:jc w:val="center"/>
              <w:rPr>
                <w:rFonts w:eastAsia="宋体"/>
                <w:sz w:val="21"/>
              </w:rPr>
            </w:pPr>
          </w:p>
        </w:tc>
        <w:tc>
          <w:tcPr>
            <w:tcW w:w="4100" w:type="dxa"/>
            <w:vAlign w:val="center"/>
          </w:tcPr>
          <w:p w14:paraId="3B9E25AA" w14:textId="77777777" w:rsidR="00EE55DB" w:rsidRDefault="00000000">
            <w:pPr>
              <w:spacing w:line="240" w:lineRule="auto"/>
              <w:ind w:firstLineChars="0" w:firstLine="0"/>
              <w:jc w:val="center"/>
              <w:rPr>
                <w:rFonts w:eastAsia="宋体"/>
                <w:sz w:val="21"/>
              </w:rPr>
            </w:pPr>
            <w:r>
              <w:rPr>
                <w:rFonts w:eastAsia="宋体" w:hint="eastAsia"/>
                <w:sz w:val="21"/>
              </w:rPr>
              <w:t>规模以上工业增加值增速（</w:t>
            </w:r>
            <w:r>
              <w:rPr>
                <w:rFonts w:eastAsia="宋体"/>
                <w:sz w:val="21"/>
              </w:rPr>
              <w:t>%</w:t>
            </w:r>
            <w:r>
              <w:rPr>
                <w:rFonts w:eastAsia="宋体" w:hint="eastAsia"/>
                <w:sz w:val="21"/>
              </w:rPr>
              <w:t>）</w:t>
            </w:r>
          </w:p>
        </w:tc>
        <w:tc>
          <w:tcPr>
            <w:tcW w:w="970" w:type="dxa"/>
            <w:vAlign w:val="center"/>
          </w:tcPr>
          <w:p w14:paraId="3D17B84F" w14:textId="77777777" w:rsidR="00EE55DB" w:rsidRDefault="00000000">
            <w:pPr>
              <w:spacing w:line="240" w:lineRule="auto"/>
              <w:ind w:firstLineChars="0" w:firstLine="0"/>
              <w:jc w:val="center"/>
              <w:rPr>
                <w:rFonts w:eastAsia="宋体"/>
                <w:sz w:val="21"/>
              </w:rPr>
            </w:pPr>
            <w:r>
              <w:rPr>
                <w:rFonts w:eastAsia="宋体"/>
                <w:sz w:val="21"/>
              </w:rPr>
              <w:t>5.5</w:t>
            </w:r>
          </w:p>
        </w:tc>
        <w:tc>
          <w:tcPr>
            <w:tcW w:w="920" w:type="dxa"/>
            <w:vAlign w:val="center"/>
          </w:tcPr>
          <w:p w14:paraId="52068876" w14:textId="77777777" w:rsidR="00EE55DB" w:rsidRDefault="00000000">
            <w:pPr>
              <w:spacing w:line="240" w:lineRule="auto"/>
              <w:ind w:firstLineChars="0" w:firstLine="0"/>
              <w:jc w:val="center"/>
              <w:rPr>
                <w:rFonts w:eastAsia="宋体"/>
                <w:sz w:val="21"/>
              </w:rPr>
            </w:pPr>
            <w:r>
              <w:rPr>
                <w:rFonts w:eastAsia="宋体"/>
                <w:sz w:val="21"/>
              </w:rPr>
              <w:t>8</w:t>
            </w:r>
          </w:p>
        </w:tc>
        <w:tc>
          <w:tcPr>
            <w:tcW w:w="1203" w:type="dxa"/>
            <w:vAlign w:val="center"/>
          </w:tcPr>
          <w:p w14:paraId="5FAE07EF" w14:textId="77777777" w:rsidR="00EE55DB" w:rsidRDefault="00000000">
            <w:pPr>
              <w:spacing w:line="240" w:lineRule="auto"/>
              <w:ind w:firstLineChars="0" w:firstLine="0"/>
              <w:jc w:val="center"/>
              <w:rPr>
                <w:rFonts w:eastAsia="宋体"/>
                <w:sz w:val="21"/>
              </w:rPr>
            </w:pPr>
            <w:r>
              <w:rPr>
                <w:rFonts w:eastAsia="宋体"/>
                <w:sz w:val="21"/>
              </w:rPr>
              <w:t>8</w:t>
            </w:r>
          </w:p>
        </w:tc>
        <w:tc>
          <w:tcPr>
            <w:tcW w:w="1080" w:type="dxa"/>
            <w:vAlign w:val="center"/>
          </w:tcPr>
          <w:p w14:paraId="32733956" w14:textId="77777777" w:rsidR="00EE55DB" w:rsidRDefault="00000000">
            <w:pPr>
              <w:spacing w:line="240" w:lineRule="auto"/>
              <w:ind w:firstLineChars="0" w:firstLine="0"/>
              <w:jc w:val="center"/>
              <w:rPr>
                <w:rFonts w:eastAsia="宋体"/>
                <w:sz w:val="21"/>
              </w:rPr>
            </w:pPr>
            <w:r>
              <w:rPr>
                <w:rFonts w:eastAsia="宋体"/>
                <w:sz w:val="21"/>
              </w:rPr>
              <w:t>8</w:t>
            </w:r>
            <w:r>
              <w:rPr>
                <w:rFonts w:eastAsia="宋体" w:hint="eastAsia"/>
                <w:sz w:val="21"/>
              </w:rPr>
              <w:t>左右</w:t>
            </w:r>
          </w:p>
        </w:tc>
        <w:tc>
          <w:tcPr>
            <w:tcW w:w="912" w:type="dxa"/>
            <w:vAlign w:val="center"/>
          </w:tcPr>
          <w:p w14:paraId="096B6619"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48B054E4" w14:textId="77777777">
        <w:trPr>
          <w:jc w:val="center"/>
        </w:trPr>
        <w:tc>
          <w:tcPr>
            <w:tcW w:w="839" w:type="dxa"/>
            <w:vMerge/>
            <w:vAlign w:val="center"/>
          </w:tcPr>
          <w:p w14:paraId="291371DC" w14:textId="77777777" w:rsidR="00EE55DB" w:rsidRDefault="00EE55DB">
            <w:pPr>
              <w:spacing w:line="240" w:lineRule="auto"/>
              <w:ind w:firstLineChars="0" w:firstLine="0"/>
              <w:jc w:val="center"/>
              <w:rPr>
                <w:rFonts w:eastAsia="宋体"/>
                <w:sz w:val="21"/>
              </w:rPr>
            </w:pPr>
          </w:p>
        </w:tc>
        <w:tc>
          <w:tcPr>
            <w:tcW w:w="4100" w:type="dxa"/>
            <w:vAlign w:val="center"/>
          </w:tcPr>
          <w:p w14:paraId="6A03BDA4" w14:textId="77777777" w:rsidR="00EE55DB" w:rsidRDefault="00000000">
            <w:pPr>
              <w:spacing w:line="240" w:lineRule="auto"/>
              <w:ind w:firstLineChars="0" w:firstLine="0"/>
              <w:jc w:val="center"/>
              <w:rPr>
                <w:rFonts w:eastAsia="宋体"/>
                <w:sz w:val="21"/>
              </w:rPr>
            </w:pPr>
            <w:r>
              <w:rPr>
                <w:rFonts w:eastAsia="宋体" w:hint="eastAsia"/>
                <w:sz w:val="21"/>
              </w:rPr>
              <w:t>固定资产投资增速（</w:t>
            </w:r>
            <w:r>
              <w:rPr>
                <w:rFonts w:eastAsia="宋体"/>
                <w:sz w:val="21"/>
              </w:rPr>
              <w:t>%</w:t>
            </w:r>
            <w:r>
              <w:rPr>
                <w:rFonts w:eastAsia="宋体" w:hint="eastAsia"/>
                <w:sz w:val="21"/>
              </w:rPr>
              <w:t>）</w:t>
            </w:r>
          </w:p>
        </w:tc>
        <w:tc>
          <w:tcPr>
            <w:tcW w:w="970" w:type="dxa"/>
            <w:vAlign w:val="center"/>
          </w:tcPr>
          <w:p w14:paraId="2C8F29AD" w14:textId="77777777" w:rsidR="00EE55DB" w:rsidRDefault="00000000">
            <w:pPr>
              <w:spacing w:line="240" w:lineRule="auto"/>
              <w:ind w:firstLineChars="0" w:firstLine="0"/>
              <w:jc w:val="center"/>
              <w:rPr>
                <w:rFonts w:eastAsia="宋体"/>
                <w:sz w:val="21"/>
              </w:rPr>
            </w:pPr>
            <w:r>
              <w:rPr>
                <w:rFonts w:eastAsia="宋体"/>
                <w:sz w:val="21"/>
              </w:rPr>
              <w:t>9.6</w:t>
            </w:r>
          </w:p>
        </w:tc>
        <w:tc>
          <w:tcPr>
            <w:tcW w:w="920" w:type="dxa"/>
            <w:vAlign w:val="center"/>
          </w:tcPr>
          <w:p w14:paraId="0B3E974F" w14:textId="77777777" w:rsidR="00EE55DB" w:rsidRDefault="00000000">
            <w:pPr>
              <w:spacing w:line="240" w:lineRule="auto"/>
              <w:ind w:firstLineChars="0" w:firstLine="0"/>
              <w:jc w:val="center"/>
              <w:rPr>
                <w:rFonts w:eastAsia="宋体"/>
                <w:sz w:val="21"/>
              </w:rPr>
            </w:pPr>
            <w:r>
              <w:rPr>
                <w:rFonts w:eastAsia="宋体"/>
                <w:sz w:val="21"/>
              </w:rPr>
              <w:t>9</w:t>
            </w:r>
          </w:p>
        </w:tc>
        <w:tc>
          <w:tcPr>
            <w:tcW w:w="1203" w:type="dxa"/>
            <w:vAlign w:val="center"/>
          </w:tcPr>
          <w:p w14:paraId="7B3F73C8" w14:textId="77777777" w:rsidR="00EE55DB" w:rsidRDefault="00000000">
            <w:pPr>
              <w:spacing w:line="240" w:lineRule="auto"/>
              <w:ind w:firstLineChars="0" w:firstLine="0"/>
              <w:jc w:val="center"/>
              <w:rPr>
                <w:rFonts w:eastAsia="宋体"/>
                <w:sz w:val="21"/>
              </w:rPr>
            </w:pPr>
            <w:r>
              <w:rPr>
                <w:rFonts w:eastAsia="宋体"/>
                <w:sz w:val="21"/>
              </w:rPr>
              <w:t>9</w:t>
            </w:r>
          </w:p>
        </w:tc>
        <w:tc>
          <w:tcPr>
            <w:tcW w:w="1080" w:type="dxa"/>
            <w:vAlign w:val="center"/>
          </w:tcPr>
          <w:p w14:paraId="4C49C7CD" w14:textId="77777777" w:rsidR="00EE55DB" w:rsidRDefault="00000000">
            <w:pPr>
              <w:spacing w:line="240" w:lineRule="auto"/>
              <w:ind w:firstLineChars="0" w:firstLine="0"/>
              <w:jc w:val="center"/>
              <w:rPr>
                <w:rFonts w:eastAsia="宋体"/>
                <w:sz w:val="21"/>
              </w:rPr>
            </w:pPr>
            <w:r>
              <w:rPr>
                <w:rFonts w:eastAsia="宋体"/>
                <w:sz w:val="21"/>
              </w:rPr>
              <w:t>8</w:t>
            </w:r>
            <w:r>
              <w:rPr>
                <w:rFonts w:eastAsia="宋体" w:hint="eastAsia"/>
                <w:sz w:val="21"/>
              </w:rPr>
              <w:t>左右</w:t>
            </w:r>
          </w:p>
        </w:tc>
        <w:tc>
          <w:tcPr>
            <w:tcW w:w="912" w:type="dxa"/>
            <w:vAlign w:val="center"/>
          </w:tcPr>
          <w:p w14:paraId="4582DEF6"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35BF7733" w14:textId="77777777">
        <w:trPr>
          <w:jc w:val="center"/>
        </w:trPr>
        <w:tc>
          <w:tcPr>
            <w:tcW w:w="839" w:type="dxa"/>
            <w:vMerge/>
            <w:vAlign w:val="center"/>
          </w:tcPr>
          <w:p w14:paraId="2FB57A48" w14:textId="77777777" w:rsidR="00EE55DB" w:rsidRDefault="00EE55DB">
            <w:pPr>
              <w:spacing w:line="240" w:lineRule="auto"/>
              <w:ind w:firstLineChars="0" w:firstLine="0"/>
              <w:jc w:val="center"/>
              <w:rPr>
                <w:rFonts w:eastAsia="宋体"/>
                <w:sz w:val="21"/>
              </w:rPr>
            </w:pPr>
          </w:p>
        </w:tc>
        <w:tc>
          <w:tcPr>
            <w:tcW w:w="4100" w:type="dxa"/>
            <w:vAlign w:val="center"/>
          </w:tcPr>
          <w:p w14:paraId="6020F29F" w14:textId="77777777" w:rsidR="00EE55DB" w:rsidRDefault="00000000">
            <w:pPr>
              <w:spacing w:line="240" w:lineRule="auto"/>
              <w:ind w:firstLineChars="0" w:firstLine="0"/>
              <w:jc w:val="center"/>
              <w:rPr>
                <w:rFonts w:eastAsia="宋体"/>
                <w:sz w:val="21"/>
              </w:rPr>
            </w:pPr>
            <w:r>
              <w:rPr>
                <w:rFonts w:eastAsia="宋体" w:hint="eastAsia"/>
                <w:sz w:val="21"/>
              </w:rPr>
              <w:t>社会消费品零售总额（亿元）</w:t>
            </w:r>
          </w:p>
        </w:tc>
        <w:tc>
          <w:tcPr>
            <w:tcW w:w="970" w:type="dxa"/>
            <w:vAlign w:val="center"/>
          </w:tcPr>
          <w:p w14:paraId="6B08AF20" w14:textId="77777777" w:rsidR="00EE55DB" w:rsidRDefault="00000000">
            <w:pPr>
              <w:spacing w:line="240" w:lineRule="auto"/>
              <w:ind w:firstLineChars="0" w:firstLine="0"/>
              <w:jc w:val="center"/>
              <w:rPr>
                <w:rFonts w:eastAsia="宋体"/>
                <w:sz w:val="21"/>
              </w:rPr>
            </w:pPr>
            <w:r>
              <w:rPr>
                <w:rFonts w:eastAsia="宋体"/>
                <w:sz w:val="21"/>
              </w:rPr>
              <w:t>78.02</w:t>
            </w:r>
          </w:p>
        </w:tc>
        <w:tc>
          <w:tcPr>
            <w:tcW w:w="920" w:type="dxa"/>
            <w:vAlign w:val="center"/>
          </w:tcPr>
          <w:p w14:paraId="47335802" w14:textId="77777777" w:rsidR="00EE55DB" w:rsidRDefault="00000000">
            <w:pPr>
              <w:spacing w:line="240" w:lineRule="auto"/>
              <w:ind w:firstLineChars="0" w:firstLine="0"/>
              <w:jc w:val="center"/>
              <w:rPr>
                <w:rFonts w:eastAsia="宋体"/>
                <w:color w:val="FF0000"/>
                <w:sz w:val="21"/>
              </w:rPr>
            </w:pPr>
            <w:r>
              <w:rPr>
                <w:rFonts w:eastAsia="宋体"/>
                <w:color w:val="FF0000"/>
                <w:sz w:val="21"/>
              </w:rPr>
              <w:t>136.4</w:t>
            </w:r>
          </w:p>
        </w:tc>
        <w:tc>
          <w:tcPr>
            <w:tcW w:w="1203" w:type="dxa"/>
            <w:vAlign w:val="center"/>
          </w:tcPr>
          <w:p w14:paraId="17C42875" w14:textId="77777777" w:rsidR="00EE55DB" w:rsidRDefault="00000000">
            <w:pPr>
              <w:spacing w:line="240" w:lineRule="auto"/>
              <w:ind w:firstLineChars="0" w:firstLine="0"/>
              <w:jc w:val="center"/>
              <w:rPr>
                <w:rFonts w:eastAsia="宋体"/>
                <w:sz w:val="21"/>
              </w:rPr>
            </w:pPr>
            <w:r>
              <w:rPr>
                <w:rFonts w:eastAsia="宋体"/>
                <w:sz w:val="21"/>
              </w:rPr>
              <w:t>11.6</w:t>
            </w:r>
          </w:p>
        </w:tc>
        <w:tc>
          <w:tcPr>
            <w:tcW w:w="1080" w:type="dxa"/>
            <w:vAlign w:val="center"/>
          </w:tcPr>
          <w:p w14:paraId="5B50E146" w14:textId="77777777" w:rsidR="00EE55DB" w:rsidRDefault="00000000">
            <w:pPr>
              <w:spacing w:line="240" w:lineRule="auto"/>
              <w:ind w:firstLineChars="0" w:firstLine="0"/>
              <w:jc w:val="center"/>
              <w:rPr>
                <w:rFonts w:eastAsia="宋体"/>
                <w:sz w:val="21"/>
              </w:rPr>
            </w:pPr>
            <w:r>
              <w:rPr>
                <w:rFonts w:eastAsia="宋体"/>
                <w:sz w:val="21"/>
              </w:rPr>
              <w:t>8</w:t>
            </w:r>
            <w:r>
              <w:rPr>
                <w:rFonts w:eastAsia="宋体" w:hint="eastAsia"/>
                <w:sz w:val="21"/>
              </w:rPr>
              <w:t>左右</w:t>
            </w:r>
          </w:p>
        </w:tc>
        <w:tc>
          <w:tcPr>
            <w:tcW w:w="912" w:type="dxa"/>
            <w:vAlign w:val="center"/>
          </w:tcPr>
          <w:p w14:paraId="48DF334A"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243FDF30" w14:textId="77777777">
        <w:trPr>
          <w:jc w:val="center"/>
        </w:trPr>
        <w:tc>
          <w:tcPr>
            <w:tcW w:w="839" w:type="dxa"/>
            <w:vMerge/>
            <w:vAlign w:val="center"/>
          </w:tcPr>
          <w:p w14:paraId="0D4CA6CA" w14:textId="77777777" w:rsidR="00EE55DB" w:rsidRDefault="00EE55DB">
            <w:pPr>
              <w:spacing w:line="240" w:lineRule="auto"/>
              <w:ind w:firstLineChars="0" w:firstLine="0"/>
              <w:jc w:val="center"/>
              <w:rPr>
                <w:rFonts w:eastAsia="宋体"/>
                <w:sz w:val="21"/>
              </w:rPr>
            </w:pPr>
          </w:p>
        </w:tc>
        <w:tc>
          <w:tcPr>
            <w:tcW w:w="4100" w:type="dxa"/>
            <w:vAlign w:val="center"/>
          </w:tcPr>
          <w:p w14:paraId="50A73CE4" w14:textId="77777777" w:rsidR="00EE55DB" w:rsidRDefault="00000000">
            <w:pPr>
              <w:spacing w:line="240" w:lineRule="auto"/>
              <w:ind w:firstLineChars="0" w:firstLine="0"/>
              <w:jc w:val="center"/>
              <w:rPr>
                <w:rFonts w:eastAsia="宋体"/>
                <w:sz w:val="21"/>
              </w:rPr>
            </w:pPr>
            <w:r>
              <w:rPr>
                <w:rFonts w:eastAsia="宋体" w:hint="eastAsia"/>
                <w:sz w:val="21"/>
              </w:rPr>
              <w:t>粮食总产量（万吨）</w:t>
            </w:r>
          </w:p>
        </w:tc>
        <w:tc>
          <w:tcPr>
            <w:tcW w:w="970" w:type="dxa"/>
            <w:vAlign w:val="center"/>
          </w:tcPr>
          <w:p w14:paraId="3AD7E8CB" w14:textId="77777777" w:rsidR="00EE55DB" w:rsidRDefault="00000000">
            <w:pPr>
              <w:spacing w:line="240" w:lineRule="auto"/>
              <w:ind w:firstLineChars="0" w:firstLine="0"/>
              <w:jc w:val="center"/>
              <w:rPr>
                <w:rFonts w:eastAsia="宋体"/>
                <w:sz w:val="21"/>
              </w:rPr>
            </w:pPr>
            <w:r>
              <w:rPr>
                <w:rFonts w:eastAsia="宋体"/>
                <w:sz w:val="21"/>
              </w:rPr>
              <w:t>24</w:t>
            </w:r>
          </w:p>
        </w:tc>
        <w:tc>
          <w:tcPr>
            <w:tcW w:w="920" w:type="dxa"/>
            <w:vAlign w:val="center"/>
          </w:tcPr>
          <w:p w14:paraId="080A9827" w14:textId="77777777" w:rsidR="00EE55DB" w:rsidRDefault="00000000">
            <w:pPr>
              <w:spacing w:line="240" w:lineRule="auto"/>
              <w:ind w:firstLineChars="0" w:firstLine="0"/>
              <w:jc w:val="center"/>
              <w:rPr>
                <w:rFonts w:eastAsia="宋体"/>
                <w:sz w:val="21"/>
              </w:rPr>
            </w:pPr>
            <w:r>
              <w:rPr>
                <w:rFonts w:eastAsia="宋体"/>
                <w:sz w:val="21"/>
              </w:rPr>
              <w:t>25</w:t>
            </w:r>
          </w:p>
        </w:tc>
        <w:tc>
          <w:tcPr>
            <w:tcW w:w="1203" w:type="dxa"/>
            <w:vAlign w:val="center"/>
          </w:tcPr>
          <w:p w14:paraId="197BD2EF" w14:textId="77777777" w:rsidR="00EE55DB" w:rsidRDefault="00000000">
            <w:pPr>
              <w:spacing w:line="240" w:lineRule="auto"/>
              <w:ind w:firstLineChars="0" w:firstLine="0"/>
              <w:jc w:val="center"/>
              <w:rPr>
                <w:rFonts w:eastAsia="宋体"/>
                <w:sz w:val="21"/>
              </w:rPr>
            </w:pPr>
            <w:r>
              <w:rPr>
                <w:rFonts w:eastAsia="宋体"/>
                <w:sz w:val="21"/>
              </w:rPr>
              <w:t>[1]</w:t>
            </w:r>
          </w:p>
        </w:tc>
        <w:tc>
          <w:tcPr>
            <w:tcW w:w="1080" w:type="dxa"/>
            <w:vAlign w:val="center"/>
          </w:tcPr>
          <w:p w14:paraId="3E57C83B" w14:textId="77777777" w:rsidR="00EE55DB" w:rsidRDefault="00000000">
            <w:pPr>
              <w:spacing w:line="240" w:lineRule="auto"/>
              <w:ind w:firstLineChars="0" w:firstLine="0"/>
              <w:jc w:val="center"/>
              <w:rPr>
                <w:rFonts w:eastAsia="宋体"/>
                <w:sz w:val="21"/>
              </w:rPr>
            </w:pPr>
            <w:r>
              <w:rPr>
                <w:rFonts w:eastAsia="宋体" w:hint="eastAsia"/>
                <w:sz w:val="21"/>
              </w:rPr>
              <w:t>保持稳定</w:t>
            </w:r>
          </w:p>
        </w:tc>
        <w:tc>
          <w:tcPr>
            <w:tcW w:w="912" w:type="dxa"/>
            <w:vAlign w:val="center"/>
          </w:tcPr>
          <w:p w14:paraId="48A95C1F" w14:textId="77777777" w:rsidR="00EE55DB" w:rsidRDefault="00000000">
            <w:pPr>
              <w:spacing w:line="240" w:lineRule="auto"/>
              <w:ind w:firstLineChars="0" w:firstLine="0"/>
              <w:jc w:val="center"/>
              <w:rPr>
                <w:rFonts w:eastAsia="宋体"/>
                <w:sz w:val="21"/>
              </w:rPr>
            </w:pPr>
            <w:r>
              <w:rPr>
                <w:rFonts w:eastAsia="宋体" w:hint="eastAsia"/>
                <w:sz w:val="21"/>
              </w:rPr>
              <w:t>约束性</w:t>
            </w:r>
          </w:p>
        </w:tc>
      </w:tr>
      <w:tr w:rsidR="00EE55DB" w14:paraId="24FF15C4" w14:textId="77777777">
        <w:trPr>
          <w:jc w:val="center"/>
        </w:trPr>
        <w:tc>
          <w:tcPr>
            <w:tcW w:w="839" w:type="dxa"/>
            <w:vMerge/>
            <w:vAlign w:val="center"/>
          </w:tcPr>
          <w:p w14:paraId="41620AAE" w14:textId="77777777" w:rsidR="00EE55DB" w:rsidRDefault="00EE55DB">
            <w:pPr>
              <w:spacing w:line="240" w:lineRule="auto"/>
              <w:ind w:firstLineChars="0" w:firstLine="0"/>
              <w:jc w:val="center"/>
              <w:rPr>
                <w:rFonts w:eastAsia="宋体"/>
                <w:sz w:val="21"/>
              </w:rPr>
            </w:pPr>
          </w:p>
        </w:tc>
        <w:tc>
          <w:tcPr>
            <w:tcW w:w="4100" w:type="dxa"/>
            <w:vAlign w:val="center"/>
          </w:tcPr>
          <w:p w14:paraId="694091AC" w14:textId="77777777" w:rsidR="00EE55DB" w:rsidRDefault="00000000">
            <w:pPr>
              <w:spacing w:line="240" w:lineRule="auto"/>
              <w:ind w:firstLineChars="0" w:firstLine="0"/>
              <w:jc w:val="center"/>
              <w:rPr>
                <w:rFonts w:eastAsia="宋体"/>
                <w:sz w:val="21"/>
              </w:rPr>
            </w:pPr>
            <w:r>
              <w:rPr>
                <w:rFonts w:eastAsia="宋体" w:hint="eastAsia"/>
                <w:sz w:val="21"/>
              </w:rPr>
              <w:t>能源综合生产能力（亿吨标准煤）</w:t>
            </w:r>
          </w:p>
        </w:tc>
        <w:tc>
          <w:tcPr>
            <w:tcW w:w="970" w:type="dxa"/>
            <w:vAlign w:val="center"/>
          </w:tcPr>
          <w:p w14:paraId="6D2152DE" w14:textId="77777777" w:rsidR="00EE55DB" w:rsidRDefault="00000000">
            <w:pPr>
              <w:spacing w:line="240" w:lineRule="auto"/>
              <w:ind w:firstLineChars="0" w:firstLine="0"/>
              <w:jc w:val="center"/>
              <w:rPr>
                <w:rFonts w:eastAsia="宋体"/>
                <w:sz w:val="21"/>
              </w:rPr>
            </w:pPr>
            <w:r>
              <w:rPr>
                <w:rFonts w:eastAsia="宋体"/>
                <w:sz w:val="21"/>
              </w:rPr>
              <w:t>—</w:t>
            </w:r>
          </w:p>
        </w:tc>
        <w:tc>
          <w:tcPr>
            <w:tcW w:w="2123" w:type="dxa"/>
            <w:gridSpan w:val="2"/>
            <w:vAlign w:val="center"/>
          </w:tcPr>
          <w:p w14:paraId="3274F141" w14:textId="77777777" w:rsidR="00EE55DB" w:rsidRDefault="00000000">
            <w:pPr>
              <w:spacing w:line="240" w:lineRule="auto"/>
              <w:ind w:firstLineChars="0" w:firstLine="0"/>
              <w:jc w:val="center"/>
              <w:rPr>
                <w:rFonts w:eastAsia="宋体"/>
                <w:sz w:val="21"/>
              </w:rPr>
            </w:pPr>
            <w:r>
              <w:rPr>
                <w:rFonts w:eastAsia="宋体" w:hint="eastAsia"/>
                <w:sz w:val="21"/>
              </w:rPr>
              <w:t>省市下达的任务</w:t>
            </w:r>
          </w:p>
        </w:tc>
        <w:tc>
          <w:tcPr>
            <w:tcW w:w="1080" w:type="dxa"/>
            <w:vAlign w:val="center"/>
          </w:tcPr>
          <w:p w14:paraId="4B5825F3" w14:textId="77777777" w:rsidR="00EE55DB" w:rsidRDefault="00000000">
            <w:pPr>
              <w:spacing w:line="240" w:lineRule="auto"/>
              <w:ind w:firstLineChars="0" w:firstLine="0"/>
              <w:jc w:val="center"/>
              <w:rPr>
                <w:rFonts w:eastAsia="宋体"/>
                <w:sz w:val="21"/>
              </w:rPr>
            </w:pPr>
            <w:r>
              <w:rPr>
                <w:rFonts w:eastAsia="宋体" w:hint="eastAsia"/>
                <w:sz w:val="21"/>
              </w:rPr>
              <w:t>省下达的任务</w:t>
            </w:r>
          </w:p>
        </w:tc>
        <w:tc>
          <w:tcPr>
            <w:tcW w:w="912" w:type="dxa"/>
            <w:vAlign w:val="center"/>
          </w:tcPr>
          <w:p w14:paraId="0FB4C53B" w14:textId="77777777" w:rsidR="00EE55DB" w:rsidRDefault="00000000">
            <w:pPr>
              <w:spacing w:line="240" w:lineRule="auto"/>
              <w:ind w:firstLineChars="0" w:firstLine="0"/>
              <w:jc w:val="center"/>
              <w:rPr>
                <w:rFonts w:eastAsia="宋体"/>
                <w:sz w:val="21"/>
              </w:rPr>
            </w:pPr>
            <w:r>
              <w:rPr>
                <w:rFonts w:eastAsia="宋体" w:hint="eastAsia"/>
                <w:sz w:val="21"/>
              </w:rPr>
              <w:t>约束性</w:t>
            </w:r>
          </w:p>
        </w:tc>
      </w:tr>
      <w:tr w:rsidR="00EE55DB" w14:paraId="3D9CCE76" w14:textId="77777777">
        <w:trPr>
          <w:jc w:val="center"/>
        </w:trPr>
        <w:tc>
          <w:tcPr>
            <w:tcW w:w="839" w:type="dxa"/>
            <w:vMerge w:val="restart"/>
            <w:vAlign w:val="center"/>
          </w:tcPr>
          <w:p w14:paraId="68F2D5EB" w14:textId="77777777" w:rsidR="00EE55DB" w:rsidRDefault="00000000">
            <w:pPr>
              <w:spacing w:line="240" w:lineRule="auto"/>
              <w:ind w:firstLineChars="0" w:firstLine="0"/>
              <w:jc w:val="center"/>
              <w:rPr>
                <w:rFonts w:eastAsia="宋体"/>
                <w:sz w:val="21"/>
                <w:szCs w:val="22"/>
              </w:rPr>
            </w:pPr>
            <w:r>
              <w:rPr>
                <w:rFonts w:eastAsia="宋体" w:hint="eastAsia"/>
                <w:sz w:val="21"/>
                <w:szCs w:val="22"/>
              </w:rPr>
              <w:t>创新</w:t>
            </w:r>
          </w:p>
          <w:p w14:paraId="470590C8" w14:textId="77777777" w:rsidR="00EE55DB" w:rsidRDefault="00000000">
            <w:pPr>
              <w:spacing w:line="240" w:lineRule="auto"/>
              <w:ind w:firstLineChars="0" w:firstLine="0"/>
              <w:jc w:val="center"/>
              <w:rPr>
                <w:rFonts w:eastAsia="宋体"/>
                <w:sz w:val="21"/>
              </w:rPr>
            </w:pPr>
            <w:r>
              <w:rPr>
                <w:rFonts w:eastAsia="宋体" w:hint="eastAsia"/>
                <w:sz w:val="21"/>
                <w:szCs w:val="22"/>
              </w:rPr>
              <w:t>驱动</w:t>
            </w:r>
          </w:p>
        </w:tc>
        <w:tc>
          <w:tcPr>
            <w:tcW w:w="4100" w:type="dxa"/>
            <w:vAlign w:val="center"/>
          </w:tcPr>
          <w:p w14:paraId="3B901E86" w14:textId="77777777" w:rsidR="00EE55DB" w:rsidRDefault="00000000">
            <w:pPr>
              <w:spacing w:line="240" w:lineRule="auto"/>
              <w:ind w:firstLineChars="0" w:firstLine="0"/>
              <w:jc w:val="center"/>
              <w:rPr>
                <w:rFonts w:eastAsia="宋体"/>
                <w:sz w:val="21"/>
              </w:rPr>
            </w:pPr>
            <w:r>
              <w:rPr>
                <w:rFonts w:eastAsia="宋体" w:hint="eastAsia"/>
                <w:sz w:val="21"/>
              </w:rPr>
              <w:t>研发经费支出（亿元）</w:t>
            </w:r>
          </w:p>
        </w:tc>
        <w:tc>
          <w:tcPr>
            <w:tcW w:w="970" w:type="dxa"/>
            <w:vAlign w:val="center"/>
          </w:tcPr>
          <w:p w14:paraId="22EFDAAA" w14:textId="77777777" w:rsidR="00EE55DB" w:rsidRDefault="00000000">
            <w:pPr>
              <w:spacing w:line="240" w:lineRule="auto"/>
              <w:ind w:firstLineChars="0" w:firstLine="0"/>
              <w:jc w:val="center"/>
              <w:rPr>
                <w:rFonts w:eastAsia="宋体"/>
                <w:sz w:val="21"/>
              </w:rPr>
            </w:pPr>
            <w:r>
              <w:rPr>
                <w:rFonts w:eastAsia="宋体"/>
                <w:sz w:val="21"/>
              </w:rPr>
              <w:t>4.5</w:t>
            </w:r>
          </w:p>
        </w:tc>
        <w:tc>
          <w:tcPr>
            <w:tcW w:w="920" w:type="dxa"/>
            <w:vAlign w:val="center"/>
          </w:tcPr>
          <w:p w14:paraId="66A47962" w14:textId="77777777" w:rsidR="00EE55DB" w:rsidRDefault="00000000">
            <w:pPr>
              <w:spacing w:line="240" w:lineRule="auto"/>
              <w:ind w:firstLineChars="0" w:firstLine="0"/>
              <w:jc w:val="center"/>
              <w:rPr>
                <w:rFonts w:eastAsia="宋体"/>
                <w:sz w:val="21"/>
              </w:rPr>
            </w:pPr>
            <w:r>
              <w:rPr>
                <w:rFonts w:eastAsia="宋体"/>
                <w:sz w:val="21"/>
              </w:rPr>
              <w:t>20</w:t>
            </w:r>
          </w:p>
        </w:tc>
        <w:tc>
          <w:tcPr>
            <w:tcW w:w="1203" w:type="dxa"/>
            <w:vAlign w:val="center"/>
          </w:tcPr>
          <w:p w14:paraId="4ED18555" w14:textId="77777777" w:rsidR="00EE55DB" w:rsidRDefault="00000000">
            <w:pPr>
              <w:spacing w:line="240" w:lineRule="auto"/>
              <w:ind w:firstLineChars="0" w:firstLine="0"/>
              <w:jc w:val="center"/>
              <w:rPr>
                <w:rFonts w:eastAsia="宋体"/>
                <w:sz w:val="21"/>
              </w:rPr>
            </w:pPr>
            <w:r>
              <w:rPr>
                <w:rFonts w:eastAsia="宋体"/>
                <w:sz w:val="21"/>
              </w:rPr>
              <w:t>35</w:t>
            </w:r>
          </w:p>
        </w:tc>
        <w:tc>
          <w:tcPr>
            <w:tcW w:w="1080" w:type="dxa"/>
            <w:vAlign w:val="center"/>
          </w:tcPr>
          <w:p w14:paraId="56F4FAD3" w14:textId="77777777" w:rsidR="00EE55DB" w:rsidRDefault="00000000">
            <w:pPr>
              <w:spacing w:line="240" w:lineRule="auto"/>
              <w:ind w:firstLineChars="0" w:firstLine="0"/>
              <w:jc w:val="center"/>
              <w:rPr>
                <w:rFonts w:eastAsia="宋体"/>
                <w:sz w:val="21"/>
              </w:rPr>
            </w:pPr>
            <w:r>
              <w:rPr>
                <w:rFonts w:eastAsia="宋体"/>
                <w:sz w:val="21"/>
              </w:rPr>
              <w:t>14.9</w:t>
            </w:r>
            <w:r>
              <w:rPr>
                <w:rFonts w:eastAsia="宋体" w:hint="eastAsia"/>
                <w:sz w:val="21"/>
              </w:rPr>
              <w:t>左右</w:t>
            </w:r>
          </w:p>
        </w:tc>
        <w:tc>
          <w:tcPr>
            <w:tcW w:w="912" w:type="dxa"/>
            <w:vAlign w:val="center"/>
          </w:tcPr>
          <w:p w14:paraId="0F474E8A"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286FA5E0" w14:textId="77777777">
        <w:trPr>
          <w:jc w:val="center"/>
        </w:trPr>
        <w:tc>
          <w:tcPr>
            <w:tcW w:w="839" w:type="dxa"/>
            <w:vMerge/>
            <w:vAlign w:val="center"/>
          </w:tcPr>
          <w:p w14:paraId="43A965E6" w14:textId="77777777" w:rsidR="00EE55DB" w:rsidRDefault="00EE55DB">
            <w:pPr>
              <w:spacing w:line="240" w:lineRule="auto"/>
              <w:ind w:firstLineChars="0" w:firstLine="0"/>
              <w:jc w:val="center"/>
              <w:rPr>
                <w:rFonts w:eastAsia="宋体"/>
                <w:sz w:val="21"/>
              </w:rPr>
            </w:pPr>
          </w:p>
        </w:tc>
        <w:tc>
          <w:tcPr>
            <w:tcW w:w="4100" w:type="dxa"/>
            <w:vAlign w:val="center"/>
          </w:tcPr>
          <w:p w14:paraId="54B70B02" w14:textId="77777777" w:rsidR="00EE55DB" w:rsidRDefault="00000000">
            <w:pPr>
              <w:spacing w:line="240" w:lineRule="auto"/>
              <w:ind w:firstLineChars="0" w:firstLine="0"/>
              <w:jc w:val="center"/>
              <w:rPr>
                <w:rFonts w:eastAsia="宋体"/>
                <w:sz w:val="21"/>
              </w:rPr>
            </w:pPr>
            <w:r>
              <w:rPr>
                <w:rFonts w:eastAsia="宋体" w:hint="eastAsia"/>
                <w:sz w:val="21"/>
              </w:rPr>
              <w:t>高新技术产业增加值占</w:t>
            </w:r>
            <w:r>
              <w:rPr>
                <w:rFonts w:eastAsia="宋体"/>
                <w:sz w:val="21"/>
              </w:rPr>
              <w:t>GDP</w:t>
            </w:r>
            <w:r>
              <w:rPr>
                <w:rFonts w:eastAsia="宋体" w:hint="eastAsia"/>
                <w:sz w:val="21"/>
              </w:rPr>
              <w:t>比重（</w:t>
            </w:r>
            <w:r>
              <w:rPr>
                <w:rFonts w:eastAsia="宋体"/>
                <w:sz w:val="21"/>
              </w:rPr>
              <w:t>%</w:t>
            </w:r>
            <w:r>
              <w:rPr>
                <w:rFonts w:eastAsia="宋体" w:hint="eastAsia"/>
                <w:sz w:val="21"/>
              </w:rPr>
              <w:t>）</w:t>
            </w:r>
          </w:p>
        </w:tc>
        <w:tc>
          <w:tcPr>
            <w:tcW w:w="970" w:type="dxa"/>
            <w:vAlign w:val="center"/>
          </w:tcPr>
          <w:p w14:paraId="0D2E3F7F" w14:textId="77777777" w:rsidR="00EE55DB" w:rsidRDefault="00000000">
            <w:pPr>
              <w:spacing w:line="240" w:lineRule="auto"/>
              <w:ind w:firstLineChars="0" w:firstLine="0"/>
              <w:jc w:val="center"/>
              <w:rPr>
                <w:rFonts w:eastAsia="宋体"/>
                <w:sz w:val="21"/>
              </w:rPr>
            </w:pPr>
            <w:r>
              <w:rPr>
                <w:rFonts w:eastAsia="宋体"/>
                <w:sz w:val="21"/>
              </w:rPr>
              <w:t>30</w:t>
            </w:r>
          </w:p>
        </w:tc>
        <w:tc>
          <w:tcPr>
            <w:tcW w:w="920" w:type="dxa"/>
            <w:vAlign w:val="center"/>
          </w:tcPr>
          <w:p w14:paraId="4246909A" w14:textId="77777777" w:rsidR="00EE55DB" w:rsidRDefault="00000000">
            <w:pPr>
              <w:spacing w:line="240" w:lineRule="auto"/>
              <w:ind w:firstLineChars="0" w:firstLine="0"/>
              <w:jc w:val="center"/>
              <w:rPr>
                <w:rFonts w:eastAsia="宋体"/>
                <w:sz w:val="21"/>
              </w:rPr>
            </w:pPr>
            <w:r>
              <w:rPr>
                <w:rFonts w:eastAsia="宋体"/>
                <w:sz w:val="21"/>
              </w:rPr>
              <w:t>40</w:t>
            </w:r>
          </w:p>
        </w:tc>
        <w:tc>
          <w:tcPr>
            <w:tcW w:w="1203" w:type="dxa"/>
            <w:vAlign w:val="center"/>
          </w:tcPr>
          <w:p w14:paraId="282636E5" w14:textId="77777777" w:rsidR="00EE55DB" w:rsidRDefault="00000000">
            <w:pPr>
              <w:spacing w:line="240" w:lineRule="auto"/>
              <w:ind w:firstLineChars="0" w:firstLine="0"/>
              <w:jc w:val="center"/>
              <w:rPr>
                <w:rFonts w:eastAsia="宋体"/>
                <w:sz w:val="21"/>
              </w:rPr>
            </w:pPr>
            <w:r>
              <w:rPr>
                <w:rFonts w:eastAsia="宋体"/>
                <w:sz w:val="21"/>
              </w:rPr>
              <w:t>6</w:t>
            </w:r>
          </w:p>
        </w:tc>
        <w:tc>
          <w:tcPr>
            <w:tcW w:w="1080" w:type="dxa"/>
            <w:vAlign w:val="center"/>
          </w:tcPr>
          <w:p w14:paraId="5D14A597" w14:textId="77777777" w:rsidR="00EE55DB" w:rsidRDefault="00000000">
            <w:pPr>
              <w:spacing w:line="240" w:lineRule="auto"/>
              <w:ind w:firstLineChars="0" w:firstLine="0"/>
              <w:jc w:val="center"/>
              <w:rPr>
                <w:rFonts w:eastAsia="宋体"/>
                <w:sz w:val="21"/>
              </w:rPr>
            </w:pPr>
            <w:r>
              <w:rPr>
                <w:rFonts w:eastAsia="宋体"/>
                <w:sz w:val="21"/>
              </w:rPr>
              <w:t>—</w:t>
            </w:r>
          </w:p>
        </w:tc>
        <w:tc>
          <w:tcPr>
            <w:tcW w:w="912" w:type="dxa"/>
            <w:vAlign w:val="center"/>
          </w:tcPr>
          <w:p w14:paraId="7C2166BF"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6BDCFA37" w14:textId="77777777">
        <w:trPr>
          <w:jc w:val="center"/>
        </w:trPr>
        <w:tc>
          <w:tcPr>
            <w:tcW w:w="839" w:type="dxa"/>
            <w:vMerge/>
            <w:vAlign w:val="center"/>
          </w:tcPr>
          <w:p w14:paraId="5E3B38D9" w14:textId="77777777" w:rsidR="00EE55DB" w:rsidRDefault="00EE55DB">
            <w:pPr>
              <w:spacing w:line="240" w:lineRule="auto"/>
              <w:ind w:firstLineChars="0" w:firstLine="0"/>
              <w:jc w:val="center"/>
              <w:rPr>
                <w:rFonts w:eastAsia="宋体"/>
                <w:sz w:val="21"/>
              </w:rPr>
            </w:pPr>
          </w:p>
        </w:tc>
        <w:tc>
          <w:tcPr>
            <w:tcW w:w="4100" w:type="dxa"/>
            <w:vAlign w:val="center"/>
          </w:tcPr>
          <w:p w14:paraId="2100B8B2" w14:textId="77777777" w:rsidR="00EE55DB" w:rsidRDefault="00000000">
            <w:pPr>
              <w:spacing w:line="240" w:lineRule="auto"/>
              <w:ind w:firstLineChars="0" w:firstLine="0"/>
              <w:jc w:val="center"/>
              <w:rPr>
                <w:rFonts w:eastAsia="宋体"/>
                <w:sz w:val="21"/>
              </w:rPr>
            </w:pPr>
            <w:r>
              <w:rPr>
                <w:rFonts w:eastAsia="宋体" w:hint="eastAsia"/>
                <w:sz w:val="21"/>
              </w:rPr>
              <w:t>每万人口高价值发明专利拥有量（件）</w:t>
            </w:r>
          </w:p>
        </w:tc>
        <w:tc>
          <w:tcPr>
            <w:tcW w:w="970" w:type="dxa"/>
            <w:vAlign w:val="center"/>
          </w:tcPr>
          <w:p w14:paraId="33BA52AA" w14:textId="77777777" w:rsidR="00EE55DB" w:rsidRDefault="00000000">
            <w:pPr>
              <w:spacing w:line="240" w:lineRule="auto"/>
              <w:ind w:firstLineChars="0" w:firstLine="0"/>
              <w:jc w:val="center"/>
              <w:rPr>
                <w:rFonts w:eastAsia="宋体"/>
                <w:sz w:val="21"/>
              </w:rPr>
            </w:pPr>
            <w:r>
              <w:rPr>
                <w:rFonts w:eastAsia="宋体"/>
                <w:sz w:val="21"/>
              </w:rPr>
              <w:t>3.68</w:t>
            </w:r>
          </w:p>
        </w:tc>
        <w:tc>
          <w:tcPr>
            <w:tcW w:w="920" w:type="dxa"/>
            <w:vAlign w:val="center"/>
          </w:tcPr>
          <w:p w14:paraId="0E0220F9" w14:textId="77777777" w:rsidR="00EE55DB" w:rsidRDefault="00000000">
            <w:pPr>
              <w:spacing w:line="240" w:lineRule="auto"/>
              <w:ind w:firstLineChars="0" w:firstLine="0"/>
              <w:jc w:val="center"/>
              <w:rPr>
                <w:rFonts w:eastAsia="宋体"/>
                <w:sz w:val="21"/>
              </w:rPr>
            </w:pPr>
            <w:r>
              <w:rPr>
                <w:rFonts w:eastAsia="宋体"/>
                <w:sz w:val="21"/>
              </w:rPr>
              <w:t>6</w:t>
            </w:r>
          </w:p>
        </w:tc>
        <w:tc>
          <w:tcPr>
            <w:tcW w:w="1203" w:type="dxa"/>
            <w:vAlign w:val="center"/>
          </w:tcPr>
          <w:p w14:paraId="02B7A270" w14:textId="77777777" w:rsidR="00EE55DB" w:rsidRDefault="00000000">
            <w:pPr>
              <w:spacing w:line="240" w:lineRule="auto"/>
              <w:ind w:firstLineChars="0" w:firstLine="0"/>
              <w:jc w:val="center"/>
              <w:rPr>
                <w:rFonts w:eastAsia="宋体"/>
                <w:sz w:val="21"/>
              </w:rPr>
            </w:pPr>
            <w:r>
              <w:rPr>
                <w:rFonts w:eastAsia="宋体"/>
                <w:sz w:val="21"/>
              </w:rPr>
              <w:t>[2.32]</w:t>
            </w:r>
          </w:p>
        </w:tc>
        <w:tc>
          <w:tcPr>
            <w:tcW w:w="1080" w:type="dxa"/>
            <w:vAlign w:val="center"/>
          </w:tcPr>
          <w:p w14:paraId="59DF5C15" w14:textId="77777777" w:rsidR="00EE55DB" w:rsidRDefault="00000000">
            <w:pPr>
              <w:spacing w:line="240" w:lineRule="auto"/>
              <w:ind w:firstLineChars="0" w:firstLine="0"/>
              <w:jc w:val="center"/>
              <w:rPr>
                <w:rFonts w:eastAsia="宋体"/>
                <w:sz w:val="21"/>
              </w:rPr>
            </w:pPr>
            <w:r>
              <w:rPr>
                <w:rFonts w:eastAsia="宋体"/>
                <w:sz w:val="21"/>
              </w:rPr>
              <w:t>[1.5]</w:t>
            </w:r>
          </w:p>
        </w:tc>
        <w:tc>
          <w:tcPr>
            <w:tcW w:w="912" w:type="dxa"/>
            <w:vAlign w:val="center"/>
          </w:tcPr>
          <w:p w14:paraId="68DC70B7"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04ADB62C" w14:textId="77777777">
        <w:trPr>
          <w:jc w:val="center"/>
        </w:trPr>
        <w:tc>
          <w:tcPr>
            <w:tcW w:w="839" w:type="dxa"/>
            <w:vMerge/>
            <w:vAlign w:val="center"/>
          </w:tcPr>
          <w:p w14:paraId="1777F2BD" w14:textId="77777777" w:rsidR="00EE55DB" w:rsidRDefault="00EE55DB">
            <w:pPr>
              <w:spacing w:line="240" w:lineRule="auto"/>
              <w:ind w:firstLineChars="0" w:firstLine="0"/>
              <w:jc w:val="center"/>
              <w:rPr>
                <w:rFonts w:eastAsia="宋体"/>
                <w:sz w:val="21"/>
              </w:rPr>
            </w:pPr>
          </w:p>
        </w:tc>
        <w:tc>
          <w:tcPr>
            <w:tcW w:w="4100" w:type="dxa"/>
            <w:vAlign w:val="center"/>
          </w:tcPr>
          <w:p w14:paraId="6FA7FFB8" w14:textId="77777777" w:rsidR="00EE55DB" w:rsidRDefault="00000000">
            <w:pPr>
              <w:spacing w:line="240" w:lineRule="auto"/>
              <w:ind w:firstLineChars="0" w:firstLine="0"/>
              <w:jc w:val="center"/>
              <w:rPr>
                <w:rFonts w:eastAsia="宋体"/>
                <w:sz w:val="21"/>
              </w:rPr>
            </w:pPr>
            <w:r>
              <w:rPr>
                <w:rFonts w:eastAsia="宋体" w:hint="eastAsia"/>
                <w:sz w:val="21"/>
              </w:rPr>
              <w:t>数字经济核心产业增加值占</w:t>
            </w:r>
            <w:r>
              <w:rPr>
                <w:rFonts w:eastAsia="宋体"/>
                <w:sz w:val="21"/>
              </w:rPr>
              <w:t>GDP</w:t>
            </w:r>
            <w:r>
              <w:rPr>
                <w:rFonts w:eastAsia="宋体" w:hint="eastAsia"/>
                <w:sz w:val="21"/>
              </w:rPr>
              <w:t>比重（</w:t>
            </w:r>
            <w:r>
              <w:rPr>
                <w:rFonts w:eastAsia="宋体"/>
                <w:sz w:val="21"/>
              </w:rPr>
              <w:t>%</w:t>
            </w:r>
            <w:r>
              <w:rPr>
                <w:rFonts w:eastAsia="宋体" w:hint="eastAsia"/>
                <w:sz w:val="21"/>
              </w:rPr>
              <w:t>）</w:t>
            </w:r>
          </w:p>
        </w:tc>
        <w:tc>
          <w:tcPr>
            <w:tcW w:w="970" w:type="dxa"/>
            <w:vAlign w:val="center"/>
          </w:tcPr>
          <w:p w14:paraId="1B0A257D" w14:textId="77777777" w:rsidR="00EE55DB" w:rsidRDefault="00000000">
            <w:pPr>
              <w:spacing w:line="240" w:lineRule="auto"/>
              <w:ind w:firstLineChars="0" w:firstLine="0"/>
              <w:jc w:val="center"/>
              <w:rPr>
                <w:rFonts w:eastAsia="宋体"/>
                <w:sz w:val="21"/>
              </w:rPr>
            </w:pPr>
            <w:r>
              <w:rPr>
                <w:rFonts w:eastAsia="宋体"/>
                <w:sz w:val="21"/>
              </w:rPr>
              <w:t>—</w:t>
            </w:r>
          </w:p>
        </w:tc>
        <w:tc>
          <w:tcPr>
            <w:tcW w:w="2123" w:type="dxa"/>
            <w:gridSpan w:val="2"/>
            <w:vAlign w:val="center"/>
          </w:tcPr>
          <w:p w14:paraId="6F4CF8C2" w14:textId="77777777" w:rsidR="00EE55DB" w:rsidRDefault="00000000">
            <w:pPr>
              <w:spacing w:line="240" w:lineRule="auto"/>
              <w:ind w:firstLineChars="0" w:firstLine="0"/>
              <w:jc w:val="center"/>
              <w:rPr>
                <w:rFonts w:eastAsia="宋体"/>
                <w:sz w:val="21"/>
              </w:rPr>
            </w:pPr>
            <w:r>
              <w:rPr>
                <w:rFonts w:eastAsia="宋体" w:hint="eastAsia"/>
                <w:sz w:val="21"/>
              </w:rPr>
              <w:t>与市同步</w:t>
            </w:r>
          </w:p>
        </w:tc>
        <w:tc>
          <w:tcPr>
            <w:tcW w:w="1080" w:type="dxa"/>
            <w:vAlign w:val="center"/>
          </w:tcPr>
          <w:p w14:paraId="76F02E33" w14:textId="77777777" w:rsidR="00EE55DB" w:rsidRDefault="00000000">
            <w:pPr>
              <w:spacing w:line="240" w:lineRule="auto"/>
              <w:ind w:firstLineChars="0" w:firstLine="0"/>
              <w:jc w:val="center"/>
              <w:rPr>
                <w:rFonts w:eastAsia="宋体"/>
                <w:sz w:val="21"/>
              </w:rPr>
            </w:pPr>
            <w:r>
              <w:rPr>
                <w:rFonts w:eastAsia="宋体"/>
                <w:sz w:val="21"/>
              </w:rPr>
              <w:t>[3.5]</w:t>
            </w:r>
          </w:p>
        </w:tc>
        <w:tc>
          <w:tcPr>
            <w:tcW w:w="912" w:type="dxa"/>
            <w:vAlign w:val="center"/>
          </w:tcPr>
          <w:p w14:paraId="772940F4"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0A8CD4F1" w14:textId="77777777">
        <w:trPr>
          <w:jc w:val="center"/>
        </w:trPr>
        <w:tc>
          <w:tcPr>
            <w:tcW w:w="839" w:type="dxa"/>
            <w:vMerge w:val="restart"/>
            <w:vAlign w:val="center"/>
          </w:tcPr>
          <w:p w14:paraId="17326E42" w14:textId="77777777" w:rsidR="00EE55DB" w:rsidRDefault="00000000">
            <w:pPr>
              <w:spacing w:line="240" w:lineRule="auto"/>
              <w:ind w:firstLineChars="0" w:firstLine="0"/>
              <w:jc w:val="center"/>
              <w:rPr>
                <w:rFonts w:eastAsia="宋体"/>
                <w:sz w:val="21"/>
              </w:rPr>
            </w:pPr>
            <w:r>
              <w:rPr>
                <w:rFonts w:eastAsia="宋体" w:hint="eastAsia"/>
                <w:sz w:val="21"/>
              </w:rPr>
              <w:t>协调</w:t>
            </w:r>
          </w:p>
          <w:p w14:paraId="04BC9D44" w14:textId="77777777" w:rsidR="00EE55DB" w:rsidRDefault="00000000">
            <w:pPr>
              <w:spacing w:line="240" w:lineRule="auto"/>
              <w:ind w:firstLineChars="0" w:firstLine="0"/>
              <w:jc w:val="center"/>
              <w:rPr>
                <w:rFonts w:eastAsia="宋体"/>
                <w:sz w:val="21"/>
              </w:rPr>
            </w:pPr>
            <w:r>
              <w:rPr>
                <w:rFonts w:eastAsia="宋体" w:hint="eastAsia"/>
                <w:sz w:val="21"/>
              </w:rPr>
              <w:t>指标</w:t>
            </w:r>
          </w:p>
        </w:tc>
        <w:tc>
          <w:tcPr>
            <w:tcW w:w="4100" w:type="dxa"/>
            <w:vAlign w:val="center"/>
          </w:tcPr>
          <w:p w14:paraId="52E9F186" w14:textId="77777777" w:rsidR="00EE55DB" w:rsidRDefault="00000000">
            <w:pPr>
              <w:spacing w:line="240" w:lineRule="auto"/>
              <w:ind w:firstLineChars="0" w:firstLine="0"/>
              <w:jc w:val="center"/>
              <w:rPr>
                <w:rFonts w:eastAsia="宋体"/>
                <w:sz w:val="21"/>
              </w:rPr>
            </w:pPr>
            <w:r>
              <w:rPr>
                <w:rFonts w:eastAsia="宋体" w:hint="eastAsia"/>
                <w:sz w:val="21"/>
              </w:rPr>
              <w:t>三次产业比例</w:t>
            </w:r>
          </w:p>
        </w:tc>
        <w:tc>
          <w:tcPr>
            <w:tcW w:w="970" w:type="dxa"/>
            <w:vAlign w:val="center"/>
          </w:tcPr>
          <w:p w14:paraId="73E387E1" w14:textId="77777777" w:rsidR="00EE55DB" w:rsidRDefault="00000000">
            <w:pPr>
              <w:spacing w:line="240" w:lineRule="auto"/>
              <w:ind w:firstLineChars="0" w:firstLine="0"/>
              <w:jc w:val="center"/>
              <w:rPr>
                <w:rFonts w:eastAsia="宋体"/>
                <w:sz w:val="21"/>
              </w:rPr>
            </w:pPr>
            <w:r>
              <w:rPr>
                <w:rFonts w:eastAsia="宋体"/>
                <w:sz w:val="21"/>
              </w:rPr>
              <w:t>10:54:36</w:t>
            </w:r>
          </w:p>
        </w:tc>
        <w:tc>
          <w:tcPr>
            <w:tcW w:w="920" w:type="dxa"/>
            <w:vAlign w:val="center"/>
          </w:tcPr>
          <w:p w14:paraId="7AE0B9A5" w14:textId="77777777" w:rsidR="00EE55DB" w:rsidRDefault="00000000">
            <w:pPr>
              <w:spacing w:line="240" w:lineRule="auto"/>
              <w:ind w:firstLineChars="0" w:firstLine="0"/>
              <w:jc w:val="center"/>
              <w:rPr>
                <w:rFonts w:eastAsia="宋体"/>
                <w:sz w:val="21"/>
              </w:rPr>
            </w:pPr>
            <w:r>
              <w:rPr>
                <w:rFonts w:eastAsia="宋体"/>
                <w:sz w:val="21"/>
              </w:rPr>
              <w:t>8:52:40</w:t>
            </w:r>
          </w:p>
        </w:tc>
        <w:tc>
          <w:tcPr>
            <w:tcW w:w="1203" w:type="dxa"/>
            <w:vAlign w:val="center"/>
          </w:tcPr>
          <w:p w14:paraId="1A3EF956" w14:textId="77777777" w:rsidR="00EE55DB" w:rsidRDefault="00000000">
            <w:pPr>
              <w:spacing w:line="240" w:lineRule="auto"/>
              <w:ind w:firstLineChars="0" w:firstLine="0"/>
              <w:jc w:val="center"/>
              <w:rPr>
                <w:rFonts w:eastAsia="宋体"/>
                <w:sz w:val="21"/>
              </w:rPr>
            </w:pPr>
            <w:r>
              <w:rPr>
                <w:rFonts w:eastAsia="宋体"/>
                <w:sz w:val="21"/>
              </w:rPr>
              <w:t>—</w:t>
            </w:r>
          </w:p>
        </w:tc>
        <w:tc>
          <w:tcPr>
            <w:tcW w:w="1080" w:type="dxa"/>
            <w:vAlign w:val="center"/>
          </w:tcPr>
          <w:p w14:paraId="7CF01E99" w14:textId="77777777" w:rsidR="00EE55DB" w:rsidRDefault="00000000">
            <w:pPr>
              <w:spacing w:line="240" w:lineRule="auto"/>
              <w:ind w:firstLineChars="0" w:firstLine="0"/>
              <w:jc w:val="center"/>
              <w:rPr>
                <w:rFonts w:eastAsia="宋体"/>
                <w:sz w:val="21"/>
              </w:rPr>
            </w:pPr>
            <w:r>
              <w:rPr>
                <w:rFonts w:eastAsia="宋体"/>
                <w:sz w:val="21"/>
              </w:rPr>
              <w:t>—</w:t>
            </w:r>
          </w:p>
        </w:tc>
        <w:tc>
          <w:tcPr>
            <w:tcW w:w="912" w:type="dxa"/>
            <w:vAlign w:val="center"/>
          </w:tcPr>
          <w:p w14:paraId="22D2C2ED"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3AC00A52" w14:textId="77777777">
        <w:trPr>
          <w:jc w:val="center"/>
        </w:trPr>
        <w:tc>
          <w:tcPr>
            <w:tcW w:w="839" w:type="dxa"/>
            <w:vMerge/>
            <w:vAlign w:val="center"/>
          </w:tcPr>
          <w:p w14:paraId="57D1E908" w14:textId="77777777" w:rsidR="00EE55DB" w:rsidRDefault="00EE55DB">
            <w:pPr>
              <w:spacing w:line="240" w:lineRule="auto"/>
              <w:ind w:firstLineChars="0" w:firstLine="0"/>
              <w:jc w:val="center"/>
              <w:rPr>
                <w:rFonts w:eastAsia="宋体"/>
                <w:sz w:val="21"/>
              </w:rPr>
            </w:pPr>
          </w:p>
        </w:tc>
        <w:tc>
          <w:tcPr>
            <w:tcW w:w="4100" w:type="dxa"/>
            <w:vAlign w:val="center"/>
          </w:tcPr>
          <w:p w14:paraId="2AE5BCB0" w14:textId="77777777" w:rsidR="00EE55DB" w:rsidRDefault="00000000">
            <w:pPr>
              <w:spacing w:line="240" w:lineRule="auto"/>
              <w:ind w:firstLineChars="0" w:firstLine="0"/>
              <w:jc w:val="center"/>
              <w:rPr>
                <w:rFonts w:eastAsia="宋体"/>
                <w:sz w:val="21"/>
              </w:rPr>
            </w:pPr>
            <w:r>
              <w:rPr>
                <w:rFonts w:eastAsia="宋体" w:hint="eastAsia"/>
                <w:sz w:val="21"/>
              </w:rPr>
              <w:t>城乡居民人均可支配收入比</w:t>
            </w:r>
          </w:p>
        </w:tc>
        <w:tc>
          <w:tcPr>
            <w:tcW w:w="970" w:type="dxa"/>
            <w:vAlign w:val="center"/>
          </w:tcPr>
          <w:p w14:paraId="4A846B2D" w14:textId="77777777" w:rsidR="00EE55DB" w:rsidRDefault="00000000">
            <w:pPr>
              <w:spacing w:line="240" w:lineRule="auto"/>
              <w:ind w:firstLineChars="0" w:firstLine="0"/>
              <w:jc w:val="center"/>
              <w:rPr>
                <w:rFonts w:eastAsia="宋体"/>
                <w:sz w:val="21"/>
              </w:rPr>
            </w:pPr>
            <w:r>
              <w:rPr>
                <w:rFonts w:eastAsia="宋体"/>
                <w:sz w:val="21"/>
              </w:rPr>
              <w:t>1.99</w:t>
            </w:r>
          </w:p>
        </w:tc>
        <w:tc>
          <w:tcPr>
            <w:tcW w:w="920" w:type="dxa"/>
            <w:vAlign w:val="center"/>
          </w:tcPr>
          <w:p w14:paraId="551082E0" w14:textId="77777777" w:rsidR="00EE55DB" w:rsidRDefault="00000000">
            <w:pPr>
              <w:spacing w:line="240" w:lineRule="auto"/>
              <w:ind w:firstLineChars="0" w:firstLine="0"/>
              <w:jc w:val="center"/>
              <w:rPr>
                <w:rFonts w:eastAsia="宋体"/>
                <w:sz w:val="21"/>
              </w:rPr>
            </w:pPr>
            <w:r>
              <w:rPr>
                <w:rFonts w:eastAsia="宋体"/>
                <w:sz w:val="21"/>
              </w:rPr>
              <w:t>1.94</w:t>
            </w:r>
          </w:p>
        </w:tc>
        <w:tc>
          <w:tcPr>
            <w:tcW w:w="1203" w:type="dxa"/>
            <w:vAlign w:val="center"/>
          </w:tcPr>
          <w:p w14:paraId="7579A9EE" w14:textId="77777777" w:rsidR="00EE55DB" w:rsidRDefault="00000000">
            <w:pPr>
              <w:spacing w:line="240" w:lineRule="auto"/>
              <w:ind w:firstLineChars="0" w:firstLine="0"/>
              <w:jc w:val="center"/>
              <w:rPr>
                <w:rFonts w:eastAsia="宋体"/>
                <w:sz w:val="21"/>
              </w:rPr>
            </w:pPr>
            <w:r>
              <w:rPr>
                <w:rFonts w:eastAsia="宋体"/>
                <w:sz w:val="21"/>
              </w:rPr>
              <w:t>[-0.05]</w:t>
            </w:r>
          </w:p>
        </w:tc>
        <w:tc>
          <w:tcPr>
            <w:tcW w:w="1080" w:type="dxa"/>
            <w:vAlign w:val="center"/>
          </w:tcPr>
          <w:p w14:paraId="57791881" w14:textId="77777777" w:rsidR="00EE55DB" w:rsidRDefault="00000000">
            <w:pPr>
              <w:spacing w:line="240" w:lineRule="auto"/>
              <w:ind w:firstLineChars="0" w:firstLine="0"/>
              <w:jc w:val="center"/>
              <w:rPr>
                <w:rFonts w:eastAsia="宋体"/>
                <w:sz w:val="21"/>
              </w:rPr>
            </w:pPr>
            <w:r>
              <w:rPr>
                <w:rFonts w:eastAsia="宋体"/>
                <w:sz w:val="21"/>
              </w:rPr>
              <w:t>[-0.03]</w:t>
            </w:r>
          </w:p>
        </w:tc>
        <w:tc>
          <w:tcPr>
            <w:tcW w:w="912" w:type="dxa"/>
            <w:vAlign w:val="center"/>
          </w:tcPr>
          <w:p w14:paraId="5BADEF3E"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47050EFB" w14:textId="77777777">
        <w:trPr>
          <w:jc w:val="center"/>
        </w:trPr>
        <w:tc>
          <w:tcPr>
            <w:tcW w:w="839" w:type="dxa"/>
            <w:vMerge/>
            <w:vAlign w:val="center"/>
          </w:tcPr>
          <w:p w14:paraId="7458BBBC" w14:textId="77777777" w:rsidR="00EE55DB" w:rsidRDefault="00EE55DB">
            <w:pPr>
              <w:spacing w:line="240" w:lineRule="auto"/>
              <w:ind w:firstLineChars="0" w:firstLine="0"/>
              <w:jc w:val="center"/>
              <w:rPr>
                <w:rFonts w:eastAsia="宋体"/>
                <w:sz w:val="21"/>
              </w:rPr>
            </w:pPr>
          </w:p>
        </w:tc>
        <w:tc>
          <w:tcPr>
            <w:tcW w:w="4100" w:type="dxa"/>
            <w:vAlign w:val="center"/>
          </w:tcPr>
          <w:p w14:paraId="0B27143C" w14:textId="77777777" w:rsidR="00EE55DB" w:rsidRDefault="00000000">
            <w:pPr>
              <w:spacing w:line="240" w:lineRule="auto"/>
              <w:ind w:firstLineChars="0" w:firstLine="0"/>
              <w:jc w:val="center"/>
              <w:rPr>
                <w:rFonts w:eastAsia="宋体"/>
                <w:sz w:val="21"/>
              </w:rPr>
            </w:pPr>
            <w:r>
              <w:rPr>
                <w:rFonts w:eastAsia="宋体" w:hint="eastAsia"/>
                <w:sz w:val="21"/>
              </w:rPr>
              <w:t>常住人口城镇化率（</w:t>
            </w:r>
            <w:r>
              <w:rPr>
                <w:rFonts w:eastAsia="宋体"/>
                <w:sz w:val="21"/>
              </w:rPr>
              <w:t>%</w:t>
            </w:r>
            <w:r>
              <w:rPr>
                <w:rFonts w:eastAsia="宋体" w:hint="eastAsia"/>
                <w:sz w:val="21"/>
              </w:rPr>
              <w:t>）</w:t>
            </w:r>
          </w:p>
        </w:tc>
        <w:tc>
          <w:tcPr>
            <w:tcW w:w="970" w:type="dxa"/>
            <w:vAlign w:val="center"/>
          </w:tcPr>
          <w:p w14:paraId="753FFBDD" w14:textId="77777777" w:rsidR="00EE55DB" w:rsidRDefault="00000000">
            <w:pPr>
              <w:spacing w:line="240" w:lineRule="auto"/>
              <w:ind w:firstLineChars="0" w:firstLine="0"/>
              <w:jc w:val="center"/>
              <w:rPr>
                <w:rFonts w:eastAsia="宋体"/>
                <w:sz w:val="21"/>
              </w:rPr>
            </w:pPr>
            <w:r>
              <w:rPr>
                <w:rFonts w:eastAsia="宋体"/>
                <w:sz w:val="21"/>
              </w:rPr>
              <w:t>58</w:t>
            </w:r>
          </w:p>
        </w:tc>
        <w:tc>
          <w:tcPr>
            <w:tcW w:w="920" w:type="dxa"/>
            <w:vAlign w:val="center"/>
          </w:tcPr>
          <w:p w14:paraId="32AE44B9" w14:textId="77777777" w:rsidR="00EE55DB" w:rsidRDefault="00000000">
            <w:pPr>
              <w:spacing w:line="240" w:lineRule="auto"/>
              <w:ind w:firstLineChars="0" w:firstLine="0"/>
              <w:jc w:val="center"/>
              <w:rPr>
                <w:rFonts w:eastAsia="宋体"/>
                <w:sz w:val="21"/>
              </w:rPr>
            </w:pPr>
            <w:r>
              <w:rPr>
                <w:rFonts w:eastAsia="宋体"/>
                <w:sz w:val="21"/>
              </w:rPr>
              <w:t>&gt;60</w:t>
            </w:r>
          </w:p>
        </w:tc>
        <w:tc>
          <w:tcPr>
            <w:tcW w:w="1203" w:type="dxa"/>
            <w:vAlign w:val="center"/>
          </w:tcPr>
          <w:p w14:paraId="628F355C" w14:textId="77777777" w:rsidR="00EE55DB" w:rsidRDefault="00000000">
            <w:pPr>
              <w:spacing w:line="240" w:lineRule="auto"/>
              <w:ind w:firstLineChars="0" w:firstLine="0"/>
              <w:jc w:val="center"/>
              <w:rPr>
                <w:rFonts w:eastAsia="宋体"/>
                <w:sz w:val="21"/>
              </w:rPr>
            </w:pPr>
            <w:r>
              <w:rPr>
                <w:rFonts w:eastAsia="宋体"/>
                <w:sz w:val="21"/>
              </w:rPr>
              <w:t>[&gt;2]</w:t>
            </w:r>
          </w:p>
        </w:tc>
        <w:tc>
          <w:tcPr>
            <w:tcW w:w="1080" w:type="dxa"/>
            <w:vAlign w:val="center"/>
          </w:tcPr>
          <w:p w14:paraId="2AFF078E" w14:textId="77777777" w:rsidR="00EE55DB" w:rsidRDefault="00000000">
            <w:pPr>
              <w:spacing w:line="240" w:lineRule="auto"/>
              <w:ind w:firstLineChars="0" w:firstLine="0"/>
              <w:jc w:val="center"/>
              <w:rPr>
                <w:rFonts w:eastAsia="宋体"/>
                <w:sz w:val="21"/>
              </w:rPr>
            </w:pPr>
            <w:r>
              <w:rPr>
                <w:rFonts w:eastAsia="宋体"/>
                <w:sz w:val="21"/>
              </w:rPr>
              <w:t>[6]</w:t>
            </w:r>
          </w:p>
        </w:tc>
        <w:tc>
          <w:tcPr>
            <w:tcW w:w="912" w:type="dxa"/>
            <w:vAlign w:val="center"/>
          </w:tcPr>
          <w:p w14:paraId="14D1931A"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2DE7A36B" w14:textId="77777777">
        <w:trPr>
          <w:jc w:val="center"/>
        </w:trPr>
        <w:tc>
          <w:tcPr>
            <w:tcW w:w="839" w:type="dxa"/>
            <w:vMerge w:val="restart"/>
            <w:vAlign w:val="center"/>
          </w:tcPr>
          <w:p w14:paraId="281C986A" w14:textId="77777777" w:rsidR="00EE55DB" w:rsidRDefault="00000000">
            <w:pPr>
              <w:spacing w:line="240" w:lineRule="auto"/>
              <w:ind w:firstLineChars="0" w:firstLine="0"/>
              <w:jc w:val="center"/>
              <w:rPr>
                <w:rFonts w:eastAsia="宋体"/>
                <w:sz w:val="21"/>
              </w:rPr>
            </w:pPr>
            <w:r>
              <w:rPr>
                <w:rFonts w:eastAsia="宋体" w:hint="eastAsia"/>
                <w:sz w:val="21"/>
              </w:rPr>
              <w:t>改革</w:t>
            </w:r>
          </w:p>
          <w:p w14:paraId="6C0FDD31" w14:textId="77777777" w:rsidR="00EE55DB" w:rsidRDefault="00000000">
            <w:pPr>
              <w:spacing w:line="240" w:lineRule="auto"/>
              <w:ind w:firstLineChars="0" w:firstLine="0"/>
              <w:jc w:val="center"/>
              <w:rPr>
                <w:rFonts w:eastAsia="宋体"/>
                <w:sz w:val="21"/>
              </w:rPr>
            </w:pPr>
            <w:r>
              <w:rPr>
                <w:rFonts w:eastAsia="宋体" w:hint="eastAsia"/>
                <w:sz w:val="21"/>
              </w:rPr>
              <w:t>开放</w:t>
            </w:r>
          </w:p>
        </w:tc>
        <w:tc>
          <w:tcPr>
            <w:tcW w:w="4100" w:type="dxa"/>
            <w:vAlign w:val="center"/>
          </w:tcPr>
          <w:p w14:paraId="37A593F7" w14:textId="77777777" w:rsidR="00EE55DB" w:rsidRDefault="00000000">
            <w:pPr>
              <w:spacing w:line="240" w:lineRule="auto"/>
              <w:ind w:firstLineChars="0" w:firstLine="0"/>
              <w:jc w:val="center"/>
              <w:rPr>
                <w:rFonts w:eastAsia="宋体"/>
                <w:sz w:val="21"/>
              </w:rPr>
            </w:pPr>
            <w:r>
              <w:rPr>
                <w:rFonts w:eastAsia="宋体" w:hint="eastAsia"/>
                <w:sz w:val="21"/>
              </w:rPr>
              <w:t>进出口总额（万美元）</w:t>
            </w:r>
          </w:p>
        </w:tc>
        <w:tc>
          <w:tcPr>
            <w:tcW w:w="970" w:type="dxa"/>
            <w:vAlign w:val="center"/>
          </w:tcPr>
          <w:p w14:paraId="662A4B9C" w14:textId="77777777" w:rsidR="00EE55DB" w:rsidRDefault="00000000">
            <w:pPr>
              <w:spacing w:line="240" w:lineRule="auto"/>
              <w:ind w:firstLineChars="0" w:firstLine="0"/>
              <w:jc w:val="center"/>
              <w:rPr>
                <w:rFonts w:eastAsia="宋体"/>
                <w:sz w:val="21"/>
              </w:rPr>
            </w:pPr>
            <w:r>
              <w:rPr>
                <w:rFonts w:eastAsia="宋体"/>
                <w:sz w:val="21"/>
              </w:rPr>
              <w:t>41000</w:t>
            </w:r>
          </w:p>
        </w:tc>
        <w:tc>
          <w:tcPr>
            <w:tcW w:w="920" w:type="dxa"/>
            <w:vAlign w:val="center"/>
          </w:tcPr>
          <w:p w14:paraId="7FA39A8D" w14:textId="77777777" w:rsidR="00EE55DB" w:rsidRDefault="00000000">
            <w:pPr>
              <w:spacing w:line="240" w:lineRule="auto"/>
              <w:ind w:firstLineChars="0" w:firstLine="0"/>
              <w:jc w:val="center"/>
              <w:rPr>
                <w:rFonts w:eastAsia="宋体"/>
                <w:sz w:val="21"/>
              </w:rPr>
            </w:pPr>
            <w:r>
              <w:rPr>
                <w:rFonts w:eastAsia="宋体"/>
                <w:sz w:val="21"/>
              </w:rPr>
              <w:t>66030</w:t>
            </w:r>
          </w:p>
        </w:tc>
        <w:tc>
          <w:tcPr>
            <w:tcW w:w="1203" w:type="dxa"/>
            <w:vAlign w:val="center"/>
          </w:tcPr>
          <w:p w14:paraId="426D0F3B" w14:textId="77777777" w:rsidR="00EE55DB" w:rsidRDefault="00000000">
            <w:pPr>
              <w:spacing w:line="240" w:lineRule="auto"/>
              <w:ind w:firstLineChars="0" w:firstLine="0"/>
              <w:jc w:val="center"/>
              <w:rPr>
                <w:rFonts w:eastAsia="宋体"/>
                <w:sz w:val="21"/>
              </w:rPr>
            </w:pPr>
            <w:r>
              <w:rPr>
                <w:rFonts w:eastAsia="宋体"/>
                <w:sz w:val="21"/>
              </w:rPr>
              <w:t>10</w:t>
            </w:r>
          </w:p>
        </w:tc>
        <w:tc>
          <w:tcPr>
            <w:tcW w:w="1080" w:type="dxa"/>
            <w:vAlign w:val="center"/>
          </w:tcPr>
          <w:p w14:paraId="6CEE1596" w14:textId="77777777" w:rsidR="00EE55DB" w:rsidRDefault="00000000">
            <w:pPr>
              <w:spacing w:line="240" w:lineRule="auto"/>
              <w:ind w:firstLineChars="0" w:firstLine="0"/>
              <w:jc w:val="center"/>
              <w:rPr>
                <w:rFonts w:eastAsia="宋体"/>
                <w:sz w:val="21"/>
              </w:rPr>
            </w:pPr>
            <w:r>
              <w:rPr>
                <w:rFonts w:eastAsia="宋体"/>
                <w:sz w:val="21"/>
              </w:rPr>
              <w:t>6</w:t>
            </w:r>
            <w:r>
              <w:rPr>
                <w:rFonts w:eastAsia="宋体" w:hint="eastAsia"/>
                <w:sz w:val="21"/>
              </w:rPr>
              <w:t>左右</w:t>
            </w:r>
          </w:p>
        </w:tc>
        <w:tc>
          <w:tcPr>
            <w:tcW w:w="912" w:type="dxa"/>
            <w:vAlign w:val="center"/>
          </w:tcPr>
          <w:p w14:paraId="04BEFC74"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57B843F0" w14:textId="77777777">
        <w:trPr>
          <w:jc w:val="center"/>
        </w:trPr>
        <w:tc>
          <w:tcPr>
            <w:tcW w:w="839" w:type="dxa"/>
            <w:vMerge/>
            <w:vAlign w:val="center"/>
          </w:tcPr>
          <w:p w14:paraId="2A74F8F8" w14:textId="77777777" w:rsidR="00EE55DB" w:rsidRDefault="00EE55DB">
            <w:pPr>
              <w:spacing w:line="240" w:lineRule="auto"/>
              <w:ind w:firstLineChars="0" w:firstLine="0"/>
              <w:jc w:val="center"/>
              <w:rPr>
                <w:rFonts w:eastAsia="宋体"/>
                <w:sz w:val="21"/>
              </w:rPr>
            </w:pPr>
          </w:p>
        </w:tc>
        <w:tc>
          <w:tcPr>
            <w:tcW w:w="4100" w:type="dxa"/>
            <w:vAlign w:val="center"/>
          </w:tcPr>
          <w:p w14:paraId="6480054D" w14:textId="77777777" w:rsidR="00EE55DB" w:rsidRDefault="00000000">
            <w:pPr>
              <w:spacing w:line="240" w:lineRule="auto"/>
              <w:ind w:firstLineChars="0" w:firstLine="0"/>
              <w:jc w:val="center"/>
              <w:rPr>
                <w:rFonts w:eastAsia="宋体"/>
                <w:sz w:val="21"/>
              </w:rPr>
            </w:pPr>
            <w:r>
              <w:rPr>
                <w:rFonts w:eastAsia="宋体" w:hint="eastAsia"/>
                <w:sz w:val="21"/>
              </w:rPr>
              <w:t>实际利用外资（万美元）</w:t>
            </w:r>
          </w:p>
        </w:tc>
        <w:tc>
          <w:tcPr>
            <w:tcW w:w="970" w:type="dxa"/>
            <w:vAlign w:val="center"/>
          </w:tcPr>
          <w:p w14:paraId="1E58588E" w14:textId="77777777" w:rsidR="00EE55DB" w:rsidRDefault="00000000">
            <w:pPr>
              <w:spacing w:line="240" w:lineRule="auto"/>
              <w:ind w:firstLineChars="0" w:firstLine="0"/>
              <w:jc w:val="center"/>
              <w:rPr>
                <w:rFonts w:eastAsia="宋体"/>
                <w:sz w:val="21"/>
              </w:rPr>
            </w:pPr>
            <w:r>
              <w:rPr>
                <w:rFonts w:eastAsia="宋体"/>
                <w:sz w:val="21"/>
              </w:rPr>
              <w:t>18097</w:t>
            </w:r>
          </w:p>
        </w:tc>
        <w:tc>
          <w:tcPr>
            <w:tcW w:w="920" w:type="dxa"/>
            <w:vAlign w:val="center"/>
          </w:tcPr>
          <w:p w14:paraId="3E4A038C" w14:textId="77777777" w:rsidR="00EE55DB" w:rsidRDefault="00000000">
            <w:pPr>
              <w:spacing w:line="240" w:lineRule="auto"/>
              <w:ind w:firstLineChars="0" w:firstLine="0"/>
              <w:jc w:val="center"/>
              <w:rPr>
                <w:rFonts w:eastAsia="宋体"/>
                <w:color w:val="FF0000"/>
                <w:sz w:val="21"/>
              </w:rPr>
            </w:pPr>
            <w:r>
              <w:rPr>
                <w:rFonts w:eastAsia="宋体"/>
                <w:color w:val="FF0000"/>
                <w:sz w:val="21"/>
              </w:rPr>
              <w:t>24217</w:t>
            </w:r>
          </w:p>
        </w:tc>
        <w:tc>
          <w:tcPr>
            <w:tcW w:w="1203" w:type="dxa"/>
            <w:vAlign w:val="center"/>
          </w:tcPr>
          <w:p w14:paraId="3876E209" w14:textId="77777777" w:rsidR="00EE55DB" w:rsidRDefault="00000000">
            <w:pPr>
              <w:spacing w:line="240" w:lineRule="auto"/>
              <w:ind w:firstLineChars="0" w:firstLine="0"/>
              <w:jc w:val="center"/>
              <w:rPr>
                <w:rFonts w:eastAsia="宋体"/>
                <w:sz w:val="21"/>
              </w:rPr>
            </w:pPr>
            <w:r>
              <w:rPr>
                <w:rFonts w:eastAsia="宋体"/>
                <w:sz w:val="21"/>
              </w:rPr>
              <w:t>6</w:t>
            </w:r>
          </w:p>
        </w:tc>
        <w:tc>
          <w:tcPr>
            <w:tcW w:w="1080" w:type="dxa"/>
            <w:vAlign w:val="center"/>
          </w:tcPr>
          <w:p w14:paraId="43CA3462" w14:textId="77777777" w:rsidR="00EE55DB" w:rsidRDefault="00000000">
            <w:pPr>
              <w:spacing w:line="240" w:lineRule="auto"/>
              <w:ind w:firstLineChars="0" w:firstLine="0"/>
              <w:jc w:val="center"/>
              <w:rPr>
                <w:rFonts w:eastAsia="宋体"/>
                <w:sz w:val="21"/>
              </w:rPr>
            </w:pPr>
            <w:r>
              <w:rPr>
                <w:rFonts w:eastAsia="宋体"/>
                <w:sz w:val="21"/>
              </w:rPr>
              <w:t>6</w:t>
            </w:r>
            <w:r>
              <w:rPr>
                <w:rFonts w:eastAsia="宋体" w:hint="eastAsia"/>
                <w:sz w:val="21"/>
              </w:rPr>
              <w:t>左右</w:t>
            </w:r>
          </w:p>
        </w:tc>
        <w:tc>
          <w:tcPr>
            <w:tcW w:w="912" w:type="dxa"/>
            <w:vAlign w:val="center"/>
          </w:tcPr>
          <w:p w14:paraId="3F486786"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763DC34B" w14:textId="77777777">
        <w:trPr>
          <w:jc w:val="center"/>
        </w:trPr>
        <w:tc>
          <w:tcPr>
            <w:tcW w:w="839" w:type="dxa"/>
            <w:vMerge w:val="restart"/>
            <w:vAlign w:val="center"/>
          </w:tcPr>
          <w:p w14:paraId="53133A3C" w14:textId="77777777" w:rsidR="00EE55DB" w:rsidRDefault="00000000">
            <w:pPr>
              <w:spacing w:line="240" w:lineRule="auto"/>
              <w:ind w:firstLineChars="0" w:firstLine="0"/>
              <w:jc w:val="center"/>
              <w:rPr>
                <w:rFonts w:eastAsia="宋体"/>
                <w:sz w:val="21"/>
              </w:rPr>
            </w:pPr>
            <w:r>
              <w:rPr>
                <w:rFonts w:eastAsia="宋体" w:hint="eastAsia"/>
                <w:sz w:val="21"/>
              </w:rPr>
              <w:t>生态</w:t>
            </w:r>
          </w:p>
          <w:p w14:paraId="23ADE6CA" w14:textId="77777777" w:rsidR="00EE55DB" w:rsidRDefault="00000000">
            <w:pPr>
              <w:spacing w:line="240" w:lineRule="auto"/>
              <w:ind w:firstLineChars="0" w:firstLine="0"/>
              <w:jc w:val="center"/>
              <w:rPr>
                <w:rFonts w:eastAsia="宋体"/>
                <w:sz w:val="21"/>
              </w:rPr>
            </w:pPr>
            <w:r>
              <w:rPr>
                <w:rFonts w:eastAsia="宋体" w:hint="eastAsia"/>
                <w:sz w:val="21"/>
              </w:rPr>
              <w:t>文明</w:t>
            </w:r>
          </w:p>
        </w:tc>
        <w:tc>
          <w:tcPr>
            <w:tcW w:w="4100" w:type="dxa"/>
            <w:vAlign w:val="center"/>
          </w:tcPr>
          <w:p w14:paraId="617BA8CD" w14:textId="77777777" w:rsidR="00EE55DB" w:rsidRDefault="00000000">
            <w:pPr>
              <w:spacing w:line="240" w:lineRule="auto"/>
              <w:ind w:firstLineChars="0" w:firstLine="0"/>
              <w:jc w:val="center"/>
              <w:rPr>
                <w:rFonts w:eastAsia="宋体"/>
                <w:sz w:val="21"/>
              </w:rPr>
            </w:pPr>
            <w:r>
              <w:rPr>
                <w:rFonts w:eastAsia="宋体" w:hint="eastAsia"/>
                <w:sz w:val="21"/>
              </w:rPr>
              <w:t>单位</w:t>
            </w:r>
            <w:r>
              <w:rPr>
                <w:rFonts w:eastAsia="宋体"/>
                <w:sz w:val="21"/>
              </w:rPr>
              <w:t>GDP</w:t>
            </w:r>
            <w:r>
              <w:rPr>
                <w:rFonts w:eastAsia="宋体" w:hint="eastAsia"/>
                <w:sz w:val="21"/>
              </w:rPr>
              <w:t>能源消耗降幅（</w:t>
            </w:r>
            <w:r>
              <w:rPr>
                <w:rFonts w:eastAsia="宋体"/>
                <w:sz w:val="21"/>
              </w:rPr>
              <w:t>%</w:t>
            </w:r>
            <w:r>
              <w:rPr>
                <w:rFonts w:eastAsia="宋体" w:hint="eastAsia"/>
                <w:sz w:val="21"/>
              </w:rPr>
              <w:t>）</w:t>
            </w:r>
          </w:p>
        </w:tc>
        <w:tc>
          <w:tcPr>
            <w:tcW w:w="970" w:type="dxa"/>
            <w:vAlign w:val="center"/>
          </w:tcPr>
          <w:p w14:paraId="60079D02" w14:textId="77777777" w:rsidR="00EE55DB" w:rsidRDefault="00000000">
            <w:pPr>
              <w:spacing w:line="240" w:lineRule="auto"/>
              <w:ind w:firstLineChars="0" w:firstLine="0"/>
              <w:jc w:val="center"/>
              <w:rPr>
                <w:rFonts w:eastAsia="宋体"/>
                <w:sz w:val="21"/>
              </w:rPr>
            </w:pPr>
            <w:r>
              <w:rPr>
                <w:rFonts w:eastAsia="宋体"/>
                <w:sz w:val="21"/>
              </w:rPr>
              <w:t>—</w:t>
            </w:r>
          </w:p>
        </w:tc>
        <w:tc>
          <w:tcPr>
            <w:tcW w:w="2123" w:type="dxa"/>
            <w:gridSpan w:val="2"/>
            <w:vAlign w:val="center"/>
          </w:tcPr>
          <w:p w14:paraId="1F1F3C15" w14:textId="77777777" w:rsidR="00EE55DB" w:rsidRDefault="00000000">
            <w:pPr>
              <w:spacing w:line="240" w:lineRule="auto"/>
              <w:ind w:firstLineChars="0" w:firstLine="0"/>
              <w:jc w:val="center"/>
              <w:rPr>
                <w:rFonts w:eastAsia="宋体"/>
                <w:sz w:val="21"/>
              </w:rPr>
            </w:pPr>
            <w:r>
              <w:rPr>
                <w:rFonts w:eastAsia="宋体" w:hint="eastAsia"/>
                <w:sz w:val="21"/>
              </w:rPr>
              <w:t>省市下达的任务</w:t>
            </w:r>
          </w:p>
        </w:tc>
        <w:tc>
          <w:tcPr>
            <w:tcW w:w="1080" w:type="dxa"/>
            <w:vAlign w:val="center"/>
          </w:tcPr>
          <w:p w14:paraId="0C50A9C1" w14:textId="77777777" w:rsidR="00EE55DB" w:rsidRDefault="00000000">
            <w:pPr>
              <w:spacing w:line="240" w:lineRule="auto"/>
              <w:ind w:firstLineChars="0" w:firstLine="0"/>
              <w:jc w:val="center"/>
              <w:rPr>
                <w:rFonts w:eastAsia="宋体"/>
                <w:sz w:val="21"/>
              </w:rPr>
            </w:pPr>
            <w:r>
              <w:rPr>
                <w:rFonts w:eastAsia="宋体" w:hint="eastAsia"/>
                <w:sz w:val="21"/>
              </w:rPr>
              <w:t>省下达的任务</w:t>
            </w:r>
          </w:p>
        </w:tc>
        <w:tc>
          <w:tcPr>
            <w:tcW w:w="912" w:type="dxa"/>
            <w:vAlign w:val="center"/>
          </w:tcPr>
          <w:p w14:paraId="0D8D0677" w14:textId="77777777" w:rsidR="00EE55DB" w:rsidRDefault="00000000">
            <w:pPr>
              <w:spacing w:line="240" w:lineRule="auto"/>
              <w:ind w:firstLineChars="0" w:firstLine="0"/>
              <w:jc w:val="center"/>
              <w:rPr>
                <w:rFonts w:eastAsia="宋体"/>
                <w:sz w:val="21"/>
              </w:rPr>
            </w:pPr>
            <w:r>
              <w:rPr>
                <w:rFonts w:eastAsia="宋体" w:hint="eastAsia"/>
                <w:sz w:val="21"/>
              </w:rPr>
              <w:t>约束性</w:t>
            </w:r>
          </w:p>
        </w:tc>
      </w:tr>
      <w:tr w:rsidR="00EE55DB" w14:paraId="4990A68E" w14:textId="77777777">
        <w:trPr>
          <w:jc w:val="center"/>
        </w:trPr>
        <w:tc>
          <w:tcPr>
            <w:tcW w:w="839" w:type="dxa"/>
            <w:vMerge/>
            <w:vAlign w:val="center"/>
          </w:tcPr>
          <w:p w14:paraId="3A79F9B3" w14:textId="77777777" w:rsidR="00EE55DB" w:rsidRDefault="00EE55DB">
            <w:pPr>
              <w:spacing w:line="240" w:lineRule="auto"/>
              <w:ind w:firstLineChars="0" w:firstLine="0"/>
              <w:jc w:val="center"/>
              <w:rPr>
                <w:rFonts w:eastAsia="宋体"/>
                <w:sz w:val="21"/>
              </w:rPr>
            </w:pPr>
          </w:p>
        </w:tc>
        <w:tc>
          <w:tcPr>
            <w:tcW w:w="4100" w:type="dxa"/>
            <w:vAlign w:val="center"/>
          </w:tcPr>
          <w:p w14:paraId="746D1FC4" w14:textId="77777777" w:rsidR="00EE55DB" w:rsidRDefault="00000000">
            <w:pPr>
              <w:spacing w:line="240" w:lineRule="auto"/>
              <w:ind w:firstLineChars="0" w:firstLine="0"/>
              <w:jc w:val="center"/>
              <w:rPr>
                <w:rFonts w:eastAsia="宋体"/>
                <w:sz w:val="21"/>
              </w:rPr>
            </w:pPr>
            <w:r>
              <w:rPr>
                <w:rFonts w:eastAsia="宋体" w:hint="eastAsia"/>
                <w:sz w:val="21"/>
              </w:rPr>
              <w:t>单位</w:t>
            </w:r>
            <w:r>
              <w:rPr>
                <w:rFonts w:eastAsia="宋体"/>
                <w:sz w:val="21"/>
              </w:rPr>
              <w:t>GDP</w:t>
            </w:r>
            <w:r>
              <w:rPr>
                <w:rFonts w:eastAsia="宋体" w:hint="eastAsia"/>
                <w:sz w:val="21"/>
              </w:rPr>
              <w:t>二氧化碳排放降幅（</w:t>
            </w:r>
            <w:r>
              <w:rPr>
                <w:rFonts w:eastAsia="宋体"/>
                <w:sz w:val="21"/>
              </w:rPr>
              <w:t>%</w:t>
            </w:r>
            <w:r>
              <w:rPr>
                <w:rFonts w:eastAsia="宋体" w:hint="eastAsia"/>
                <w:sz w:val="21"/>
              </w:rPr>
              <w:t>）</w:t>
            </w:r>
          </w:p>
        </w:tc>
        <w:tc>
          <w:tcPr>
            <w:tcW w:w="970" w:type="dxa"/>
            <w:vAlign w:val="center"/>
          </w:tcPr>
          <w:p w14:paraId="196896F2" w14:textId="77777777" w:rsidR="00EE55DB" w:rsidRDefault="00000000">
            <w:pPr>
              <w:spacing w:line="240" w:lineRule="auto"/>
              <w:ind w:firstLineChars="0" w:firstLine="0"/>
              <w:jc w:val="center"/>
              <w:rPr>
                <w:rFonts w:eastAsia="宋体"/>
                <w:sz w:val="21"/>
              </w:rPr>
            </w:pPr>
            <w:r>
              <w:rPr>
                <w:rFonts w:eastAsia="宋体"/>
                <w:sz w:val="21"/>
              </w:rPr>
              <w:t>—</w:t>
            </w:r>
          </w:p>
        </w:tc>
        <w:tc>
          <w:tcPr>
            <w:tcW w:w="2123" w:type="dxa"/>
            <w:gridSpan w:val="2"/>
            <w:vAlign w:val="center"/>
          </w:tcPr>
          <w:p w14:paraId="5C737563" w14:textId="77777777" w:rsidR="00EE55DB" w:rsidRDefault="00000000">
            <w:pPr>
              <w:spacing w:line="240" w:lineRule="auto"/>
              <w:ind w:firstLineChars="0" w:firstLine="0"/>
              <w:jc w:val="center"/>
              <w:rPr>
                <w:rFonts w:eastAsia="宋体"/>
                <w:sz w:val="21"/>
              </w:rPr>
            </w:pPr>
            <w:r>
              <w:rPr>
                <w:rFonts w:eastAsia="宋体" w:hint="eastAsia"/>
                <w:sz w:val="21"/>
              </w:rPr>
              <w:t>省市下达的任务</w:t>
            </w:r>
          </w:p>
        </w:tc>
        <w:tc>
          <w:tcPr>
            <w:tcW w:w="1080" w:type="dxa"/>
            <w:vAlign w:val="center"/>
          </w:tcPr>
          <w:p w14:paraId="546B4F00" w14:textId="77777777" w:rsidR="00EE55DB" w:rsidRDefault="00000000">
            <w:pPr>
              <w:spacing w:line="240" w:lineRule="auto"/>
              <w:ind w:firstLineChars="0" w:firstLine="0"/>
              <w:jc w:val="center"/>
              <w:rPr>
                <w:rFonts w:eastAsia="宋体"/>
                <w:sz w:val="21"/>
              </w:rPr>
            </w:pPr>
            <w:r>
              <w:rPr>
                <w:rFonts w:eastAsia="宋体" w:hint="eastAsia"/>
                <w:sz w:val="21"/>
              </w:rPr>
              <w:t>省下达的任务</w:t>
            </w:r>
          </w:p>
        </w:tc>
        <w:tc>
          <w:tcPr>
            <w:tcW w:w="912" w:type="dxa"/>
            <w:vAlign w:val="center"/>
          </w:tcPr>
          <w:p w14:paraId="33C28C64" w14:textId="77777777" w:rsidR="00EE55DB" w:rsidRDefault="00000000">
            <w:pPr>
              <w:spacing w:line="240" w:lineRule="auto"/>
              <w:ind w:firstLineChars="0" w:firstLine="0"/>
              <w:jc w:val="center"/>
              <w:rPr>
                <w:rFonts w:eastAsia="宋体"/>
                <w:sz w:val="21"/>
              </w:rPr>
            </w:pPr>
            <w:r>
              <w:rPr>
                <w:rFonts w:eastAsia="宋体" w:hint="eastAsia"/>
                <w:sz w:val="21"/>
              </w:rPr>
              <w:t>约束性</w:t>
            </w:r>
          </w:p>
        </w:tc>
      </w:tr>
      <w:tr w:rsidR="00EE55DB" w14:paraId="1318AD0F" w14:textId="77777777">
        <w:trPr>
          <w:jc w:val="center"/>
        </w:trPr>
        <w:tc>
          <w:tcPr>
            <w:tcW w:w="839" w:type="dxa"/>
            <w:vMerge/>
            <w:vAlign w:val="center"/>
          </w:tcPr>
          <w:p w14:paraId="4D526157" w14:textId="77777777" w:rsidR="00EE55DB" w:rsidRDefault="00EE55DB">
            <w:pPr>
              <w:spacing w:line="240" w:lineRule="auto"/>
              <w:ind w:firstLineChars="0" w:firstLine="0"/>
              <w:jc w:val="center"/>
              <w:rPr>
                <w:rFonts w:eastAsia="宋体"/>
                <w:sz w:val="21"/>
              </w:rPr>
            </w:pPr>
          </w:p>
        </w:tc>
        <w:tc>
          <w:tcPr>
            <w:tcW w:w="4100" w:type="dxa"/>
            <w:vAlign w:val="center"/>
          </w:tcPr>
          <w:p w14:paraId="6C6D1295" w14:textId="77777777" w:rsidR="00EE55DB" w:rsidRDefault="00000000">
            <w:pPr>
              <w:spacing w:line="240" w:lineRule="auto"/>
              <w:ind w:firstLineChars="0" w:firstLine="0"/>
              <w:jc w:val="center"/>
              <w:rPr>
                <w:rFonts w:eastAsia="宋体"/>
                <w:sz w:val="21"/>
              </w:rPr>
            </w:pPr>
            <w:r>
              <w:rPr>
                <w:rFonts w:eastAsia="宋体" w:hint="eastAsia"/>
                <w:sz w:val="21"/>
              </w:rPr>
              <w:t>空气质量优良天数比例（</w:t>
            </w:r>
            <w:r>
              <w:rPr>
                <w:rFonts w:eastAsia="宋体"/>
                <w:sz w:val="21"/>
              </w:rPr>
              <w:t>%</w:t>
            </w:r>
            <w:r>
              <w:rPr>
                <w:rFonts w:eastAsia="宋体" w:hint="eastAsia"/>
                <w:sz w:val="21"/>
              </w:rPr>
              <w:t>）</w:t>
            </w:r>
          </w:p>
        </w:tc>
        <w:tc>
          <w:tcPr>
            <w:tcW w:w="970" w:type="dxa"/>
            <w:vAlign w:val="center"/>
          </w:tcPr>
          <w:p w14:paraId="2F6EBF03" w14:textId="77777777" w:rsidR="00EE55DB" w:rsidRDefault="00000000">
            <w:pPr>
              <w:spacing w:line="240" w:lineRule="auto"/>
              <w:ind w:firstLineChars="0" w:firstLine="0"/>
              <w:jc w:val="center"/>
              <w:rPr>
                <w:rFonts w:eastAsia="宋体"/>
                <w:sz w:val="21"/>
              </w:rPr>
            </w:pPr>
            <w:r>
              <w:rPr>
                <w:rFonts w:eastAsia="宋体"/>
                <w:sz w:val="21"/>
              </w:rPr>
              <w:t>86.9</w:t>
            </w:r>
          </w:p>
        </w:tc>
        <w:tc>
          <w:tcPr>
            <w:tcW w:w="2123" w:type="dxa"/>
            <w:gridSpan w:val="2"/>
            <w:vAlign w:val="center"/>
          </w:tcPr>
          <w:p w14:paraId="46A2AAAF" w14:textId="77777777" w:rsidR="00EE55DB" w:rsidRDefault="00000000">
            <w:pPr>
              <w:spacing w:line="240" w:lineRule="auto"/>
              <w:ind w:firstLineChars="0" w:firstLine="0"/>
              <w:jc w:val="center"/>
              <w:rPr>
                <w:rFonts w:eastAsia="宋体"/>
                <w:sz w:val="21"/>
              </w:rPr>
            </w:pPr>
            <w:r>
              <w:rPr>
                <w:rFonts w:eastAsia="宋体" w:hint="eastAsia"/>
                <w:sz w:val="21"/>
              </w:rPr>
              <w:t>省市下达的任务</w:t>
            </w:r>
          </w:p>
        </w:tc>
        <w:tc>
          <w:tcPr>
            <w:tcW w:w="1080" w:type="dxa"/>
            <w:vAlign w:val="center"/>
          </w:tcPr>
          <w:p w14:paraId="697AD82F" w14:textId="77777777" w:rsidR="00EE55DB" w:rsidRDefault="00000000">
            <w:pPr>
              <w:spacing w:line="240" w:lineRule="auto"/>
              <w:ind w:firstLineChars="0" w:firstLine="0"/>
              <w:jc w:val="center"/>
              <w:rPr>
                <w:rFonts w:eastAsia="宋体"/>
                <w:sz w:val="21"/>
              </w:rPr>
            </w:pPr>
            <w:r>
              <w:rPr>
                <w:rFonts w:eastAsia="宋体" w:hint="eastAsia"/>
                <w:sz w:val="21"/>
              </w:rPr>
              <w:t>省下达的任务</w:t>
            </w:r>
          </w:p>
        </w:tc>
        <w:tc>
          <w:tcPr>
            <w:tcW w:w="912" w:type="dxa"/>
            <w:vAlign w:val="center"/>
          </w:tcPr>
          <w:p w14:paraId="28C47065" w14:textId="77777777" w:rsidR="00EE55DB" w:rsidRDefault="00000000">
            <w:pPr>
              <w:spacing w:line="240" w:lineRule="auto"/>
              <w:ind w:firstLineChars="0" w:firstLine="0"/>
              <w:jc w:val="center"/>
              <w:rPr>
                <w:rFonts w:eastAsia="宋体"/>
                <w:sz w:val="21"/>
              </w:rPr>
            </w:pPr>
            <w:r>
              <w:rPr>
                <w:rFonts w:eastAsia="宋体" w:hint="eastAsia"/>
                <w:sz w:val="21"/>
              </w:rPr>
              <w:t>约束性</w:t>
            </w:r>
          </w:p>
        </w:tc>
      </w:tr>
      <w:tr w:rsidR="00EE55DB" w14:paraId="669805C7" w14:textId="77777777">
        <w:trPr>
          <w:jc w:val="center"/>
        </w:trPr>
        <w:tc>
          <w:tcPr>
            <w:tcW w:w="839" w:type="dxa"/>
            <w:vMerge/>
            <w:vAlign w:val="center"/>
          </w:tcPr>
          <w:p w14:paraId="34B3CE2C" w14:textId="77777777" w:rsidR="00EE55DB" w:rsidRDefault="00EE55DB">
            <w:pPr>
              <w:spacing w:line="240" w:lineRule="auto"/>
              <w:ind w:firstLineChars="0" w:firstLine="0"/>
              <w:jc w:val="center"/>
              <w:rPr>
                <w:rFonts w:eastAsia="宋体"/>
                <w:sz w:val="21"/>
              </w:rPr>
            </w:pPr>
          </w:p>
        </w:tc>
        <w:tc>
          <w:tcPr>
            <w:tcW w:w="4100" w:type="dxa"/>
            <w:vAlign w:val="center"/>
          </w:tcPr>
          <w:p w14:paraId="70F950E3" w14:textId="77777777" w:rsidR="00EE55DB" w:rsidRDefault="00000000">
            <w:pPr>
              <w:spacing w:line="240" w:lineRule="auto"/>
              <w:ind w:firstLineChars="0" w:firstLine="0"/>
              <w:jc w:val="center"/>
              <w:rPr>
                <w:rFonts w:eastAsia="宋体"/>
                <w:sz w:val="21"/>
              </w:rPr>
            </w:pPr>
            <w:r>
              <w:rPr>
                <w:rFonts w:eastAsia="宋体" w:hint="eastAsia"/>
                <w:sz w:val="21"/>
              </w:rPr>
              <w:t>地表水达到或好于</w:t>
            </w:r>
            <w:r>
              <w:rPr>
                <w:rFonts w:eastAsia="宋体"/>
                <w:sz w:val="21"/>
              </w:rPr>
              <w:fldChar w:fldCharType="begin"/>
            </w:r>
            <w:r>
              <w:rPr>
                <w:rFonts w:eastAsia="宋体"/>
                <w:sz w:val="21"/>
              </w:rPr>
              <w:instrText xml:space="preserve"> = 3 \* ROMAN \* MERGEFORMAT </w:instrText>
            </w:r>
            <w:r>
              <w:rPr>
                <w:rFonts w:eastAsia="宋体"/>
                <w:sz w:val="21"/>
              </w:rPr>
              <w:fldChar w:fldCharType="separate"/>
            </w:r>
            <w:r>
              <w:rPr>
                <w:rFonts w:eastAsia="宋体"/>
                <w:sz w:val="21"/>
              </w:rPr>
              <w:t>III</w:t>
            </w:r>
            <w:r>
              <w:rPr>
                <w:rFonts w:eastAsia="宋体"/>
                <w:sz w:val="21"/>
              </w:rPr>
              <w:fldChar w:fldCharType="end"/>
            </w:r>
            <w:r>
              <w:rPr>
                <w:rFonts w:eastAsia="宋体" w:hint="eastAsia"/>
                <w:sz w:val="21"/>
              </w:rPr>
              <w:t>类水体比例（</w:t>
            </w:r>
            <w:r>
              <w:rPr>
                <w:rFonts w:eastAsia="宋体"/>
                <w:sz w:val="21"/>
              </w:rPr>
              <w:t>%</w:t>
            </w:r>
            <w:r>
              <w:rPr>
                <w:rFonts w:eastAsia="宋体" w:hint="eastAsia"/>
                <w:sz w:val="21"/>
              </w:rPr>
              <w:t>）</w:t>
            </w:r>
          </w:p>
        </w:tc>
        <w:tc>
          <w:tcPr>
            <w:tcW w:w="970" w:type="dxa"/>
            <w:vAlign w:val="center"/>
          </w:tcPr>
          <w:p w14:paraId="27A10BAD" w14:textId="77777777" w:rsidR="00EE55DB" w:rsidRDefault="00000000">
            <w:pPr>
              <w:spacing w:line="240" w:lineRule="auto"/>
              <w:ind w:firstLineChars="0" w:firstLine="0"/>
              <w:jc w:val="center"/>
              <w:rPr>
                <w:rFonts w:eastAsia="宋体"/>
                <w:sz w:val="21"/>
              </w:rPr>
            </w:pPr>
            <w:r>
              <w:rPr>
                <w:rFonts w:eastAsia="宋体"/>
                <w:sz w:val="21"/>
              </w:rPr>
              <w:t>100</w:t>
            </w:r>
          </w:p>
        </w:tc>
        <w:tc>
          <w:tcPr>
            <w:tcW w:w="920" w:type="dxa"/>
            <w:vAlign w:val="center"/>
          </w:tcPr>
          <w:p w14:paraId="6849C563" w14:textId="77777777" w:rsidR="00EE55DB" w:rsidRDefault="00000000">
            <w:pPr>
              <w:spacing w:line="240" w:lineRule="auto"/>
              <w:ind w:firstLineChars="0" w:firstLine="0"/>
              <w:jc w:val="center"/>
              <w:rPr>
                <w:rFonts w:eastAsia="宋体"/>
                <w:sz w:val="21"/>
              </w:rPr>
            </w:pPr>
            <w:r>
              <w:rPr>
                <w:rFonts w:eastAsia="宋体"/>
                <w:sz w:val="21"/>
              </w:rPr>
              <w:t>100</w:t>
            </w:r>
          </w:p>
        </w:tc>
        <w:tc>
          <w:tcPr>
            <w:tcW w:w="1203" w:type="dxa"/>
            <w:vAlign w:val="center"/>
          </w:tcPr>
          <w:p w14:paraId="71264320" w14:textId="77777777" w:rsidR="00EE55DB" w:rsidRDefault="00000000">
            <w:pPr>
              <w:spacing w:line="240" w:lineRule="auto"/>
              <w:ind w:firstLineChars="0" w:firstLine="0"/>
              <w:jc w:val="center"/>
              <w:rPr>
                <w:rFonts w:eastAsia="宋体"/>
                <w:sz w:val="21"/>
              </w:rPr>
            </w:pPr>
            <w:r>
              <w:rPr>
                <w:rFonts w:eastAsia="宋体" w:hint="eastAsia"/>
                <w:sz w:val="21"/>
              </w:rPr>
              <w:t>持平</w:t>
            </w:r>
          </w:p>
        </w:tc>
        <w:tc>
          <w:tcPr>
            <w:tcW w:w="1080" w:type="dxa"/>
            <w:vAlign w:val="center"/>
          </w:tcPr>
          <w:p w14:paraId="63EA0C7F" w14:textId="77777777" w:rsidR="00EE55DB" w:rsidRDefault="00000000">
            <w:pPr>
              <w:spacing w:line="240" w:lineRule="auto"/>
              <w:ind w:firstLineChars="0" w:firstLine="0"/>
              <w:jc w:val="center"/>
              <w:rPr>
                <w:rFonts w:eastAsia="宋体"/>
                <w:sz w:val="21"/>
              </w:rPr>
            </w:pPr>
            <w:r>
              <w:rPr>
                <w:rFonts w:eastAsia="宋体" w:hint="eastAsia"/>
                <w:sz w:val="21"/>
              </w:rPr>
              <w:t>持平</w:t>
            </w:r>
          </w:p>
        </w:tc>
        <w:tc>
          <w:tcPr>
            <w:tcW w:w="912" w:type="dxa"/>
            <w:vAlign w:val="center"/>
          </w:tcPr>
          <w:p w14:paraId="24EE574E" w14:textId="77777777" w:rsidR="00EE55DB" w:rsidRDefault="00000000">
            <w:pPr>
              <w:spacing w:line="240" w:lineRule="auto"/>
              <w:ind w:firstLineChars="0" w:firstLine="0"/>
              <w:jc w:val="center"/>
              <w:rPr>
                <w:rFonts w:eastAsia="宋体"/>
                <w:sz w:val="21"/>
              </w:rPr>
            </w:pPr>
            <w:r>
              <w:rPr>
                <w:rFonts w:eastAsia="宋体" w:hint="eastAsia"/>
                <w:sz w:val="21"/>
              </w:rPr>
              <w:t>约束性</w:t>
            </w:r>
          </w:p>
        </w:tc>
      </w:tr>
      <w:tr w:rsidR="00EE55DB" w14:paraId="637D863F" w14:textId="77777777">
        <w:trPr>
          <w:jc w:val="center"/>
        </w:trPr>
        <w:tc>
          <w:tcPr>
            <w:tcW w:w="839" w:type="dxa"/>
            <w:vMerge/>
            <w:vAlign w:val="center"/>
          </w:tcPr>
          <w:p w14:paraId="71229734" w14:textId="77777777" w:rsidR="00EE55DB" w:rsidRDefault="00EE55DB">
            <w:pPr>
              <w:spacing w:line="240" w:lineRule="auto"/>
              <w:ind w:firstLineChars="0" w:firstLine="0"/>
              <w:jc w:val="center"/>
              <w:rPr>
                <w:rFonts w:eastAsia="宋体"/>
                <w:sz w:val="21"/>
              </w:rPr>
            </w:pPr>
          </w:p>
        </w:tc>
        <w:tc>
          <w:tcPr>
            <w:tcW w:w="4100" w:type="dxa"/>
            <w:vAlign w:val="center"/>
          </w:tcPr>
          <w:p w14:paraId="570FA604" w14:textId="77777777" w:rsidR="00EE55DB" w:rsidRDefault="00000000">
            <w:pPr>
              <w:spacing w:line="240" w:lineRule="auto"/>
              <w:ind w:firstLineChars="0" w:firstLine="0"/>
              <w:jc w:val="center"/>
              <w:rPr>
                <w:rFonts w:eastAsia="宋体"/>
                <w:sz w:val="21"/>
              </w:rPr>
            </w:pPr>
            <w:r>
              <w:rPr>
                <w:rFonts w:eastAsia="宋体" w:hint="eastAsia"/>
                <w:sz w:val="21"/>
              </w:rPr>
              <w:t>森林覆盖率（</w:t>
            </w:r>
            <w:r>
              <w:rPr>
                <w:rFonts w:eastAsia="宋体"/>
                <w:sz w:val="21"/>
              </w:rPr>
              <w:t>%</w:t>
            </w:r>
            <w:r>
              <w:rPr>
                <w:rFonts w:eastAsia="宋体" w:hint="eastAsia"/>
                <w:sz w:val="21"/>
              </w:rPr>
              <w:t>）</w:t>
            </w:r>
          </w:p>
        </w:tc>
        <w:tc>
          <w:tcPr>
            <w:tcW w:w="970" w:type="dxa"/>
            <w:vAlign w:val="center"/>
          </w:tcPr>
          <w:p w14:paraId="0E60D8AC" w14:textId="77777777" w:rsidR="00EE55DB" w:rsidRDefault="00000000">
            <w:pPr>
              <w:spacing w:line="240" w:lineRule="auto"/>
              <w:ind w:firstLineChars="0" w:firstLine="0"/>
              <w:jc w:val="center"/>
              <w:rPr>
                <w:rFonts w:eastAsia="宋体"/>
                <w:sz w:val="21"/>
              </w:rPr>
            </w:pPr>
            <w:r>
              <w:rPr>
                <w:rFonts w:eastAsia="宋体"/>
                <w:sz w:val="21"/>
              </w:rPr>
              <w:t>37.99</w:t>
            </w:r>
          </w:p>
        </w:tc>
        <w:tc>
          <w:tcPr>
            <w:tcW w:w="920" w:type="dxa"/>
            <w:vAlign w:val="center"/>
          </w:tcPr>
          <w:p w14:paraId="34650392" w14:textId="77777777" w:rsidR="00EE55DB" w:rsidRDefault="00000000">
            <w:pPr>
              <w:spacing w:line="240" w:lineRule="auto"/>
              <w:ind w:firstLineChars="0" w:firstLine="0"/>
              <w:jc w:val="center"/>
              <w:rPr>
                <w:rFonts w:eastAsia="宋体"/>
                <w:sz w:val="21"/>
              </w:rPr>
            </w:pPr>
            <w:r>
              <w:rPr>
                <w:rFonts w:eastAsia="宋体"/>
                <w:sz w:val="21"/>
              </w:rPr>
              <w:t>38.2</w:t>
            </w:r>
          </w:p>
        </w:tc>
        <w:tc>
          <w:tcPr>
            <w:tcW w:w="1203" w:type="dxa"/>
            <w:vAlign w:val="center"/>
          </w:tcPr>
          <w:p w14:paraId="2246BDA6" w14:textId="77777777" w:rsidR="00EE55DB" w:rsidRDefault="00000000">
            <w:pPr>
              <w:spacing w:line="240" w:lineRule="auto"/>
              <w:ind w:firstLineChars="0" w:firstLine="0"/>
              <w:jc w:val="center"/>
              <w:rPr>
                <w:rFonts w:eastAsia="宋体"/>
                <w:sz w:val="21"/>
              </w:rPr>
            </w:pPr>
            <w:r>
              <w:rPr>
                <w:rFonts w:eastAsia="宋体"/>
                <w:sz w:val="21"/>
              </w:rPr>
              <w:t>[0.21]</w:t>
            </w:r>
          </w:p>
        </w:tc>
        <w:tc>
          <w:tcPr>
            <w:tcW w:w="1080" w:type="dxa"/>
            <w:vAlign w:val="center"/>
          </w:tcPr>
          <w:p w14:paraId="0EE65955" w14:textId="77777777" w:rsidR="00EE55DB" w:rsidRDefault="00000000">
            <w:pPr>
              <w:spacing w:line="240" w:lineRule="auto"/>
              <w:ind w:firstLineChars="0" w:firstLine="0"/>
              <w:jc w:val="center"/>
              <w:rPr>
                <w:rFonts w:eastAsia="宋体"/>
                <w:sz w:val="21"/>
              </w:rPr>
            </w:pPr>
            <w:r>
              <w:rPr>
                <w:rFonts w:eastAsia="宋体"/>
                <w:sz w:val="21"/>
              </w:rPr>
              <w:t>—</w:t>
            </w:r>
          </w:p>
        </w:tc>
        <w:tc>
          <w:tcPr>
            <w:tcW w:w="912" w:type="dxa"/>
            <w:vAlign w:val="center"/>
          </w:tcPr>
          <w:p w14:paraId="35FDC50E" w14:textId="77777777" w:rsidR="00EE55DB" w:rsidRDefault="00000000">
            <w:pPr>
              <w:spacing w:line="240" w:lineRule="auto"/>
              <w:ind w:firstLineChars="0" w:firstLine="0"/>
              <w:jc w:val="center"/>
              <w:rPr>
                <w:rFonts w:eastAsia="宋体"/>
                <w:sz w:val="21"/>
              </w:rPr>
            </w:pPr>
            <w:r>
              <w:rPr>
                <w:rFonts w:eastAsia="宋体" w:hint="eastAsia"/>
                <w:sz w:val="21"/>
              </w:rPr>
              <w:t>约束性</w:t>
            </w:r>
          </w:p>
        </w:tc>
      </w:tr>
      <w:tr w:rsidR="00EE55DB" w14:paraId="02493A24" w14:textId="77777777">
        <w:trPr>
          <w:jc w:val="center"/>
        </w:trPr>
        <w:tc>
          <w:tcPr>
            <w:tcW w:w="839" w:type="dxa"/>
            <w:vMerge w:val="restart"/>
            <w:vAlign w:val="center"/>
          </w:tcPr>
          <w:p w14:paraId="619408C2" w14:textId="77777777" w:rsidR="00EE55DB" w:rsidRDefault="00000000">
            <w:pPr>
              <w:spacing w:line="240" w:lineRule="auto"/>
              <w:ind w:firstLineChars="0" w:firstLine="0"/>
              <w:jc w:val="center"/>
              <w:rPr>
                <w:rFonts w:eastAsia="宋体"/>
                <w:sz w:val="21"/>
              </w:rPr>
            </w:pPr>
            <w:r>
              <w:rPr>
                <w:rFonts w:eastAsia="宋体" w:hint="eastAsia"/>
                <w:sz w:val="21"/>
              </w:rPr>
              <w:t>民生</w:t>
            </w:r>
          </w:p>
          <w:p w14:paraId="0720ED92" w14:textId="77777777" w:rsidR="00EE55DB" w:rsidRDefault="00000000">
            <w:pPr>
              <w:spacing w:line="240" w:lineRule="auto"/>
              <w:ind w:firstLineChars="0" w:firstLine="0"/>
              <w:jc w:val="center"/>
              <w:rPr>
                <w:rFonts w:eastAsia="宋体"/>
                <w:sz w:val="21"/>
              </w:rPr>
            </w:pPr>
            <w:r>
              <w:rPr>
                <w:rFonts w:eastAsia="宋体" w:hint="eastAsia"/>
                <w:sz w:val="21"/>
              </w:rPr>
              <w:t>福祉</w:t>
            </w:r>
          </w:p>
        </w:tc>
        <w:tc>
          <w:tcPr>
            <w:tcW w:w="4100" w:type="dxa"/>
            <w:vAlign w:val="center"/>
          </w:tcPr>
          <w:p w14:paraId="1546AD85" w14:textId="77777777" w:rsidR="00EE55DB" w:rsidRDefault="00000000">
            <w:pPr>
              <w:widowControl/>
              <w:adjustRightInd w:val="0"/>
              <w:snapToGrid w:val="0"/>
              <w:spacing w:line="240" w:lineRule="auto"/>
              <w:ind w:firstLineChars="0" w:firstLine="0"/>
              <w:jc w:val="center"/>
              <w:rPr>
                <w:rFonts w:eastAsia="宋体"/>
                <w:color w:val="0000FF"/>
                <w:sz w:val="21"/>
              </w:rPr>
            </w:pPr>
            <w:r>
              <w:rPr>
                <w:rFonts w:eastAsia="宋体" w:hint="eastAsia"/>
                <w:color w:val="000000"/>
                <w:sz w:val="21"/>
                <w:szCs w:val="21"/>
              </w:rPr>
              <w:t>城镇居民人均可支配收入（元）</w:t>
            </w:r>
          </w:p>
        </w:tc>
        <w:tc>
          <w:tcPr>
            <w:tcW w:w="970" w:type="dxa"/>
            <w:vAlign w:val="center"/>
          </w:tcPr>
          <w:p w14:paraId="537B72A0" w14:textId="77777777" w:rsidR="00EE55DB" w:rsidRDefault="00000000">
            <w:pPr>
              <w:widowControl/>
              <w:adjustRightInd w:val="0"/>
              <w:snapToGrid w:val="0"/>
              <w:spacing w:line="240" w:lineRule="auto"/>
              <w:ind w:firstLineChars="0" w:firstLine="0"/>
              <w:jc w:val="center"/>
              <w:rPr>
                <w:rFonts w:eastAsia="宋体"/>
                <w:color w:val="0000FF"/>
                <w:sz w:val="21"/>
              </w:rPr>
            </w:pPr>
            <w:r>
              <w:rPr>
                <w:rFonts w:eastAsia="宋体"/>
                <w:color w:val="000000"/>
                <w:sz w:val="21"/>
                <w:szCs w:val="21"/>
              </w:rPr>
              <w:t>38470</w:t>
            </w:r>
          </w:p>
        </w:tc>
        <w:tc>
          <w:tcPr>
            <w:tcW w:w="920" w:type="dxa"/>
            <w:vAlign w:val="center"/>
          </w:tcPr>
          <w:p w14:paraId="41E93D84" w14:textId="77777777" w:rsidR="00EE55DB" w:rsidRDefault="00000000">
            <w:pPr>
              <w:spacing w:line="240" w:lineRule="auto"/>
              <w:ind w:firstLineChars="0" w:firstLine="0"/>
              <w:jc w:val="center"/>
              <w:rPr>
                <w:rFonts w:eastAsia="宋体"/>
                <w:color w:val="FF0000"/>
                <w:sz w:val="21"/>
              </w:rPr>
            </w:pPr>
            <w:r>
              <w:rPr>
                <w:rFonts w:eastAsia="宋体"/>
                <w:color w:val="FF0000"/>
                <w:sz w:val="21"/>
              </w:rPr>
              <w:t>56525</w:t>
            </w:r>
          </w:p>
        </w:tc>
        <w:tc>
          <w:tcPr>
            <w:tcW w:w="1203" w:type="dxa"/>
            <w:vAlign w:val="center"/>
          </w:tcPr>
          <w:p w14:paraId="2BE9BF2E" w14:textId="77777777" w:rsidR="00EE55DB" w:rsidRDefault="00000000">
            <w:pPr>
              <w:spacing w:line="240" w:lineRule="auto"/>
              <w:ind w:firstLineChars="0" w:firstLine="0"/>
              <w:jc w:val="center"/>
              <w:rPr>
                <w:rFonts w:eastAsia="宋体"/>
                <w:sz w:val="21"/>
              </w:rPr>
            </w:pPr>
            <w:r>
              <w:rPr>
                <w:rFonts w:eastAsia="宋体"/>
                <w:sz w:val="21"/>
              </w:rPr>
              <w:t>8</w:t>
            </w:r>
          </w:p>
        </w:tc>
        <w:tc>
          <w:tcPr>
            <w:tcW w:w="1080" w:type="dxa"/>
            <w:vAlign w:val="center"/>
          </w:tcPr>
          <w:p w14:paraId="41581377" w14:textId="77777777" w:rsidR="00EE55DB" w:rsidRDefault="00000000">
            <w:pPr>
              <w:spacing w:line="240" w:lineRule="auto"/>
              <w:ind w:firstLineChars="0" w:firstLine="0"/>
              <w:jc w:val="center"/>
              <w:rPr>
                <w:rFonts w:eastAsia="宋体"/>
                <w:sz w:val="21"/>
              </w:rPr>
            </w:pPr>
            <w:r>
              <w:rPr>
                <w:rFonts w:eastAsia="宋体"/>
                <w:sz w:val="21"/>
              </w:rPr>
              <w:t>8</w:t>
            </w:r>
            <w:r>
              <w:rPr>
                <w:rFonts w:eastAsia="宋体" w:hint="eastAsia"/>
                <w:sz w:val="21"/>
              </w:rPr>
              <w:t>左右</w:t>
            </w:r>
            <w:r>
              <w:rPr>
                <w:rFonts w:eastAsia="宋体"/>
                <w:sz w:val="21"/>
              </w:rPr>
              <w:t xml:space="preserve"> </w:t>
            </w:r>
          </w:p>
        </w:tc>
        <w:tc>
          <w:tcPr>
            <w:tcW w:w="912" w:type="dxa"/>
            <w:vAlign w:val="center"/>
          </w:tcPr>
          <w:p w14:paraId="6AEF8835"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5FA2C0FE" w14:textId="77777777">
        <w:trPr>
          <w:jc w:val="center"/>
        </w:trPr>
        <w:tc>
          <w:tcPr>
            <w:tcW w:w="839" w:type="dxa"/>
            <w:vMerge/>
            <w:vAlign w:val="center"/>
          </w:tcPr>
          <w:p w14:paraId="4E48254F" w14:textId="77777777" w:rsidR="00EE55DB" w:rsidRDefault="00EE55DB">
            <w:pPr>
              <w:spacing w:line="240" w:lineRule="auto"/>
              <w:ind w:firstLineChars="0" w:firstLine="0"/>
              <w:jc w:val="center"/>
              <w:rPr>
                <w:rFonts w:eastAsia="宋体"/>
                <w:sz w:val="21"/>
              </w:rPr>
            </w:pPr>
          </w:p>
        </w:tc>
        <w:tc>
          <w:tcPr>
            <w:tcW w:w="4100" w:type="dxa"/>
            <w:vAlign w:val="center"/>
          </w:tcPr>
          <w:p w14:paraId="40CC2450" w14:textId="77777777" w:rsidR="00EE55DB" w:rsidRDefault="00000000">
            <w:pPr>
              <w:widowControl/>
              <w:adjustRightInd w:val="0"/>
              <w:snapToGrid w:val="0"/>
              <w:spacing w:line="240" w:lineRule="auto"/>
              <w:ind w:firstLineChars="0" w:firstLine="0"/>
              <w:jc w:val="center"/>
              <w:rPr>
                <w:rFonts w:eastAsia="宋体"/>
                <w:color w:val="0000FF"/>
                <w:sz w:val="21"/>
              </w:rPr>
            </w:pPr>
            <w:r>
              <w:rPr>
                <w:rFonts w:eastAsia="宋体" w:hint="eastAsia"/>
                <w:color w:val="000000"/>
                <w:sz w:val="21"/>
                <w:szCs w:val="21"/>
              </w:rPr>
              <w:t>农村居民可支配收入（元）</w:t>
            </w:r>
          </w:p>
        </w:tc>
        <w:tc>
          <w:tcPr>
            <w:tcW w:w="970" w:type="dxa"/>
            <w:vAlign w:val="center"/>
          </w:tcPr>
          <w:p w14:paraId="7299EF05" w14:textId="77777777" w:rsidR="00EE55DB" w:rsidRDefault="00000000">
            <w:pPr>
              <w:widowControl/>
              <w:adjustRightInd w:val="0"/>
              <w:snapToGrid w:val="0"/>
              <w:spacing w:line="240" w:lineRule="auto"/>
              <w:ind w:firstLineChars="0" w:firstLine="0"/>
              <w:jc w:val="center"/>
              <w:rPr>
                <w:rFonts w:eastAsia="宋体"/>
                <w:color w:val="0000FF"/>
                <w:sz w:val="21"/>
                <w:highlight w:val="yellow"/>
              </w:rPr>
            </w:pPr>
            <w:r>
              <w:rPr>
                <w:rFonts w:eastAsia="宋体"/>
                <w:color w:val="000000"/>
                <w:sz w:val="21"/>
                <w:szCs w:val="21"/>
              </w:rPr>
              <w:t>19297</w:t>
            </w:r>
          </w:p>
        </w:tc>
        <w:tc>
          <w:tcPr>
            <w:tcW w:w="920" w:type="dxa"/>
            <w:vAlign w:val="center"/>
          </w:tcPr>
          <w:p w14:paraId="16738A7B" w14:textId="77777777" w:rsidR="00EE55DB" w:rsidRDefault="00000000">
            <w:pPr>
              <w:spacing w:line="240" w:lineRule="auto"/>
              <w:ind w:firstLineChars="0" w:firstLine="0"/>
              <w:jc w:val="center"/>
              <w:rPr>
                <w:rFonts w:eastAsia="宋体"/>
                <w:color w:val="FF0000"/>
                <w:sz w:val="21"/>
                <w:highlight w:val="yellow"/>
              </w:rPr>
            </w:pPr>
            <w:r>
              <w:rPr>
                <w:rFonts w:eastAsia="宋体"/>
                <w:color w:val="FF0000"/>
                <w:sz w:val="21"/>
              </w:rPr>
              <w:t>29016</w:t>
            </w:r>
          </w:p>
        </w:tc>
        <w:tc>
          <w:tcPr>
            <w:tcW w:w="1203" w:type="dxa"/>
            <w:vAlign w:val="center"/>
          </w:tcPr>
          <w:p w14:paraId="6994474E" w14:textId="77777777" w:rsidR="00EE55DB" w:rsidRDefault="00000000">
            <w:pPr>
              <w:spacing w:line="240" w:lineRule="auto"/>
              <w:ind w:firstLineChars="0" w:firstLine="0"/>
              <w:jc w:val="center"/>
              <w:rPr>
                <w:rFonts w:eastAsia="宋体"/>
                <w:sz w:val="21"/>
              </w:rPr>
            </w:pPr>
            <w:r>
              <w:rPr>
                <w:rFonts w:eastAsia="宋体"/>
                <w:sz w:val="21"/>
              </w:rPr>
              <w:t>8.5</w:t>
            </w:r>
          </w:p>
        </w:tc>
        <w:tc>
          <w:tcPr>
            <w:tcW w:w="1080" w:type="dxa"/>
            <w:vAlign w:val="center"/>
          </w:tcPr>
          <w:p w14:paraId="78806522" w14:textId="77777777" w:rsidR="00EE55DB" w:rsidRDefault="00000000">
            <w:pPr>
              <w:spacing w:line="240" w:lineRule="auto"/>
              <w:ind w:firstLineChars="0" w:firstLine="0"/>
              <w:jc w:val="center"/>
              <w:rPr>
                <w:rFonts w:eastAsia="宋体"/>
                <w:sz w:val="21"/>
              </w:rPr>
            </w:pPr>
            <w:r>
              <w:rPr>
                <w:rFonts w:eastAsia="宋体"/>
                <w:sz w:val="21"/>
              </w:rPr>
              <w:t>8.5</w:t>
            </w:r>
            <w:r>
              <w:rPr>
                <w:rFonts w:eastAsia="宋体" w:hint="eastAsia"/>
                <w:sz w:val="21"/>
              </w:rPr>
              <w:t>左右</w:t>
            </w:r>
          </w:p>
        </w:tc>
        <w:tc>
          <w:tcPr>
            <w:tcW w:w="912" w:type="dxa"/>
            <w:vAlign w:val="center"/>
          </w:tcPr>
          <w:p w14:paraId="70B4B578"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72987CA7" w14:textId="77777777">
        <w:trPr>
          <w:jc w:val="center"/>
        </w:trPr>
        <w:tc>
          <w:tcPr>
            <w:tcW w:w="839" w:type="dxa"/>
            <w:vMerge/>
            <w:vAlign w:val="center"/>
          </w:tcPr>
          <w:p w14:paraId="01D2A89E" w14:textId="77777777" w:rsidR="00EE55DB" w:rsidRDefault="00EE55DB">
            <w:pPr>
              <w:spacing w:line="240" w:lineRule="auto"/>
              <w:ind w:firstLineChars="0" w:firstLine="0"/>
              <w:jc w:val="center"/>
              <w:rPr>
                <w:rFonts w:eastAsia="宋体"/>
                <w:sz w:val="21"/>
              </w:rPr>
            </w:pPr>
          </w:p>
        </w:tc>
        <w:tc>
          <w:tcPr>
            <w:tcW w:w="4100" w:type="dxa"/>
            <w:vAlign w:val="center"/>
          </w:tcPr>
          <w:p w14:paraId="099B6ECC" w14:textId="77777777" w:rsidR="00EE55DB" w:rsidRDefault="00000000">
            <w:pPr>
              <w:spacing w:line="240" w:lineRule="auto"/>
              <w:ind w:firstLineChars="0" w:firstLine="0"/>
              <w:jc w:val="center"/>
              <w:rPr>
                <w:rFonts w:eastAsia="宋体"/>
                <w:sz w:val="21"/>
              </w:rPr>
            </w:pPr>
            <w:r>
              <w:rPr>
                <w:rFonts w:eastAsia="宋体" w:hint="eastAsia"/>
                <w:sz w:val="21"/>
              </w:rPr>
              <w:t>城镇登记失业率（</w:t>
            </w:r>
            <w:r>
              <w:rPr>
                <w:rFonts w:eastAsia="宋体"/>
                <w:sz w:val="21"/>
              </w:rPr>
              <w:t>%</w:t>
            </w:r>
            <w:r>
              <w:rPr>
                <w:rFonts w:eastAsia="宋体" w:hint="eastAsia"/>
                <w:sz w:val="21"/>
              </w:rPr>
              <w:t>）</w:t>
            </w:r>
          </w:p>
        </w:tc>
        <w:tc>
          <w:tcPr>
            <w:tcW w:w="970" w:type="dxa"/>
            <w:vAlign w:val="center"/>
          </w:tcPr>
          <w:p w14:paraId="2AF640D6" w14:textId="77777777" w:rsidR="00EE55DB" w:rsidRDefault="00000000">
            <w:pPr>
              <w:spacing w:line="240" w:lineRule="auto"/>
              <w:ind w:firstLineChars="0" w:firstLine="0"/>
              <w:jc w:val="center"/>
              <w:rPr>
                <w:rFonts w:eastAsia="宋体"/>
                <w:sz w:val="21"/>
              </w:rPr>
            </w:pPr>
            <w:r>
              <w:rPr>
                <w:rFonts w:eastAsia="宋体" w:hint="eastAsia"/>
                <w:sz w:val="21"/>
              </w:rPr>
              <w:t>预期范围内</w:t>
            </w:r>
          </w:p>
        </w:tc>
        <w:tc>
          <w:tcPr>
            <w:tcW w:w="920" w:type="dxa"/>
            <w:vAlign w:val="center"/>
          </w:tcPr>
          <w:p w14:paraId="4422091B" w14:textId="77777777" w:rsidR="00EE55DB" w:rsidRDefault="00000000">
            <w:pPr>
              <w:spacing w:line="240" w:lineRule="auto"/>
              <w:ind w:firstLineChars="0" w:firstLine="0"/>
              <w:jc w:val="center"/>
              <w:rPr>
                <w:rFonts w:eastAsia="宋体"/>
                <w:sz w:val="21"/>
              </w:rPr>
            </w:pPr>
            <w:r>
              <w:rPr>
                <w:rFonts w:eastAsia="宋体"/>
                <w:sz w:val="21"/>
              </w:rPr>
              <w:t>3</w:t>
            </w:r>
          </w:p>
        </w:tc>
        <w:tc>
          <w:tcPr>
            <w:tcW w:w="1203" w:type="dxa"/>
            <w:vAlign w:val="center"/>
          </w:tcPr>
          <w:p w14:paraId="68C42450" w14:textId="77777777" w:rsidR="00EE55DB" w:rsidRDefault="00000000">
            <w:pPr>
              <w:spacing w:line="240" w:lineRule="auto"/>
              <w:ind w:firstLineChars="0" w:firstLine="0"/>
              <w:jc w:val="center"/>
              <w:rPr>
                <w:rFonts w:eastAsia="宋体"/>
                <w:sz w:val="21"/>
              </w:rPr>
            </w:pPr>
            <w:r>
              <w:rPr>
                <w:rFonts w:eastAsia="宋体"/>
                <w:sz w:val="21"/>
              </w:rPr>
              <w:t>—</w:t>
            </w:r>
          </w:p>
        </w:tc>
        <w:tc>
          <w:tcPr>
            <w:tcW w:w="1080" w:type="dxa"/>
            <w:vAlign w:val="center"/>
          </w:tcPr>
          <w:p w14:paraId="47B20EF1" w14:textId="77777777" w:rsidR="00EE55DB" w:rsidRDefault="00000000">
            <w:pPr>
              <w:spacing w:line="240" w:lineRule="auto"/>
              <w:ind w:firstLineChars="0" w:firstLine="0"/>
              <w:jc w:val="center"/>
              <w:rPr>
                <w:rFonts w:eastAsia="宋体"/>
                <w:sz w:val="21"/>
              </w:rPr>
            </w:pPr>
            <w:r>
              <w:rPr>
                <w:rFonts w:eastAsia="宋体"/>
                <w:sz w:val="21"/>
              </w:rPr>
              <w:t>—</w:t>
            </w:r>
          </w:p>
        </w:tc>
        <w:tc>
          <w:tcPr>
            <w:tcW w:w="912" w:type="dxa"/>
            <w:vAlign w:val="center"/>
          </w:tcPr>
          <w:p w14:paraId="14F41363"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634CE4B0" w14:textId="77777777">
        <w:trPr>
          <w:jc w:val="center"/>
        </w:trPr>
        <w:tc>
          <w:tcPr>
            <w:tcW w:w="839" w:type="dxa"/>
            <w:vMerge/>
            <w:vAlign w:val="center"/>
          </w:tcPr>
          <w:p w14:paraId="5EF2FBA4" w14:textId="77777777" w:rsidR="00EE55DB" w:rsidRDefault="00EE55DB">
            <w:pPr>
              <w:spacing w:line="240" w:lineRule="auto"/>
              <w:ind w:firstLineChars="0" w:firstLine="0"/>
              <w:jc w:val="center"/>
              <w:rPr>
                <w:rFonts w:eastAsia="宋体"/>
                <w:sz w:val="21"/>
              </w:rPr>
            </w:pPr>
          </w:p>
        </w:tc>
        <w:tc>
          <w:tcPr>
            <w:tcW w:w="4100" w:type="dxa"/>
            <w:vAlign w:val="center"/>
          </w:tcPr>
          <w:p w14:paraId="2AACAEDA" w14:textId="77777777" w:rsidR="00EE55DB" w:rsidRDefault="00000000">
            <w:pPr>
              <w:spacing w:line="240" w:lineRule="auto"/>
              <w:ind w:firstLineChars="0" w:firstLine="0"/>
              <w:jc w:val="center"/>
              <w:rPr>
                <w:rFonts w:eastAsia="宋体"/>
                <w:sz w:val="21"/>
              </w:rPr>
            </w:pPr>
            <w:r>
              <w:rPr>
                <w:rFonts w:eastAsia="宋体" w:hint="eastAsia"/>
                <w:sz w:val="21"/>
              </w:rPr>
              <w:t>每千人口拥有执业（助理）医师数（人）</w:t>
            </w:r>
          </w:p>
        </w:tc>
        <w:tc>
          <w:tcPr>
            <w:tcW w:w="970" w:type="dxa"/>
            <w:vAlign w:val="center"/>
          </w:tcPr>
          <w:p w14:paraId="3DBCA6BB" w14:textId="77777777" w:rsidR="00EE55DB" w:rsidRDefault="00000000">
            <w:pPr>
              <w:spacing w:line="240" w:lineRule="auto"/>
              <w:ind w:firstLineChars="0" w:firstLine="0"/>
              <w:jc w:val="center"/>
              <w:rPr>
                <w:rFonts w:eastAsia="宋体"/>
                <w:sz w:val="21"/>
              </w:rPr>
            </w:pPr>
            <w:r>
              <w:rPr>
                <w:rFonts w:eastAsia="宋体"/>
                <w:sz w:val="21"/>
              </w:rPr>
              <w:t>2</w:t>
            </w:r>
          </w:p>
        </w:tc>
        <w:tc>
          <w:tcPr>
            <w:tcW w:w="920" w:type="dxa"/>
            <w:vAlign w:val="center"/>
          </w:tcPr>
          <w:p w14:paraId="09551CFE" w14:textId="77777777" w:rsidR="00EE55DB" w:rsidRDefault="00000000">
            <w:pPr>
              <w:spacing w:line="240" w:lineRule="auto"/>
              <w:ind w:firstLineChars="0" w:firstLine="0"/>
              <w:jc w:val="center"/>
              <w:rPr>
                <w:rFonts w:eastAsia="宋体"/>
                <w:sz w:val="21"/>
              </w:rPr>
            </w:pPr>
            <w:r>
              <w:rPr>
                <w:rFonts w:eastAsia="宋体"/>
                <w:sz w:val="21"/>
              </w:rPr>
              <w:t>3</w:t>
            </w:r>
          </w:p>
        </w:tc>
        <w:tc>
          <w:tcPr>
            <w:tcW w:w="1203" w:type="dxa"/>
            <w:vAlign w:val="center"/>
          </w:tcPr>
          <w:p w14:paraId="2145F393" w14:textId="77777777" w:rsidR="00EE55DB" w:rsidRDefault="00000000">
            <w:pPr>
              <w:spacing w:line="240" w:lineRule="auto"/>
              <w:ind w:firstLineChars="0" w:firstLine="0"/>
              <w:jc w:val="center"/>
              <w:rPr>
                <w:rFonts w:eastAsia="宋体"/>
                <w:sz w:val="21"/>
              </w:rPr>
            </w:pPr>
            <w:r>
              <w:rPr>
                <w:rFonts w:eastAsia="宋体"/>
                <w:sz w:val="21"/>
              </w:rPr>
              <w:t>[1]</w:t>
            </w:r>
          </w:p>
        </w:tc>
        <w:tc>
          <w:tcPr>
            <w:tcW w:w="1080" w:type="dxa"/>
            <w:vAlign w:val="center"/>
          </w:tcPr>
          <w:p w14:paraId="139E03D4" w14:textId="77777777" w:rsidR="00EE55DB" w:rsidRDefault="00000000">
            <w:pPr>
              <w:spacing w:line="240" w:lineRule="auto"/>
              <w:ind w:firstLineChars="0" w:firstLine="0"/>
              <w:jc w:val="center"/>
              <w:rPr>
                <w:rFonts w:eastAsia="宋体"/>
                <w:sz w:val="21"/>
              </w:rPr>
            </w:pPr>
            <w:r>
              <w:rPr>
                <w:rFonts w:eastAsia="宋体"/>
                <w:sz w:val="21"/>
              </w:rPr>
              <w:t>[0.5]</w:t>
            </w:r>
          </w:p>
        </w:tc>
        <w:tc>
          <w:tcPr>
            <w:tcW w:w="912" w:type="dxa"/>
            <w:vAlign w:val="center"/>
          </w:tcPr>
          <w:p w14:paraId="3005A30D"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5409AD48" w14:textId="77777777">
        <w:trPr>
          <w:jc w:val="center"/>
        </w:trPr>
        <w:tc>
          <w:tcPr>
            <w:tcW w:w="839" w:type="dxa"/>
            <w:vMerge/>
            <w:vAlign w:val="center"/>
          </w:tcPr>
          <w:p w14:paraId="17EE3245" w14:textId="77777777" w:rsidR="00EE55DB" w:rsidRDefault="00EE55DB">
            <w:pPr>
              <w:spacing w:line="240" w:lineRule="auto"/>
              <w:ind w:firstLineChars="0" w:firstLine="0"/>
              <w:jc w:val="center"/>
              <w:rPr>
                <w:rFonts w:eastAsia="宋体"/>
                <w:sz w:val="21"/>
              </w:rPr>
            </w:pPr>
          </w:p>
        </w:tc>
        <w:tc>
          <w:tcPr>
            <w:tcW w:w="4100" w:type="dxa"/>
            <w:vAlign w:val="center"/>
          </w:tcPr>
          <w:p w14:paraId="280B3DFC" w14:textId="77777777" w:rsidR="00EE55DB" w:rsidRDefault="00000000">
            <w:pPr>
              <w:spacing w:line="240" w:lineRule="auto"/>
              <w:ind w:firstLineChars="0" w:firstLine="0"/>
              <w:jc w:val="center"/>
              <w:rPr>
                <w:rFonts w:eastAsia="宋体"/>
                <w:sz w:val="21"/>
              </w:rPr>
            </w:pPr>
            <w:r>
              <w:rPr>
                <w:rFonts w:eastAsia="宋体" w:hint="eastAsia"/>
                <w:sz w:val="21"/>
              </w:rPr>
              <w:t>每千人口拥有</w:t>
            </w:r>
            <w:r>
              <w:rPr>
                <w:rFonts w:eastAsia="宋体"/>
                <w:sz w:val="21"/>
              </w:rPr>
              <w:t>0-3</w:t>
            </w:r>
            <w:r>
              <w:rPr>
                <w:rFonts w:eastAsia="宋体" w:hint="eastAsia"/>
                <w:sz w:val="21"/>
              </w:rPr>
              <w:t>岁婴幼儿托位数（</w:t>
            </w:r>
            <w:proofErr w:type="gramStart"/>
            <w:r>
              <w:rPr>
                <w:rFonts w:eastAsia="宋体" w:hint="eastAsia"/>
                <w:sz w:val="21"/>
              </w:rPr>
              <w:t>个</w:t>
            </w:r>
            <w:proofErr w:type="gramEnd"/>
            <w:r>
              <w:rPr>
                <w:rFonts w:eastAsia="宋体" w:hint="eastAsia"/>
                <w:sz w:val="21"/>
              </w:rPr>
              <w:t>）</w:t>
            </w:r>
          </w:p>
        </w:tc>
        <w:tc>
          <w:tcPr>
            <w:tcW w:w="970" w:type="dxa"/>
            <w:vAlign w:val="center"/>
          </w:tcPr>
          <w:p w14:paraId="5255B9DF" w14:textId="77777777" w:rsidR="00EE55DB" w:rsidRDefault="00000000">
            <w:pPr>
              <w:spacing w:line="240" w:lineRule="auto"/>
              <w:ind w:firstLineChars="0" w:firstLine="0"/>
              <w:jc w:val="center"/>
              <w:rPr>
                <w:rFonts w:eastAsia="宋体"/>
                <w:sz w:val="21"/>
              </w:rPr>
            </w:pPr>
            <w:r>
              <w:rPr>
                <w:rFonts w:eastAsia="宋体"/>
                <w:sz w:val="21"/>
              </w:rPr>
              <w:t>1</w:t>
            </w:r>
          </w:p>
        </w:tc>
        <w:tc>
          <w:tcPr>
            <w:tcW w:w="920" w:type="dxa"/>
            <w:vAlign w:val="center"/>
          </w:tcPr>
          <w:p w14:paraId="3DC88B3C" w14:textId="77777777" w:rsidR="00EE55DB" w:rsidRDefault="00000000">
            <w:pPr>
              <w:spacing w:line="240" w:lineRule="auto"/>
              <w:ind w:firstLineChars="0" w:firstLine="0"/>
              <w:jc w:val="center"/>
              <w:rPr>
                <w:rFonts w:eastAsia="宋体"/>
                <w:sz w:val="21"/>
              </w:rPr>
            </w:pPr>
            <w:r>
              <w:rPr>
                <w:rFonts w:eastAsia="宋体"/>
                <w:sz w:val="21"/>
              </w:rPr>
              <w:t>4.5</w:t>
            </w:r>
          </w:p>
        </w:tc>
        <w:tc>
          <w:tcPr>
            <w:tcW w:w="1203" w:type="dxa"/>
            <w:vAlign w:val="center"/>
          </w:tcPr>
          <w:p w14:paraId="519253DD" w14:textId="77777777" w:rsidR="00EE55DB" w:rsidRDefault="00000000">
            <w:pPr>
              <w:spacing w:line="240" w:lineRule="auto"/>
              <w:ind w:firstLineChars="0" w:firstLine="0"/>
              <w:jc w:val="center"/>
              <w:rPr>
                <w:rFonts w:eastAsia="宋体"/>
                <w:sz w:val="21"/>
              </w:rPr>
            </w:pPr>
            <w:r>
              <w:rPr>
                <w:rFonts w:eastAsia="宋体"/>
                <w:sz w:val="21"/>
              </w:rPr>
              <w:t>[3.5]</w:t>
            </w:r>
          </w:p>
        </w:tc>
        <w:tc>
          <w:tcPr>
            <w:tcW w:w="1080" w:type="dxa"/>
            <w:vAlign w:val="center"/>
          </w:tcPr>
          <w:p w14:paraId="75A821AB" w14:textId="77777777" w:rsidR="00EE55DB" w:rsidRDefault="00000000">
            <w:pPr>
              <w:spacing w:line="240" w:lineRule="auto"/>
              <w:ind w:firstLineChars="0" w:firstLine="0"/>
              <w:jc w:val="center"/>
              <w:rPr>
                <w:rFonts w:eastAsia="宋体"/>
                <w:sz w:val="21"/>
              </w:rPr>
            </w:pPr>
            <w:r>
              <w:rPr>
                <w:rFonts w:eastAsia="宋体"/>
                <w:sz w:val="21"/>
              </w:rPr>
              <w:t>[3.3]</w:t>
            </w:r>
          </w:p>
        </w:tc>
        <w:tc>
          <w:tcPr>
            <w:tcW w:w="912" w:type="dxa"/>
            <w:vAlign w:val="center"/>
          </w:tcPr>
          <w:p w14:paraId="4E209BE6"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43F5412C" w14:textId="77777777">
        <w:trPr>
          <w:jc w:val="center"/>
        </w:trPr>
        <w:tc>
          <w:tcPr>
            <w:tcW w:w="839" w:type="dxa"/>
            <w:vMerge/>
            <w:vAlign w:val="center"/>
          </w:tcPr>
          <w:p w14:paraId="12497E1F" w14:textId="77777777" w:rsidR="00EE55DB" w:rsidRDefault="00EE55DB">
            <w:pPr>
              <w:spacing w:line="240" w:lineRule="auto"/>
              <w:ind w:firstLineChars="0" w:firstLine="0"/>
              <w:jc w:val="center"/>
              <w:rPr>
                <w:rFonts w:eastAsia="宋体"/>
                <w:sz w:val="21"/>
              </w:rPr>
            </w:pPr>
          </w:p>
        </w:tc>
        <w:tc>
          <w:tcPr>
            <w:tcW w:w="4100" w:type="dxa"/>
            <w:vAlign w:val="center"/>
          </w:tcPr>
          <w:p w14:paraId="2878325F" w14:textId="77777777" w:rsidR="00EE55DB" w:rsidRDefault="00000000">
            <w:pPr>
              <w:spacing w:line="240" w:lineRule="auto"/>
              <w:ind w:firstLineChars="0" w:firstLine="0"/>
              <w:jc w:val="center"/>
              <w:rPr>
                <w:rFonts w:eastAsia="宋体"/>
                <w:sz w:val="21"/>
              </w:rPr>
            </w:pPr>
            <w:r>
              <w:rPr>
                <w:rFonts w:eastAsia="宋体" w:hint="eastAsia"/>
                <w:sz w:val="21"/>
              </w:rPr>
              <w:t>公众安全感（</w:t>
            </w:r>
            <w:r>
              <w:rPr>
                <w:rFonts w:eastAsia="宋体"/>
                <w:sz w:val="21"/>
              </w:rPr>
              <w:t>%</w:t>
            </w:r>
            <w:r>
              <w:rPr>
                <w:rFonts w:eastAsia="宋体" w:hint="eastAsia"/>
                <w:sz w:val="21"/>
              </w:rPr>
              <w:t>）</w:t>
            </w:r>
          </w:p>
        </w:tc>
        <w:tc>
          <w:tcPr>
            <w:tcW w:w="970" w:type="dxa"/>
            <w:vAlign w:val="center"/>
          </w:tcPr>
          <w:p w14:paraId="26312873" w14:textId="77777777" w:rsidR="00EE55DB" w:rsidRDefault="00000000">
            <w:pPr>
              <w:spacing w:line="240" w:lineRule="auto"/>
              <w:ind w:firstLineChars="0" w:firstLine="0"/>
              <w:jc w:val="center"/>
              <w:rPr>
                <w:rFonts w:eastAsia="宋体"/>
                <w:sz w:val="21"/>
              </w:rPr>
            </w:pPr>
            <w:r>
              <w:rPr>
                <w:rFonts w:eastAsia="宋体"/>
                <w:sz w:val="21"/>
              </w:rPr>
              <w:t>98.9</w:t>
            </w:r>
          </w:p>
        </w:tc>
        <w:tc>
          <w:tcPr>
            <w:tcW w:w="920" w:type="dxa"/>
            <w:vAlign w:val="center"/>
          </w:tcPr>
          <w:p w14:paraId="46E9979F" w14:textId="77777777" w:rsidR="00EE55DB" w:rsidRDefault="00000000">
            <w:pPr>
              <w:spacing w:line="240" w:lineRule="auto"/>
              <w:ind w:firstLineChars="0" w:firstLine="0"/>
              <w:jc w:val="center"/>
              <w:rPr>
                <w:rFonts w:eastAsia="宋体"/>
                <w:sz w:val="21"/>
              </w:rPr>
            </w:pPr>
            <w:r>
              <w:rPr>
                <w:rFonts w:eastAsia="宋体"/>
                <w:sz w:val="21"/>
              </w:rPr>
              <w:t>98.9</w:t>
            </w:r>
          </w:p>
        </w:tc>
        <w:tc>
          <w:tcPr>
            <w:tcW w:w="1203" w:type="dxa"/>
            <w:vAlign w:val="center"/>
          </w:tcPr>
          <w:p w14:paraId="0A6A926C" w14:textId="77777777" w:rsidR="00EE55DB" w:rsidRDefault="00000000">
            <w:pPr>
              <w:spacing w:line="240" w:lineRule="auto"/>
              <w:ind w:firstLineChars="0" w:firstLine="0"/>
              <w:jc w:val="center"/>
              <w:rPr>
                <w:rFonts w:eastAsia="宋体"/>
                <w:sz w:val="21"/>
              </w:rPr>
            </w:pPr>
            <w:r>
              <w:rPr>
                <w:rFonts w:eastAsia="宋体" w:hint="eastAsia"/>
                <w:sz w:val="21"/>
              </w:rPr>
              <w:t>持平</w:t>
            </w:r>
          </w:p>
        </w:tc>
        <w:tc>
          <w:tcPr>
            <w:tcW w:w="1080" w:type="dxa"/>
            <w:vAlign w:val="center"/>
          </w:tcPr>
          <w:p w14:paraId="357FDCAD" w14:textId="77777777" w:rsidR="00EE55DB" w:rsidRDefault="00000000">
            <w:pPr>
              <w:spacing w:line="240" w:lineRule="auto"/>
              <w:ind w:firstLineChars="0" w:firstLine="0"/>
              <w:jc w:val="center"/>
              <w:rPr>
                <w:rFonts w:eastAsia="宋体"/>
                <w:sz w:val="21"/>
              </w:rPr>
            </w:pPr>
            <w:r>
              <w:rPr>
                <w:rFonts w:eastAsia="宋体"/>
                <w:sz w:val="21"/>
              </w:rPr>
              <w:t>[0.2]</w:t>
            </w:r>
          </w:p>
        </w:tc>
        <w:tc>
          <w:tcPr>
            <w:tcW w:w="912" w:type="dxa"/>
            <w:vAlign w:val="center"/>
          </w:tcPr>
          <w:p w14:paraId="0541AF78" w14:textId="77777777" w:rsidR="00EE55DB" w:rsidRDefault="00000000">
            <w:pPr>
              <w:spacing w:line="240" w:lineRule="auto"/>
              <w:ind w:firstLineChars="0" w:firstLine="0"/>
              <w:jc w:val="center"/>
              <w:rPr>
                <w:rFonts w:eastAsia="宋体"/>
                <w:sz w:val="21"/>
              </w:rPr>
            </w:pPr>
            <w:r>
              <w:rPr>
                <w:rFonts w:eastAsia="宋体" w:hint="eastAsia"/>
                <w:sz w:val="21"/>
              </w:rPr>
              <w:t>预期性</w:t>
            </w:r>
          </w:p>
        </w:tc>
      </w:tr>
      <w:tr w:rsidR="00EE55DB" w14:paraId="74DA64F6" w14:textId="77777777">
        <w:trPr>
          <w:trHeight w:val="614"/>
          <w:jc w:val="center"/>
        </w:trPr>
        <w:tc>
          <w:tcPr>
            <w:tcW w:w="10024" w:type="dxa"/>
            <w:gridSpan w:val="7"/>
            <w:vAlign w:val="center"/>
          </w:tcPr>
          <w:p w14:paraId="32D1FFC4" w14:textId="77777777" w:rsidR="00EE55DB" w:rsidRDefault="00000000">
            <w:pPr>
              <w:spacing w:line="240" w:lineRule="auto"/>
              <w:ind w:firstLineChars="0" w:firstLine="0"/>
              <w:jc w:val="left"/>
              <w:rPr>
                <w:rFonts w:eastAsia="宋体"/>
                <w:sz w:val="21"/>
              </w:rPr>
            </w:pPr>
            <w:r>
              <w:rPr>
                <w:rFonts w:eastAsia="宋体" w:hint="eastAsia"/>
                <w:sz w:val="21"/>
              </w:rPr>
              <w:t>备注：</w:t>
            </w:r>
            <w:r>
              <w:rPr>
                <w:rFonts w:eastAsia="宋体"/>
                <w:sz w:val="21"/>
              </w:rPr>
              <w:t>1.2020</w:t>
            </w:r>
            <w:r>
              <w:rPr>
                <w:rFonts w:eastAsia="宋体" w:hint="eastAsia"/>
                <w:sz w:val="21"/>
              </w:rPr>
              <w:t>年指标均为预期值。</w:t>
            </w:r>
          </w:p>
          <w:p w14:paraId="3D4DC052" w14:textId="77777777" w:rsidR="00EE55DB" w:rsidRDefault="00000000">
            <w:pPr>
              <w:spacing w:line="240" w:lineRule="auto"/>
              <w:ind w:firstLineChars="300" w:firstLine="630"/>
              <w:jc w:val="left"/>
              <w:rPr>
                <w:rFonts w:eastAsia="宋体"/>
                <w:sz w:val="21"/>
              </w:rPr>
            </w:pPr>
            <w:r>
              <w:rPr>
                <w:rFonts w:eastAsia="宋体"/>
                <w:sz w:val="21"/>
              </w:rPr>
              <w:t>2.[ ]</w:t>
            </w:r>
            <w:r>
              <w:rPr>
                <w:rFonts w:eastAsia="宋体" w:hint="eastAsia"/>
                <w:sz w:val="21"/>
              </w:rPr>
              <w:t>内为五年累计提高或下降数；</w:t>
            </w:r>
          </w:p>
          <w:p w14:paraId="6AD7D384" w14:textId="77777777" w:rsidR="00EE55DB" w:rsidRDefault="00000000">
            <w:pPr>
              <w:spacing w:line="240" w:lineRule="auto"/>
              <w:ind w:firstLineChars="300" w:firstLine="630"/>
              <w:rPr>
                <w:rFonts w:eastAsia="宋体"/>
                <w:sz w:val="21"/>
              </w:rPr>
            </w:pPr>
            <w:r>
              <w:rPr>
                <w:rFonts w:eastAsia="宋体"/>
                <w:sz w:val="21"/>
              </w:rPr>
              <w:t>3.</w:t>
            </w:r>
            <w:r>
              <w:rPr>
                <w:rFonts w:eastAsia="宋体" w:hint="eastAsia"/>
                <w:sz w:val="21"/>
              </w:rPr>
              <w:t>约束性指标具体数值按省下达的任务执行。</w:t>
            </w:r>
          </w:p>
        </w:tc>
      </w:tr>
    </w:tbl>
    <w:p w14:paraId="796034DD" w14:textId="77777777" w:rsidR="00EE55DB" w:rsidRDefault="00EE55DB">
      <w:pPr>
        <w:pStyle w:val="af0"/>
        <w:ind w:firstLineChars="0" w:firstLine="0"/>
      </w:pPr>
    </w:p>
    <w:p w14:paraId="7AD8FA18" w14:textId="77777777" w:rsidR="00EE55DB" w:rsidRDefault="00000000">
      <w:pPr>
        <w:ind w:firstLine="640"/>
      </w:pPr>
      <w:r>
        <w:br w:type="page"/>
      </w:r>
    </w:p>
    <w:p w14:paraId="70FF55A4" w14:textId="77777777" w:rsidR="00EE55DB" w:rsidRDefault="00000000">
      <w:pPr>
        <w:pStyle w:val="1"/>
        <w:spacing w:before="156" w:after="156"/>
      </w:pPr>
      <w:bookmarkStart w:id="15" w:name="_Toc25329"/>
      <w:r>
        <w:rPr>
          <w:rFonts w:hint="eastAsia"/>
        </w:rPr>
        <w:lastRenderedPageBreak/>
        <w:t>第二章</w:t>
      </w:r>
      <w:r>
        <w:t xml:space="preserve"> </w:t>
      </w:r>
      <w:r>
        <w:rPr>
          <w:rFonts w:hint="eastAsia"/>
        </w:rPr>
        <w:t>深入实施创新驱动战略，培育高质量发展新动能</w:t>
      </w:r>
      <w:bookmarkEnd w:id="15"/>
    </w:p>
    <w:p w14:paraId="0E855637"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以建立赣江新区国家级双创示范基地为契机，深入实施创新驱动发展战略，全面推动创新型永修试点建设，着力推动创新要素聚集、创新平台建设、创新环境优化，加快建立以企业为主体、市场为导向、产学研用深度融合的现代创新体系，</w:t>
      </w:r>
      <w:hyperlink r:id="rId13" w:anchor="_Toc439076613" w:history="1">
        <w:r>
          <w:rPr>
            <w:rFonts w:ascii="仿宋_GB2312" w:eastAsia="仿宋_GB2312" w:hAnsi="仿宋_GB2312" w:cs="仿宋_GB2312" w:hint="eastAsia"/>
            <w:szCs w:val="32"/>
          </w:rPr>
          <w:t>点燃永修高质量</w:t>
        </w:r>
      </w:hyperlink>
      <w:r>
        <w:rPr>
          <w:rFonts w:ascii="仿宋_GB2312" w:eastAsia="仿宋_GB2312" w:hAnsi="仿宋_GB2312" w:cs="仿宋_GB2312" w:hint="eastAsia"/>
          <w:szCs w:val="32"/>
        </w:rPr>
        <w:t>发展新引擎。</w:t>
      </w:r>
    </w:p>
    <w:p w14:paraId="2C49232B" w14:textId="77777777" w:rsidR="00EE55DB" w:rsidRDefault="00000000">
      <w:pPr>
        <w:pStyle w:val="2"/>
        <w:spacing w:before="156" w:after="156"/>
      </w:pPr>
      <w:bookmarkStart w:id="16" w:name="_Toc12868"/>
      <w:r>
        <w:rPr>
          <w:rFonts w:hint="eastAsia"/>
        </w:rPr>
        <w:t>第一节</w:t>
      </w:r>
      <w:r>
        <w:t xml:space="preserve"> </w:t>
      </w:r>
      <w:r>
        <w:rPr>
          <w:rFonts w:hint="eastAsia"/>
        </w:rPr>
        <w:t>引进和培育高素质人才</w:t>
      </w:r>
      <w:bookmarkEnd w:id="16"/>
    </w:p>
    <w:p w14:paraId="0CD70263"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优化人才引育。</w:t>
      </w:r>
      <w:r>
        <w:rPr>
          <w:rFonts w:ascii="仿宋_GB2312" w:eastAsia="仿宋_GB2312" w:hAnsi="仿宋_GB2312" w:cs="仿宋_GB2312" w:hint="eastAsia"/>
          <w:bCs/>
          <w:szCs w:val="32"/>
        </w:rPr>
        <w:t>深入实施人才强县战略，继续发挥“绿色通道”作用，积极引进科技领军人才、企业家人才、高技能人才以及海外高层次人才等，吸引高层次国内专家、海外智力来永修开展科技研发、技术创新、项目合作等创新创业活动，加大学科带头人、技术领军人才和科技创新团队的引进和培养力度。实施优秀青年人才储备计划，组织开展线上线下、对外合作交流、校企合作等多形式多样式的招才引智品牌服务活动，构建高端创新人才与产业技能人才多元支撑的人才体系。加大引进高端研发团队力度，依托江西省有机</w:t>
      </w:r>
      <w:proofErr w:type="gramStart"/>
      <w:r>
        <w:rPr>
          <w:rFonts w:ascii="仿宋_GB2312" w:eastAsia="仿宋_GB2312" w:hAnsi="仿宋_GB2312" w:cs="仿宋_GB2312" w:hint="eastAsia"/>
          <w:bCs/>
          <w:szCs w:val="32"/>
        </w:rPr>
        <w:t>硅创新</w:t>
      </w:r>
      <w:proofErr w:type="gramEnd"/>
      <w:r>
        <w:rPr>
          <w:rFonts w:ascii="仿宋_GB2312" w:eastAsia="仿宋_GB2312" w:hAnsi="仿宋_GB2312" w:cs="仿宋_GB2312" w:hint="eastAsia"/>
          <w:bCs/>
          <w:szCs w:val="32"/>
        </w:rPr>
        <w:t>研究院有限公司，建立有机硅下游产品开发实习基地和博士后工作站。</w:t>
      </w:r>
    </w:p>
    <w:p w14:paraId="2F835AAB"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创新人才培育。</w:t>
      </w:r>
      <w:r>
        <w:rPr>
          <w:rFonts w:ascii="仿宋_GB2312" w:eastAsia="仿宋_GB2312" w:hAnsi="仿宋_GB2312" w:cs="仿宋_GB2312" w:hint="eastAsia"/>
          <w:szCs w:val="32"/>
        </w:rPr>
        <w:t>充分发挥永修创新平台、创新载体的支撑作用，大力培育本土</w:t>
      </w:r>
      <w:r>
        <w:rPr>
          <w:rFonts w:ascii="仿宋_GB2312" w:eastAsia="仿宋_GB2312" w:hAnsi="仿宋_GB2312" w:cs="仿宋_GB2312" w:hint="eastAsia"/>
          <w:bCs/>
          <w:szCs w:val="32"/>
        </w:rPr>
        <w:t>创新领军人才。健全完善高端人才政</w:t>
      </w:r>
      <w:r>
        <w:rPr>
          <w:rFonts w:ascii="仿宋_GB2312" w:eastAsia="仿宋_GB2312" w:hAnsi="仿宋_GB2312" w:cs="仿宋_GB2312" w:hint="eastAsia"/>
          <w:bCs/>
          <w:szCs w:val="32"/>
        </w:rPr>
        <w:lastRenderedPageBreak/>
        <w:t>策体系，进一步明确政策扶持导向，突出政策扶持重点，提高政策扶持标准，为高端人才引进、培养、使用提供有力政策支持。促进产科教融合，加强永修职业学校开展校企务实合作，加快培育职业技能人才。为人才提供优质高效的“保姆式”“店小二式”服务，为高端人才提供“一对一”“定制化”服务；落实高层次人才在医疗、社保等方面的待遇，着力解决好引进的重点高层次人才的配偶就业和子女入学等问题，加快形成更具竞争力的人才集聚制度。</w:t>
      </w:r>
    </w:p>
    <w:p w14:paraId="5D3A2FA1" w14:textId="77777777" w:rsidR="00EE55DB" w:rsidRDefault="00000000">
      <w:pPr>
        <w:ind w:firstLine="640"/>
        <w:rPr>
          <w:rFonts w:ascii="仿宋_GB2312" w:eastAsia="仿宋_GB2312" w:hAnsi="仿宋_GB2312" w:cs="仿宋_GB2312"/>
          <w:bCs/>
          <w:szCs w:val="32"/>
        </w:rPr>
      </w:pPr>
      <w:r>
        <w:rPr>
          <w:rFonts w:ascii="仿宋_GB2312" w:eastAsia="仿宋_GB2312" w:hAnsi="仿宋_GB2312" w:cs="仿宋_GB2312" w:hint="eastAsia"/>
          <w:b/>
          <w:szCs w:val="32"/>
        </w:rPr>
        <w:t>营造人才发展良好环境。</w:t>
      </w:r>
      <w:r>
        <w:rPr>
          <w:rFonts w:ascii="仿宋_GB2312" w:eastAsia="仿宋_GB2312" w:hAnsi="仿宋_GB2312" w:cs="仿宋_GB2312" w:hint="eastAsia"/>
          <w:bCs/>
          <w:szCs w:val="32"/>
        </w:rPr>
        <w:t>创新人才评价制度，健全人才服务和管理体系，建立健全符合各类人才特点、促进各类人才发展的用人机制、评价机制、激励机制、保障机制等人才开发制度体系，推行“人才</w:t>
      </w:r>
      <w:r>
        <w:rPr>
          <w:rFonts w:ascii="仿宋_GB2312" w:eastAsia="仿宋_GB2312" w:hAnsi="仿宋_GB2312" w:cs="仿宋_GB2312"/>
          <w:bCs/>
          <w:szCs w:val="32"/>
        </w:rPr>
        <w:t>+</w:t>
      </w:r>
      <w:r>
        <w:rPr>
          <w:rFonts w:ascii="仿宋_GB2312" w:eastAsia="仿宋_GB2312" w:hAnsi="仿宋_GB2312" w:cs="仿宋_GB2312" w:hint="eastAsia"/>
          <w:bCs/>
          <w:szCs w:val="32"/>
        </w:rPr>
        <w:t>项目”培养模式，推动人才项目产业化，推动人才优势向科技优势和产业优势转化，营造自由流动、包容开放的用人环境。提高人才服务质量，推行“保姆式”“店小二式”服务，高端人才实行“一对一”“定制化”服务；创新人才激励机制，提高人才智力和创造性劳动分配比例，努力营造人才创业就业的良好环境，形成人才合理有序流动的良性循环，争创省级服务支持人才创新创业示范基地建设。</w:t>
      </w:r>
    </w:p>
    <w:p w14:paraId="1C4227B4" w14:textId="77777777" w:rsidR="00EE55DB" w:rsidRDefault="00EE55DB">
      <w:pPr>
        <w:pStyle w:val="a0"/>
        <w:ind w:firstLine="640"/>
        <w:rPr>
          <w:rFonts w:ascii="仿宋_GB2312" w:eastAsia="仿宋_GB2312" w:hAnsi="仿宋_GB2312" w:cs="仿宋_GB2312"/>
          <w:bCs/>
          <w:szCs w:val="32"/>
        </w:rPr>
      </w:pPr>
    </w:p>
    <w:p w14:paraId="30F9F3AA" w14:textId="77777777" w:rsidR="00EE55DB" w:rsidRDefault="00EE55DB">
      <w:pPr>
        <w:ind w:firstLine="640"/>
        <w:rPr>
          <w:rFonts w:ascii="仿宋_GB2312" w:eastAsia="仿宋_GB2312" w:hAnsi="仿宋_GB2312" w:cs="仿宋_GB2312"/>
          <w:bCs/>
          <w:szCs w:val="32"/>
        </w:rPr>
      </w:pPr>
    </w:p>
    <w:p w14:paraId="0005A158" w14:textId="77777777" w:rsidR="00EE55DB" w:rsidRDefault="00EE55DB">
      <w:pPr>
        <w:pStyle w:val="a0"/>
        <w:ind w:firstLine="640"/>
      </w:pP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7"/>
      </w:tblGrid>
      <w:tr w:rsidR="00EE55DB" w14:paraId="17461E2B" w14:textId="77777777">
        <w:trPr>
          <w:jc w:val="center"/>
        </w:trPr>
        <w:tc>
          <w:tcPr>
            <w:tcW w:w="8267" w:type="dxa"/>
          </w:tcPr>
          <w:p w14:paraId="730B659D" w14:textId="77777777" w:rsidR="00EE55DB" w:rsidRDefault="00000000">
            <w:pPr>
              <w:pStyle w:val="21"/>
              <w:ind w:firstLineChars="0" w:firstLine="0"/>
              <w:jc w:val="center"/>
              <w:rPr>
                <w:rFonts w:cs="黑体"/>
              </w:rPr>
            </w:pPr>
            <w:r>
              <w:rPr>
                <w:rFonts w:cs="黑体" w:hint="eastAsia"/>
                <w:b/>
                <w:bCs/>
              </w:rPr>
              <w:lastRenderedPageBreak/>
              <w:t>专栏</w:t>
            </w:r>
            <w:r>
              <w:rPr>
                <w:rFonts w:cs="黑体"/>
                <w:b/>
                <w:bCs/>
              </w:rPr>
              <w:t xml:space="preserve">1  </w:t>
            </w:r>
            <w:r>
              <w:rPr>
                <w:rFonts w:cs="黑体" w:hint="eastAsia"/>
                <w:b/>
                <w:bCs/>
              </w:rPr>
              <w:t>重点人才引进和培养工程</w:t>
            </w:r>
          </w:p>
        </w:tc>
      </w:tr>
      <w:tr w:rsidR="00EE55DB" w14:paraId="477F177B" w14:textId="77777777">
        <w:trPr>
          <w:jc w:val="center"/>
        </w:trPr>
        <w:tc>
          <w:tcPr>
            <w:tcW w:w="8267" w:type="dxa"/>
          </w:tcPr>
          <w:p w14:paraId="780008B2" w14:textId="77777777" w:rsidR="00EE55DB" w:rsidRDefault="00000000">
            <w:pPr>
              <w:pStyle w:val="21"/>
              <w:ind w:firstLine="482"/>
              <w:rPr>
                <w:rFonts w:cs="黑体"/>
                <w:b/>
                <w:bCs/>
              </w:rPr>
            </w:pPr>
            <w:r>
              <w:rPr>
                <w:rFonts w:cs="黑体" w:hint="eastAsia"/>
                <w:b/>
                <w:bCs/>
              </w:rPr>
              <w:t>（一）高层次研发人才队伍建设工程</w:t>
            </w:r>
          </w:p>
          <w:p w14:paraId="345A93E5" w14:textId="77777777" w:rsidR="00EE55DB" w:rsidRDefault="00000000">
            <w:pPr>
              <w:pStyle w:val="21"/>
              <w:ind w:firstLine="480"/>
              <w:rPr>
                <w:rFonts w:cs="黑体"/>
              </w:rPr>
            </w:pPr>
            <w:r>
              <w:rPr>
                <w:rFonts w:cs="仿宋_GB2312" w:hint="eastAsia"/>
                <w:color w:val="000000"/>
                <w:szCs w:val="32"/>
              </w:rPr>
              <w:t>突出“政策引才、平台用才、环境留才”三个重点环节，着力引进一批急需紧缺高层次专业技术人才及团队。力争到</w:t>
            </w:r>
            <w:r>
              <w:rPr>
                <w:rFonts w:cs="仿宋_GB2312"/>
                <w:color w:val="000000"/>
                <w:szCs w:val="32"/>
              </w:rPr>
              <w:t>2025</w:t>
            </w:r>
            <w:r>
              <w:rPr>
                <w:rFonts w:cs="仿宋_GB2312" w:hint="eastAsia"/>
                <w:color w:val="000000"/>
                <w:szCs w:val="32"/>
              </w:rPr>
              <w:t>年在省级优势创新团队和省级学科学术带头人上实现突破。</w:t>
            </w:r>
          </w:p>
          <w:p w14:paraId="11E87C28" w14:textId="77777777" w:rsidR="00EE55DB" w:rsidRDefault="00000000">
            <w:pPr>
              <w:pStyle w:val="21"/>
              <w:ind w:firstLine="482"/>
              <w:rPr>
                <w:rFonts w:cs="黑体"/>
                <w:b/>
                <w:bCs/>
              </w:rPr>
            </w:pPr>
            <w:r>
              <w:rPr>
                <w:rFonts w:cs="黑体" w:hint="eastAsia"/>
                <w:b/>
                <w:bCs/>
              </w:rPr>
              <w:t>（二）产业技术人才队伍建设工程</w:t>
            </w:r>
          </w:p>
          <w:p w14:paraId="1EEFB458" w14:textId="77777777" w:rsidR="00EE55DB" w:rsidRDefault="00000000">
            <w:pPr>
              <w:pStyle w:val="21"/>
              <w:ind w:firstLine="480"/>
              <w:rPr>
                <w:rFonts w:cs="黑体"/>
              </w:rPr>
            </w:pPr>
            <w:r>
              <w:rPr>
                <w:rFonts w:cs="黑体" w:hint="eastAsia"/>
              </w:rPr>
              <w:t>进一步落实九江市“</w:t>
            </w:r>
            <w:proofErr w:type="gramStart"/>
            <w:r>
              <w:rPr>
                <w:rFonts w:cs="黑体" w:hint="eastAsia"/>
              </w:rPr>
              <w:t>浔</w:t>
            </w:r>
            <w:proofErr w:type="gramEnd"/>
            <w:r>
              <w:rPr>
                <w:rFonts w:cs="黑体" w:hint="eastAsia"/>
              </w:rPr>
              <w:t>才</w:t>
            </w:r>
            <w:proofErr w:type="gramStart"/>
            <w:r>
              <w:rPr>
                <w:rFonts w:cs="黑体" w:hint="eastAsia"/>
              </w:rPr>
              <w:t>浔</w:t>
            </w:r>
            <w:proofErr w:type="gramEnd"/>
            <w:r>
              <w:rPr>
                <w:rFonts w:cs="黑体" w:hint="eastAsia"/>
              </w:rPr>
              <w:t>商回家”计划，</w:t>
            </w:r>
            <w:r>
              <w:rPr>
                <w:rFonts w:cs="仿宋_GB2312" w:hint="eastAsia"/>
                <w:color w:val="000000"/>
                <w:szCs w:val="32"/>
              </w:rPr>
              <w:t>依托赣江新区“大国工匠”项目、职教园区等科教园区，在有机硅、绿色建材、高端装备、电子信息等领域培育产业技术人才。</w:t>
            </w:r>
          </w:p>
          <w:p w14:paraId="6CE65514" w14:textId="77777777" w:rsidR="00EE55DB" w:rsidRDefault="00000000">
            <w:pPr>
              <w:pStyle w:val="21"/>
              <w:ind w:firstLine="482"/>
              <w:rPr>
                <w:rFonts w:cs="黑体"/>
                <w:b/>
                <w:bCs/>
              </w:rPr>
            </w:pPr>
            <w:r>
              <w:rPr>
                <w:rFonts w:cs="黑体" w:hint="eastAsia"/>
                <w:b/>
                <w:bCs/>
              </w:rPr>
              <w:t>（三）乡土技能人才和专业人才回乡工程</w:t>
            </w:r>
          </w:p>
          <w:p w14:paraId="5B5ADA8C" w14:textId="77777777" w:rsidR="00EE55DB" w:rsidRDefault="00000000">
            <w:pPr>
              <w:pStyle w:val="21"/>
              <w:ind w:firstLine="480"/>
              <w:rPr>
                <w:rFonts w:cs="黑体"/>
                <w:b/>
                <w:bCs/>
              </w:rPr>
            </w:pPr>
            <w:r>
              <w:rPr>
                <w:rFonts w:cs="黑体" w:hint="eastAsia"/>
                <w:lang w:val="zh-TW" w:eastAsia="zh-TW"/>
              </w:rPr>
              <w:t>立足本土，着眼基层，将具备一技之长，能为当地经济社会发展作出贡献的实用人才全面纳入乡村人才开发的范围，发展一批“土专家”“田秀才”，扶持一批农业职业经理人、经纪人</w:t>
            </w:r>
            <w:r>
              <w:rPr>
                <w:rFonts w:cs="黑体" w:hint="eastAsia"/>
                <w:lang w:val="zh-TW"/>
              </w:rPr>
              <w:t>。</w:t>
            </w:r>
            <w:r>
              <w:rPr>
                <w:rFonts w:cs="仿宋_GB2312" w:hint="eastAsia"/>
                <w:color w:val="000000"/>
                <w:szCs w:val="32"/>
              </w:rPr>
              <w:t>到</w:t>
            </w:r>
            <w:r>
              <w:rPr>
                <w:rFonts w:cs="仿宋_GB2312"/>
                <w:color w:val="000000"/>
                <w:szCs w:val="32"/>
              </w:rPr>
              <w:t>2025</w:t>
            </w:r>
            <w:r>
              <w:rPr>
                <w:rFonts w:cs="仿宋_GB2312" w:hint="eastAsia"/>
                <w:color w:val="000000"/>
                <w:szCs w:val="32"/>
              </w:rPr>
              <w:t>年，力争实现乡土技能人才行政村全覆盖。</w:t>
            </w:r>
          </w:p>
        </w:tc>
      </w:tr>
    </w:tbl>
    <w:p w14:paraId="71B4B5BA" w14:textId="77777777" w:rsidR="00EE55DB" w:rsidRDefault="00000000">
      <w:pPr>
        <w:pStyle w:val="2"/>
        <w:spacing w:before="156" w:after="156"/>
      </w:pPr>
      <w:bookmarkStart w:id="17" w:name="_Toc2072"/>
      <w:r>
        <w:rPr>
          <w:rFonts w:hint="eastAsia"/>
        </w:rPr>
        <w:t>第二节</w:t>
      </w:r>
      <w:r>
        <w:t xml:space="preserve"> </w:t>
      </w:r>
      <w:r>
        <w:rPr>
          <w:rFonts w:hint="eastAsia"/>
        </w:rPr>
        <w:t>加强自主创新能力建设</w:t>
      </w:r>
      <w:bookmarkEnd w:id="17"/>
    </w:p>
    <w:p w14:paraId="3CAC9DED"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强化企业创新主体地位。</w:t>
      </w:r>
      <w:r>
        <w:rPr>
          <w:rFonts w:ascii="仿宋_GB2312" w:eastAsia="仿宋_GB2312" w:hAnsi="仿宋_GB2312" w:cs="仿宋_GB2312" w:hint="eastAsia"/>
          <w:szCs w:val="32"/>
        </w:rPr>
        <w:t>聚焦永修首位产业、主导产业、新兴产业领域，鼓励企业加大研发投入，开展科技创新。加快培育创新龙头企业、高新技术企业和科技型中小企业，大力支持企业建立工程技术中心、企业研发中心等研发机构。引导和支持创新要素向企业集聚，强化企业自主创新的激励机制，对企业创新投入给予更多支持，尽快在永修形成一批推动产业高质量发展的创新型企业群体。加大对成长性、创新性较强的中小企业培育力度，培育一批具有核心竞争力的企业，打造亿级企业方阵，新增一批“独角兽”“瞪羚”和高新技术企业，形成以重大项目为支撑，大、中、小企业协</w:t>
      </w:r>
      <w:r>
        <w:rPr>
          <w:rFonts w:ascii="仿宋_GB2312" w:eastAsia="仿宋_GB2312" w:hAnsi="仿宋_GB2312" w:cs="仿宋_GB2312" w:hint="eastAsia"/>
          <w:szCs w:val="32"/>
        </w:rPr>
        <w:lastRenderedPageBreak/>
        <w:t>同发展的生动局面。构建科技企业“微成长、小升高、高壮大”的梯次培育，建立覆盖企业从初创、成长到壮大、上市各个发展阶段的支持体系。力争“十四五”期间，</w:t>
      </w:r>
      <w:r>
        <w:rPr>
          <w:rFonts w:ascii="仿宋_GB2312" w:eastAsia="仿宋_GB2312" w:hAnsi="仿宋_GB2312" w:cs="仿宋_GB2312" w:hint="eastAsia"/>
          <w:bCs/>
          <w:color w:val="000000"/>
          <w:szCs w:val="32"/>
        </w:rPr>
        <w:t>每年新增省级企业技术中心或工程中心</w:t>
      </w:r>
      <w:r>
        <w:rPr>
          <w:rFonts w:ascii="仿宋_GB2312" w:eastAsia="仿宋_GB2312" w:hAnsi="仿宋_GB2312" w:cs="仿宋_GB2312"/>
          <w:bCs/>
          <w:color w:val="000000"/>
          <w:szCs w:val="32"/>
        </w:rPr>
        <w:t>1</w:t>
      </w:r>
      <w:r>
        <w:rPr>
          <w:rFonts w:ascii="仿宋_GB2312" w:eastAsia="仿宋_GB2312" w:hAnsi="仿宋_GB2312" w:cs="仿宋_GB2312" w:hint="eastAsia"/>
          <w:bCs/>
          <w:color w:val="000000"/>
          <w:szCs w:val="32"/>
        </w:rPr>
        <w:t>户、市级企业技术中心或工程中心</w:t>
      </w:r>
      <w:r>
        <w:rPr>
          <w:rFonts w:ascii="仿宋_GB2312" w:eastAsia="仿宋_GB2312" w:hAnsi="仿宋_GB2312" w:cs="仿宋_GB2312"/>
          <w:bCs/>
          <w:color w:val="000000"/>
          <w:szCs w:val="32"/>
        </w:rPr>
        <w:t>2</w:t>
      </w:r>
      <w:r>
        <w:rPr>
          <w:rFonts w:ascii="仿宋_GB2312" w:eastAsia="仿宋_GB2312" w:hAnsi="仿宋_GB2312" w:cs="仿宋_GB2312" w:hint="eastAsia"/>
          <w:bCs/>
          <w:color w:val="000000"/>
          <w:szCs w:val="32"/>
        </w:rPr>
        <w:t>户以上，高新技术企业总数达</w:t>
      </w:r>
      <w:r>
        <w:rPr>
          <w:rFonts w:ascii="仿宋_GB2312" w:eastAsia="仿宋_GB2312" w:hAnsi="仿宋_GB2312" w:cs="仿宋_GB2312"/>
          <w:bCs/>
          <w:color w:val="000000"/>
          <w:szCs w:val="32"/>
        </w:rPr>
        <w:t>150</w:t>
      </w:r>
      <w:r>
        <w:rPr>
          <w:rFonts w:ascii="仿宋_GB2312" w:eastAsia="仿宋_GB2312" w:hAnsi="仿宋_GB2312" w:cs="仿宋_GB2312" w:hint="eastAsia"/>
          <w:bCs/>
          <w:color w:val="000000"/>
          <w:szCs w:val="32"/>
        </w:rPr>
        <w:t>户以上，实现</w:t>
      </w:r>
      <w:r>
        <w:rPr>
          <w:rFonts w:ascii="仿宋_GB2312" w:eastAsia="仿宋_GB2312" w:hAnsi="仿宋_GB2312" w:cs="仿宋_GB2312"/>
          <w:bCs/>
          <w:color w:val="000000"/>
          <w:szCs w:val="32"/>
        </w:rPr>
        <w:t>1</w:t>
      </w:r>
      <w:r>
        <w:rPr>
          <w:rFonts w:ascii="仿宋_GB2312" w:eastAsia="仿宋_GB2312" w:hAnsi="仿宋_GB2312" w:cs="仿宋_GB2312" w:hint="eastAsia"/>
          <w:bCs/>
          <w:color w:val="000000"/>
          <w:szCs w:val="32"/>
        </w:rPr>
        <w:t>平方公里</w:t>
      </w:r>
      <w:proofErr w:type="gramStart"/>
      <w:r>
        <w:rPr>
          <w:rFonts w:ascii="仿宋_GB2312" w:eastAsia="仿宋_GB2312" w:hAnsi="仿宋_GB2312" w:cs="仿宋_GB2312" w:hint="eastAsia"/>
          <w:bCs/>
          <w:color w:val="000000"/>
          <w:szCs w:val="32"/>
        </w:rPr>
        <w:t>科技园高新</w:t>
      </w:r>
      <w:proofErr w:type="gramEnd"/>
      <w:r>
        <w:rPr>
          <w:rFonts w:ascii="仿宋_GB2312" w:eastAsia="仿宋_GB2312" w:hAnsi="仿宋_GB2312" w:cs="仿宋_GB2312" w:hint="eastAsia"/>
          <w:bCs/>
          <w:color w:val="000000"/>
          <w:szCs w:val="32"/>
        </w:rPr>
        <w:t>企业“满园扩园”。</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E55DB" w14:paraId="5F5A1E5C" w14:textId="77777777">
        <w:tc>
          <w:tcPr>
            <w:tcW w:w="8522" w:type="dxa"/>
          </w:tcPr>
          <w:p w14:paraId="45336297"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2  </w:t>
            </w:r>
            <w:r>
              <w:rPr>
                <w:rFonts w:cs="黑体" w:hint="eastAsia"/>
                <w:b/>
                <w:bCs/>
              </w:rPr>
              <w:t>科技创新奖励计划</w:t>
            </w:r>
          </w:p>
        </w:tc>
      </w:tr>
      <w:tr w:rsidR="00EE55DB" w14:paraId="54D32BB5" w14:textId="77777777">
        <w:tc>
          <w:tcPr>
            <w:tcW w:w="8522" w:type="dxa"/>
          </w:tcPr>
          <w:p w14:paraId="1F4B91A8" w14:textId="77777777" w:rsidR="00EE55DB" w:rsidRDefault="00000000">
            <w:pPr>
              <w:pStyle w:val="21"/>
              <w:ind w:firstLine="482"/>
              <w:rPr>
                <w:rFonts w:cs="黑体"/>
                <w:b/>
                <w:bCs/>
              </w:rPr>
            </w:pPr>
            <w:r>
              <w:rPr>
                <w:rFonts w:cs="黑体" w:hint="eastAsia"/>
                <w:b/>
                <w:bCs/>
              </w:rPr>
              <w:t>（一）企业创新奖计划</w:t>
            </w:r>
          </w:p>
          <w:p w14:paraId="311F9287" w14:textId="77777777" w:rsidR="00EE55DB" w:rsidRDefault="00000000">
            <w:pPr>
              <w:pStyle w:val="21"/>
              <w:ind w:firstLine="480"/>
              <w:rPr>
                <w:rFonts w:cs="黑体"/>
              </w:rPr>
            </w:pPr>
            <w:r>
              <w:rPr>
                <w:rFonts w:cs="黑体"/>
              </w:rPr>
              <w:t>1.</w:t>
            </w:r>
            <w:r>
              <w:rPr>
                <w:rFonts w:cs="黑体" w:hint="eastAsia"/>
              </w:rPr>
              <w:t>对被认定为国家级、省级、市级“专精特新”的中小企业，分别给予</w:t>
            </w:r>
            <w:r>
              <w:rPr>
                <w:rFonts w:cs="黑体"/>
              </w:rPr>
              <w:t>10</w:t>
            </w:r>
            <w:r>
              <w:rPr>
                <w:rFonts w:cs="黑体" w:hint="eastAsia"/>
              </w:rPr>
              <w:t>万元、</w:t>
            </w:r>
            <w:r>
              <w:rPr>
                <w:rFonts w:cs="黑体"/>
              </w:rPr>
              <w:t>5</w:t>
            </w:r>
            <w:r>
              <w:rPr>
                <w:rFonts w:cs="黑体" w:hint="eastAsia"/>
              </w:rPr>
              <w:t>万元、</w:t>
            </w:r>
            <w:r>
              <w:rPr>
                <w:rFonts w:cs="黑体"/>
              </w:rPr>
              <w:t>3</w:t>
            </w:r>
            <w:r>
              <w:rPr>
                <w:rFonts w:cs="黑体" w:hint="eastAsia"/>
              </w:rPr>
              <w:t>万元一次性奖励。</w:t>
            </w:r>
          </w:p>
          <w:p w14:paraId="23451D3C" w14:textId="77777777" w:rsidR="00EE55DB" w:rsidRDefault="00000000">
            <w:pPr>
              <w:pStyle w:val="21"/>
              <w:ind w:firstLine="480"/>
              <w:rPr>
                <w:rFonts w:cs="黑体"/>
              </w:rPr>
            </w:pPr>
            <w:r>
              <w:rPr>
                <w:rFonts w:cs="黑体"/>
              </w:rPr>
              <w:t>2.</w:t>
            </w:r>
            <w:r>
              <w:rPr>
                <w:rFonts w:cs="黑体" w:hint="eastAsia"/>
              </w:rPr>
              <w:t>对企业总部和经营主体设在我县的企业，首次通过高新技术企业认定的，一次性奖励</w:t>
            </w:r>
            <w:r>
              <w:rPr>
                <w:rFonts w:cs="黑体"/>
              </w:rPr>
              <w:t>20</w:t>
            </w:r>
            <w:r>
              <w:rPr>
                <w:rFonts w:cs="黑体" w:hint="eastAsia"/>
              </w:rPr>
              <w:t>万元；复审通过高新技术企业认定的，一次性奖励</w:t>
            </w:r>
            <w:r>
              <w:rPr>
                <w:rFonts w:cs="黑体"/>
              </w:rPr>
              <w:t>5</w:t>
            </w:r>
            <w:r>
              <w:rPr>
                <w:rFonts w:cs="黑体" w:hint="eastAsia"/>
              </w:rPr>
              <w:t>万元。每通过认定</w:t>
            </w:r>
            <w:r>
              <w:rPr>
                <w:rFonts w:cs="黑体"/>
              </w:rPr>
              <w:t>1</w:t>
            </w:r>
            <w:r>
              <w:rPr>
                <w:rFonts w:cs="黑体" w:hint="eastAsia"/>
              </w:rPr>
              <w:t>家高新技术企业，给予组织单位</w:t>
            </w:r>
            <w:r>
              <w:rPr>
                <w:rFonts w:cs="黑体"/>
              </w:rPr>
              <w:t>1</w:t>
            </w:r>
            <w:r>
              <w:rPr>
                <w:rFonts w:cs="黑体" w:hint="eastAsia"/>
              </w:rPr>
              <w:t>万元奖励，同时从相关单位评选出“高企申报工作”先进个人</w:t>
            </w:r>
            <w:r>
              <w:rPr>
                <w:rFonts w:cs="黑体"/>
              </w:rPr>
              <w:t>10</w:t>
            </w:r>
            <w:r>
              <w:rPr>
                <w:rFonts w:cs="黑体" w:hint="eastAsia"/>
              </w:rPr>
              <w:t>名，每人奖励</w:t>
            </w:r>
            <w:r>
              <w:rPr>
                <w:rFonts w:cs="黑体"/>
              </w:rPr>
              <w:t>2000</w:t>
            </w:r>
            <w:r>
              <w:rPr>
                <w:rFonts w:cs="黑体" w:hint="eastAsia"/>
              </w:rPr>
              <w:t>元，所需奖金从县财政拨付的高企申报组织奖奖金中支付。</w:t>
            </w:r>
          </w:p>
          <w:p w14:paraId="2D7F589F" w14:textId="77777777" w:rsidR="00EE55DB" w:rsidRDefault="00000000">
            <w:pPr>
              <w:pStyle w:val="21"/>
              <w:ind w:firstLine="480"/>
              <w:rPr>
                <w:rFonts w:cs="黑体"/>
              </w:rPr>
            </w:pPr>
            <w:r>
              <w:rPr>
                <w:rFonts w:cs="黑体"/>
              </w:rPr>
              <w:t>3.</w:t>
            </w:r>
            <w:r>
              <w:rPr>
                <w:rFonts w:cs="黑体" w:hint="eastAsia"/>
              </w:rPr>
              <w:t>独角兽、瞪羚羊企业奖励。对新认定省级以上（包含省级）独角兽、潜在独角兽、种子独角兽、瞪</w:t>
            </w:r>
            <w:proofErr w:type="gramStart"/>
            <w:r>
              <w:rPr>
                <w:rFonts w:cs="黑体" w:hint="eastAsia"/>
              </w:rPr>
              <w:t>羚</w:t>
            </w:r>
            <w:proofErr w:type="gramEnd"/>
            <w:r>
              <w:rPr>
                <w:rFonts w:cs="黑体" w:hint="eastAsia"/>
              </w:rPr>
              <w:t>、潜在瞪</w:t>
            </w:r>
            <w:proofErr w:type="gramStart"/>
            <w:r>
              <w:rPr>
                <w:rFonts w:cs="黑体" w:hint="eastAsia"/>
              </w:rPr>
              <w:t>羚</w:t>
            </w:r>
            <w:proofErr w:type="gramEnd"/>
            <w:r>
              <w:rPr>
                <w:rFonts w:cs="黑体" w:hint="eastAsia"/>
              </w:rPr>
              <w:t>企业的，分别给予</w:t>
            </w:r>
            <w:r>
              <w:rPr>
                <w:rFonts w:cs="黑体"/>
              </w:rPr>
              <w:t>200</w:t>
            </w:r>
            <w:r>
              <w:rPr>
                <w:rFonts w:cs="黑体" w:hint="eastAsia"/>
              </w:rPr>
              <w:t>万元、</w:t>
            </w:r>
            <w:r>
              <w:rPr>
                <w:rFonts w:cs="黑体"/>
              </w:rPr>
              <w:t>80</w:t>
            </w:r>
            <w:r>
              <w:rPr>
                <w:rFonts w:cs="黑体" w:hint="eastAsia"/>
              </w:rPr>
              <w:t>万元、</w:t>
            </w:r>
            <w:r>
              <w:rPr>
                <w:rFonts w:cs="黑体"/>
              </w:rPr>
              <w:t>40</w:t>
            </w:r>
            <w:r>
              <w:rPr>
                <w:rFonts w:cs="黑体" w:hint="eastAsia"/>
              </w:rPr>
              <w:t>万元、</w:t>
            </w:r>
            <w:r>
              <w:rPr>
                <w:rFonts w:cs="黑体"/>
              </w:rPr>
              <w:t>20</w:t>
            </w:r>
            <w:r>
              <w:rPr>
                <w:rFonts w:cs="黑体" w:hint="eastAsia"/>
              </w:rPr>
              <w:t>万元和</w:t>
            </w:r>
            <w:r>
              <w:rPr>
                <w:rFonts w:cs="黑体"/>
              </w:rPr>
              <w:t>10</w:t>
            </w:r>
            <w:r>
              <w:rPr>
                <w:rFonts w:cs="黑体" w:hint="eastAsia"/>
              </w:rPr>
              <w:t>万元一次性奖励。</w:t>
            </w:r>
          </w:p>
          <w:p w14:paraId="09778CBA" w14:textId="77777777" w:rsidR="00EE55DB" w:rsidRDefault="00000000">
            <w:pPr>
              <w:pStyle w:val="21"/>
              <w:ind w:firstLine="480"/>
              <w:rPr>
                <w:rFonts w:cs="黑体"/>
              </w:rPr>
            </w:pPr>
            <w:r>
              <w:rPr>
                <w:rFonts w:cs="黑体"/>
              </w:rPr>
              <w:t>4.</w:t>
            </w:r>
            <w:r>
              <w:rPr>
                <w:rFonts w:cs="黑体" w:hint="eastAsia"/>
              </w:rPr>
              <w:t>对新认定为国家级、省级、市级科技企业孵化器的，分别给予</w:t>
            </w:r>
            <w:r>
              <w:rPr>
                <w:rFonts w:cs="黑体"/>
              </w:rPr>
              <w:t>50</w:t>
            </w:r>
            <w:r>
              <w:rPr>
                <w:rFonts w:cs="黑体" w:hint="eastAsia"/>
              </w:rPr>
              <w:t>万元、</w:t>
            </w:r>
            <w:r>
              <w:rPr>
                <w:rFonts w:cs="黑体"/>
              </w:rPr>
              <w:t>10</w:t>
            </w:r>
            <w:r>
              <w:rPr>
                <w:rFonts w:cs="黑体" w:hint="eastAsia"/>
              </w:rPr>
              <w:t>万元、</w:t>
            </w:r>
            <w:r>
              <w:rPr>
                <w:rFonts w:cs="黑体"/>
              </w:rPr>
              <w:t>3</w:t>
            </w:r>
            <w:r>
              <w:rPr>
                <w:rFonts w:cs="黑体" w:hint="eastAsia"/>
              </w:rPr>
              <w:t>万元的一次性奖励；对新认定为国家级、省级、市级</w:t>
            </w:r>
            <w:proofErr w:type="gramStart"/>
            <w:r>
              <w:rPr>
                <w:rFonts w:cs="黑体" w:hint="eastAsia"/>
              </w:rPr>
              <w:t>众创空间</w:t>
            </w:r>
            <w:proofErr w:type="gramEnd"/>
            <w:r>
              <w:rPr>
                <w:rFonts w:cs="黑体"/>
              </w:rPr>
              <w:t>(</w:t>
            </w:r>
            <w:proofErr w:type="gramStart"/>
            <w:r>
              <w:rPr>
                <w:rFonts w:cs="黑体" w:hint="eastAsia"/>
              </w:rPr>
              <w:t>或星创天地</w:t>
            </w:r>
            <w:proofErr w:type="gramEnd"/>
            <w:r>
              <w:rPr>
                <w:rFonts w:cs="黑体"/>
              </w:rPr>
              <w:t>)</w:t>
            </w:r>
            <w:r>
              <w:rPr>
                <w:rFonts w:cs="黑体" w:hint="eastAsia"/>
              </w:rPr>
              <w:t>的，分别给予</w:t>
            </w:r>
            <w:r>
              <w:rPr>
                <w:rFonts w:cs="黑体"/>
              </w:rPr>
              <w:t>20</w:t>
            </w:r>
            <w:r>
              <w:rPr>
                <w:rFonts w:cs="黑体" w:hint="eastAsia"/>
              </w:rPr>
              <w:t>万元、</w:t>
            </w:r>
            <w:r>
              <w:rPr>
                <w:rFonts w:cs="黑体"/>
              </w:rPr>
              <w:t>5</w:t>
            </w:r>
            <w:r>
              <w:rPr>
                <w:rFonts w:cs="黑体" w:hint="eastAsia"/>
              </w:rPr>
              <w:t>万元、</w:t>
            </w:r>
            <w:r>
              <w:rPr>
                <w:rFonts w:cs="黑体"/>
              </w:rPr>
              <w:t>2</w:t>
            </w:r>
            <w:r>
              <w:rPr>
                <w:rFonts w:cs="黑体" w:hint="eastAsia"/>
              </w:rPr>
              <w:t>万元的一次性奖励；对新认定为国家级、省级、市级工程技术中心、企业技术中心的，分别给予</w:t>
            </w:r>
            <w:r>
              <w:rPr>
                <w:rFonts w:cs="黑体"/>
              </w:rPr>
              <w:t>20</w:t>
            </w:r>
            <w:r>
              <w:rPr>
                <w:rFonts w:cs="黑体" w:hint="eastAsia"/>
              </w:rPr>
              <w:t>万元、</w:t>
            </w:r>
            <w:r>
              <w:rPr>
                <w:rFonts w:cs="黑体"/>
              </w:rPr>
              <w:t>10</w:t>
            </w:r>
            <w:r>
              <w:rPr>
                <w:rFonts w:cs="黑体" w:hint="eastAsia"/>
              </w:rPr>
              <w:t>万元、</w:t>
            </w:r>
            <w:r>
              <w:rPr>
                <w:rFonts w:cs="黑体"/>
              </w:rPr>
              <w:t>5</w:t>
            </w:r>
            <w:r>
              <w:rPr>
                <w:rFonts w:cs="黑体" w:hint="eastAsia"/>
              </w:rPr>
              <w:t>万元一次性奖励。</w:t>
            </w:r>
          </w:p>
          <w:p w14:paraId="4A5E818E" w14:textId="77777777" w:rsidR="00EE55DB" w:rsidRDefault="00000000">
            <w:pPr>
              <w:pStyle w:val="21"/>
              <w:ind w:firstLine="480"/>
              <w:rPr>
                <w:rFonts w:cs="黑体"/>
              </w:rPr>
            </w:pPr>
            <w:r>
              <w:rPr>
                <w:rFonts w:cs="黑体"/>
              </w:rPr>
              <w:t>5.</w:t>
            </w:r>
            <w:r>
              <w:rPr>
                <w:rFonts w:cs="黑体" w:hint="eastAsia"/>
              </w:rPr>
              <w:t>按上一年度企业实际研发投入（以国家、省、市统计部门核定的数额为依据）的</w:t>
            </w:r>
            <w:r>
              <w:rPr>
                <w:rFonts w:cs="黑体"/>
              </w:rPr>
              <w:t>0.5%</w:t>
            </w:r>
            <w:r>
              <w:rPr>
                <w:rFonts w:cs="黑体" w:hint="eastAsia"/>
              </w:rPr>
              <w:t>予以奖补；企业实际研发投入较上一年度相比的增量部分按</w:t>
            </w:r>
            <w:r>
              <w:rPr>
                <w:rFonts w:cs="黑体"/>
              </w:rPr>
              <w:t>1%</w:t>
            </w:r>
            <w:r>
              <w:rPr>
                <w:rFonts w:cs="黑体" w:hint="eastAsia"/>
              </w:rPr>
              <w:t>予以奖补；增量达到</w:t>
            </w:r>
            <w:r>
              <w:rPr>
                <w:rFonts w:cs="黑体"/>
              </w:rPr>
              <w:t>30%</w:t>
            </w:r>
            <w:r>
              <w:rPr>
                <w:rFonts w:cs="黑体" w:hint="eastAsia"/>
              </w:rPr>
              <w:t>（含</w:t>
            </w:r>
            <w:r>
              <w:rPr>
                <w:rFonts w:cs="黑体"/>
              </w:rPr>
              <w:t>30%</w:t>
            </w:r>
            <w:r>
              <w:rPr>
                <w:rFonts w:cs="黑体" w:hint="eastAsia"/>
              </w:rPr>
              <w:t>）以上的、增量部分按</w:t>
            </w:r>
            <w:r>
              <w:rPr>
                <w:rFonts w:cs="黑体"/>
              </w:rPr>
              <w:t>2%</w:t>
            </w:r>
            <w:r>
              <w:rPr>
                <w:rFonts w:cs="黑体" w:hint="eastAsia"/>
              </w:rPr>
              <w:t>予以奖补；每家企业每年最高</w:t>
            </w:r>
            <w:proofErr w:type="gramStart"/>
            <w:r>
              <w:rPr>
                <w:rFonts w:cs="黑体" w:hint="eastAsia"/>
              </w:rPr>
              <w:t>奖补金额</w:t>
            </w:r>
            <w:proofErr w:type="gramEnd"/>
            <w:r>
              <w:rPr>
                <w:rFonts w:cs="黑体" w:hint="eastAsia"/>
              </w:rPr>
              <w:t>不超过</w:t>
            </w:r>
            <w:r>
              <w:rPr>
                <w:rFonts w:cs="黑体"/>
              </w:rPr>
              <w:t>100</w:t>
            </w:r>
            <w:r>
              <w:rPr>
                <w:rFonts w:cs="黑体" w:hint="eastAsia"/>
              </w:rPr>
              <w:t>万元。</w:t>
            </w:r>
          </w:p>
          <w:p w14:paraId="269CF117" w14:textId="77777777" w:rsidR="00EE55DB" w:rsidRDefault="00000000">
            <w:pPr>
              <w:pStyle w:val="21"/>
              <w:ind w:firstLine="480"/>
              <w:rPr>
                <w:rFonts w:cs="黑体"/>
              </w:rPr>
            </w:pPr>
            <w:r>
              <w:rPr>
                <w:rFonts w:cs="黑体"/>
              </w:rPr>
              <w:lastRenderedPageBreak/>
              <w:t>6.</w:t>
            </w:r>
            <w:r>
              <w:rPr>
                <w:rFonts w:cs="黑体" w:hint="eastAsia"/>
              </w:rPr>
              <w:t>对规模以上工业企业重大科技成果转化项目、行业共性先进关键技术项目、获得省级以上（含省级）重大科研立项的产学研项目，一次性奖励</w:t>
            </w:r>
            <w:r>
              <w:rPr>
                <w:rFonts w:cs="黑体"/>
              </w:rPr>
              <w:t>20</w:t>
            </w:r>
            <w:r>
              <w:rPr>
                <w:rFonts w:cs="黑体" w:hint="eastAsia"/>
              </w:rPr>
              <w:t>万元；对新认定的国家级、省级重点新产品，分别给予</w:t>
            </w:r>
            <w:r>
              <w:rPr>
                <w:rFonts w:cs="黑体"/>
              </w:rPr>
              <w:t>5</w:t>
            </w:r>
            <w:r>
              <w:rPr>
                <w:rFonts w:cs="黑体" w:hint="eastAsia"/>
              </w:rPr>
              <w:t>万元、</w:t>
            </w:r>
            <w:r>
              <w:rPr>
                <w:rFonts w:cs="黑体"/>
              </w:rPr>
              <w:t>3</w:t>
            </w:r>
            <w:r>
              <w:rPr>
                <w:rFonts w:cs="黑体" w:hint="eastAsia"/>
              </w:rPr>
              <w:t>万元一次性奖励。</w:t>
            </w:r>
          </w:p>
          <w:p w14:paraId="6DD9C449" w14:textId="77777777" w:rsidR="00EE55DB" w:rsidRDefault="00000000">
            <w:pPr>
              <w:pStyle w:val="21"/>
              <w:ind w:firstLine="480"/>
              <w:rPr>
                <w:rFonts w:cs="黑体"/>
              </w:rPr>
            </w:pPr>
            <w:r>
              <w:rPr>
                <w:rFonts w:cs="黑体"/>
              </w:rPr>
              <w:t>7.</w:t>
            </w:r>
            <w:r>
              <w:rPr>
                <w:rFonts w:cs="黑体" w:hint="eastAsia"/>
              </w:rPr>
              <w:t>对当年申请受理的发明专利每件奖励</w:t>
            </w:r>
            <w:r>
              <w:rPr>
                <w:rFonts w:cs="黑体"/>
              </w:rPr>
              <w:t>1000</w:t>
            </w:r>
            <w:r>
              <w:rPr>
                <w:rFonts w:cs="黑体" w:hint="eastAsia"/>
              </w:rPr>
              <w:t>元；授权后再奖励</w:t>
            </w:r>
            <w:r>
              <w:rPr>
                <w:rFonts w:cs="黑体"/>
              </w:rPr>
              <w:t>4000</w:t>
            </w:r>
            <w:r>
              <w:rPr>
                <w:rFonts w:cs="黑体" w:hint="eastAsia"/>
              </w:rPr>
              <w:t>元；在本地实现成果转化的，再奖励</w:t>
            </w:r>
            <w:r>
              <w:rPr>
                <w:rFonts w:cs="黑体"/>
              </w:rPr>
              <w:t>1</w:t>
            </w:r>
            <w:r>
              <w:rPr>
                <w:rFonts w:cs="黑体" w:hint="eastAsia"/>
              </w:rPr>
              <w:t>万元；对当年申请受理的实用新型、外观设计（或软件著作权），每件分别给予</w:t>
            </w:r>
            <w:r>
              <w:rPr>
                <w:rFonts w:cs="黑体"/>
              </w:rPr>
              <w:t>500</w:t>
            </w:r>
            <w:r>
              <w:rPr>
                <w:rFonts w:cs="黑体" w:hint="eastAsia"/>
              </w:rPr>
              <w:t>元、</w:t>
            </w:r>
            <w:r>
              <w:rPr>
                <w:rFonts w:cs="黑体"/>
              </w:rPr>
              <w:t>400</w:t>
            </w:r>
            <w:r>
              <w:rPr>
                <w:rFonts w:cs="黑体" w:hint="eastAsia"/>
              </w:rPr>
              <w:t>元奖励，授权后再分别奖励</w:t>
            </w:r>
            <w:r>
              <w:rPr>
                <w:rFonts w:cs="黑体"/>
              </w:rPr>
              <w:t>500</w:t>
            </w:r>
            <w:r>
              <w:rPr>
                <w:rFonts w:cs="黑体" w:hint="eastAsia"/>
              </w:rPr>
              <w:t>元、</w:t>
            </w:r>
            <w:r>
              <w:rPr>
                <w:rFonts w:cs="黑体"/>
              </w:rPr>
              <w:t>400</w:t>
            </w:r>
            <w:r>
              <w:rPr>
                <w:rFonts w:cs="黑体" w:hint="eastAsia"/>
              </w:rPr>
              <w:t>元。</w:t>
            </w:r>
          </w:p>
          <w:p w14:paraId="564C28EB" w14:textId="77777777" w:rsidR="00EE55DB" w:rsidRDefault="00000000">
            <w:pPr>
              <w:pStyle w:val="21"/>
              <w:ind w:firstLine="482"/>
              <w:rPr>
                <w:rFonts w:cs="黑体"/>
                <w:b/>
                <w:bCs/>
              </w:rPr>
            </w:pPr>
            <w:r>
              <w:rPr>
                <w:rFonts w:cs="黑体" w:hint="eastAsia"/>
                <w:b/>
                <w:bCs/>
              </w:rPr>
              <w:t>（二）企业创品牌奖计划</w:t>
            </w:r>
          </w:p>
          <w:p w14:paraId="42CA97B6" w14:textId="77777777" w:rsidR="00EE55DB" w:rsidRDefault="00000000">
            <w:pPr>
              <w:pStyle w:val="21"/>
              <w:ind w:firstLine="480"/>
              <w:rPr>
                <w:rFonts w:cs="黑体"/>
              </w:rPr>
            </w:pPr>
            <w:r>
              <w:rPr>
                <w:rFonts w:cs="黑体"/>
              </w:rPr>
              <w:t>1.</w:t>
            </w:r>
            <w:r>
              <w:rPr>
                <w:rFonts w:cs="黑体" w:hint="eastAsia"/>
              </w:rPr>
              <w:t>对获得中国驰名商标、省著名商标、市知名商标的企业，分别一次性奖励</w:t>
            </w:r>
            <w:r>
              <w:rPr>
                <w:rFonts w:cs="黑体"/>
              </w:rPr>
              <w:t>30</w:t>
            </w:r>
            <w:r>
              <w:rPr>
                <w:rFonts w:cs="黑体" w:hint="eastAsia"/>
              </w:rPr>
              <w:t>万元、</w:t>
            </w:r>
            <w:r>
              <w:rPr>
                <w:rFonts w:cs="黑体"/>
              </w:rPr>
              <w:t>5</w:t>
            </w:r>
            <w:r>
              <w:rPr>
                <w:rFonts w:cs="黑体" w:hint="eastAsia"/>
              </w:rPr>
              <w:t>万元、</w:t>
            </w:r>
            <w:r>
              <w:rPr>
                <w:rFonts w:cs="黑体"/>
              </w:rPr>
              <w:t>1</w:t>
            </w:r>
            <w:r>
              <w:rPr>
                <w:rFonts w:cs="黑体" w:hint="eastAsia"/>
              </w:rPr>
              <w:t>万元；对当年成功注册地理标志证明商标或集体证明商标的企业或组织，一次性奖励</w:t>
            </w:r>
            <w:r>
              <w:rPr>
                <w:rFonts w:cs="黑体"/>
              </w:rPr>
              <w:t>3</w:t>
            </w:r>
            <w:r>
              <w:rPr>
                <w:rFonts w:cs="黑体" w:hint="eastAsia"/>
              </w:rPr>
              <w:t>万元，对成功注册商标的企业或组织，一件奖励</w:t>
            </w:r>
            <w:r>
              <w:rPr>
                <w:rFonts w:cs="黑体"/>
              </w:rPr>
              <w:t>0.2</w:t>
            </w:r>
            <w:r>
              <w:rPr>
                <w:rFonts w:cs="黑体" w:hint="eastAsia"/>
              </w:rPr>
              <w:t>万元对获得江西名牌、部颁名牌产品的企业一次性奖励</w:t>
            </w:r>
            <w:r>
              <w:rPr>
                <w:rFonts w:cs="黑体"/>
              </w:rPr>
              <w:t>5</w:t>
            </w:r>
            <w:r>
              <w:rPr>
                <w:rFonts w:cs="黑体" w:hint="eastAsia"/>
              </w:rPr>
              <w:t>万元。</w:t>
            </w:r>
          </w:p>
          <w:p w14:paraId="712B00DF" w14:textId="77777777" w:rsidR="00EE55DB" w:rsidRDefault="00000000">
            <w:pPr>
              <w:pStyle w:val="21"/>
              <w:ind w:firstLine="480"/>
              <w:rPr>
                <w:rFonts w:cs="黑体"/>
              </w:rPr>
            </w:pPr>
            <w:r>
              <w:rPr>
                <w:rFonts w:cs="黑体"/>
              </w:rPr>
              <w:t>2.</w:t>
            </w:r>
            <w:r>
              <w:rPr>
                <w:rFonts w:cs="黑体" w:hint="eastAsia"/>
              </w:rPr>
              <w:t>对获得中华老字号、江西老字号、九江老字号的企业，分别一次性奖励</w:t>
            </w:r>
            <w:r>
              <w:rPr>
                <w:rFonts w:cs="黑体"/>
              </w:rPr>
              <w:t>10</w:t>
            </w:r>
            <w:r>
              <w:rPr>
                <w:rFonts w:cs="黑体" w:hint="eastAsia"/>
              </w:rPr>
              <w:t>万元、</w:t>
            </w:r>
            <w:r>
              <w:rPr>
                <w:rFonts w:cs="黑体"/>
              </w:rPr>
              <w:t>3</w:t>
            </w:r>
            <w:r>
              <w:rPr>
                <w:rFonts w:cs="黑体" w:hint="eastAsia"/>
              </w:rPr>
              <w:t>万元、</w:t>
            </w:r>
            <w:r>
              <w:rPr>
                <w:rFonts w:cs="黑体"/>
              </w:rPr>
              <w:t>1</w:t>
            </w:r>
            <w:r>
              <w:rPr>
                <w:rFonts w:cs="黑体" w:hint="eastAsia"/>
              </w:rPr>
              <w:t>万元。</w:t>
            </w:r>
          </w:p>
          <w:p w14:paraId="19CD7076" w14:textId="77777777" w:rsidR="00EE55DB" w:rsidRDefault="00000000">
            <w:pPr>
              <w:pStyle w:val="21"/>
              <w:ind w:firstLine="480"/>
              <w:rPr>
                <w:rFonts w:cs="黑体"/>
              </w:rPr>
            </w:pPr>
            <w:r>
              <w:rPr>
                <w:rFonts w:cs="黑体"/>
              </w:rPr>
              <w:t>3.</w:t>
            </w:r>
            <w:r>
              <w:rPr>
                <w:rFonts w:cs="黑体" w:hint="eastAsia"/>
              </w:rPr>
              <w:t>对获得国家、</w:t>
            </w:r>
            <w:proofErr w:type="gramStart"/>
            <w:r>
              <w:rPr>
                <w:rFonts w:cs="黑体" w:hint="eastAsia"/>
              </w:rPr>
              <w:t>省井冈</w:t>
            </w:r>
            <w:proofErr w:type="gramEnd"/>
            <w:r>
              <w:rPr>
                <w:rFonts w:cs="黑体" w:hint="eastAsia"/>
              </w:rPr>
              <w:t>、市长质量奖的企业，分别一次性奖励</w:t>
            </w:r>
            <w:r>
              <w:rPr>
                <w:rFonts w:cs="黑体"/>
              </w:rPr>
              <w:t>30</w:t>
            </w:r>
            <w:r>
              <w:rPr>
                <w:rFonts w:cs="黑体" w:hint="eastAsia"/>
              </w:rPr>
              <w:t>万元、</w:t>
            </w:r>
            <w:r>
              <w:rPr>
                <w:rFonts w:cs="黑体"/>
              </w:rPr>
              <w:t>20</w:t>
            </w:r>
            <w:r>
              <w:rPr>
                <w:rFonts w:cs="黑体" w:hint="eastAsia"/>
              </w:rPr>
              <w:t>万元、</w:t>
            </w:r>
            <w:r>
              <w:rPr>
                <w:rFonts w:cs="黑体"/>
              </w:rPr>
              <w:t>10</w:t>
            </w:r>
            <w:r>
              <w:rPr>
                <w:rFonts w:cs="黑体" w:hint="eastAsia"/>
              </w:rPr>
              <w:t>万元。</w:t>
            </w:r>
          </w:p>
          <w:p w14:paraId="796025AC" w14:textId="77777777" w:rsidR="00EE55DB" w:rsidRDefault="00000000">
            <w:pPr>
              <w:pStyle w:val="21"/>
              <w:ind w:firstLine="480"/>
              <w:rPr>
                <w:rFonts w:cs="黑体"/>
              </w:rPr>
            </w:pPr>
            <w:r>
              <w:rPr>
                <w:rFonts w:cs="黑体"/>
              </w:rPr>
              <w:t>4.</w:t>
            </w:r>
            <w:r>
              <w:rPr>
                <w:rFonts w:cs="黑体" w:hint="eastAsia"/>
              </w:rPr>
              <w:t>对获得国家、省部、市质量管理先进单位的企业，分别一次性奖励</w:t>
            </w:r>
            <w:r>
              <w:rPr>
                <w:rFonts w:cs="黑体"/>
              </w:rPr>
              <w:t>10</w:t>
            </w:r>
            <w:r>
              <w:rPr>
                <w:rFonts w:cs="黑体" w:hint="eastAsia"/>
              </w:rPr>
              <w:t>万元、</w:t>
            </w:r>
            <w:r>
              <w:rPr>
                <w:rFonts w:cs="黑体"/>
              </w:rPr>
              <w:t>5</w:t>
            </w:r>
            <w:r>
              <w:rPr>
                <w:rFonts w:cs="黑体" w:hint="eastAsia"/>
              </w:rPr>
              <w:t>万元、</w:t>
            </w:r>
            <w:r>
              <w:rPr>
                <w:rFonts w:cs="黑体"/>
              </w:rPr>
              <w:t>2</w:t>
            </w:r>
            <w:r>
              <w:rPr>
                <w:rFonts w:cs="黑体" w:hint="eastAsia"/>
              </w:rPr>
              <w:t>万元。</w:t>
            </w:r>
          </w:p>
          <w:p w14:paraId="78922A45" w14:textId="77777777" w:rsidR="00EE55DB" w:rsidRDefault="00000000">
            <w:pPr>
              <w:pStyle w:val="21"/>
              <w:ind w:firstLine="480"/>
              <w:rPr>
                <w:rFonts w:cs="黑体"/>
              </w:rPr>
            </w:pPr>
            <w:r>
              <w:rPr>
                <w:rFonts w:cs="黑体"/>
              </w:rPr>
              <w:t>5.</w:t>
            </w:r>
            <w:r>
              <w:rPr>
                <w:rFonts w:cs="黑体" w:hint="eastAsia"/>
              </w:rPr>
              <w:t>对成功获国家知识产权局批准为地理标志保护产品的承办企业或组织，一次性奖励</w:t>
            </w:r>
            <w:r>
              <w:rPr>
                <w:rFonts w:cs="黑体"/>
              </w:rPr>
              <w:t>20</w:t>
            </w:r>
            <w:r>
              <w:rPr>
                <w:rFonts w:cs="黑体" w:hint="eastAsia"/>
              </w:rPr>
              <w:t>万元。</w:t>
            </w:r>
          </w:p>
          <w:p w14:paraId="1A6CA3C3" w14:textId="77777777" w:rsidR="00EE55DB" w:rsidRDefault="00000000">
            <w:pPr>
              <w:pStyle w:val="21"/>
              <w:ind w:firstLine="480"/>
              <w:rPr>
                <w:rFonts w:cs="黑体"/>
              </w:rPr>
            </w:pPr>
            <w:r>
              <w:rPr>
                <w:rFonts w:cs="黑体"/>
              </w:rPr>
              <w:t>6.</w:t>
            </w:r>
            <w:r>
              <w:rPr>
                <w:rFonts w:cs="黑体" w:hint="eastAsia"/>
              </w:rPr>
              <w:t>对获得县长质量奖的企业，一次性奖励</w:t>
            </w:r>
            <w:r>
              <w:rPr>
                <w:rFonts w:cs="黑体"/>
              </w:rPr>
              <w:t>6</w:t>
            </w:r>
            <w:r>
              <w:rPr>
                <w:rFonts w:cs="黑体" w:hint="eastAsia"/>
              </w:rPr>
              <w:t>万元，对复评获得保留县长质量奖的企业，一次性奖励</w:t>
            </w:r>
            <w:r>
              <w:rPr>
                <w:rFonts w:cs="黑体"/>
              </w:rPr>
              <w:t>3</w:t>
            </w:r>
            <w:r>
              <w:rPr>
                <w:rFonts w:cs="黑体" w:hint="eastAsia"/>
              </w:rPr>
              <w:t>万元。</w:t>
            </w:r>
          </w:p>
        </w:tc>
      </w:tr>
    </w:tbl>
    <w:p w14:paraId="44409D9D" w14:textId="77777777" w:rsidR="00EE55DB" w:rsidRDefault="00000000">
      <w:pPr>
        <w:ind w:firstLineChars="0" w:firstLine="0"/>
        <w:rPr>
          <w:rFonts w:ascii="仿宋_GB2312" w:eastAsia="仿宋_GB2312" w:hAnsi="仿宋_GB2312" w:cs="仿宋_GB2312"/>
          <w:szCs w:val="32"/>
        </w:rPr>
      </w:pPr>
      <w:r>
        <w:rPr>
          <w:rFonts w:ascii="仿宋_GB2312" w:eastAsia="仿宋_GB2312" w:hAnsi="仿宋_GB2312" w:cs="仿宋_GB2312"/>
          <w:b/>
          <w:bCs/>
          <w:szCs w:val="32"/>
        </w:rPr>
        <w:lastRenderedPageBreak/>
        <w:t xml:space="preserve">    </w:t>
      </w:r>
      <w:r>
        <w:rPr>
          <w:rFonts w:ascii="仿宋_GB2312" w:eastAsia="仿宋_GB2312" w:hAnsi="仿宋_GB2312" w:cs="仿宋_GB2312" w:hint="eastAsia"/>
          <w:b/>
          <w:bCs/>
          <w:szCs w:val="32"/>
        </w:rPr>
        <w:t>提升产学研协同创新水平。</w:t>
      </w:r>
      <w:r>
        <w:rPr>
          <w:rFonts w:ascii="仿宋_GB2312" w:eastAsia="仿宋_GB2312" w:hAnsi="仿宋_GB2312" w:cs="仿宋_GB2312" w:hint="eastAsia"/>
          <w:szCs w:val="32"/>
        </w:rPr>
        <w:t>积极创建省级制造业创新中心，鼓励重点企业或创新龙头企业牵头，积极对接国内外一流大学、科研院所和相关企业，以产学研合作形式共建研发机构，开展共性关键技术研发和产业化服务，实现高校科技创新社会服务和产学研结合。</w:t>
      </w:r>
      <w:r>
        <w:rPr>
          <w:rFonts w:ascii="仿宋_GB2312" w:eastAsia="仿宋_GB2312" w:hAnsi="仿宋_GB2312" w:cs="仿宋_GB2312" w:hint="eastAsia"/>
          <w:bCs/>
          <w:color w:val="000000"/>
          <w:szCs w:val="32"/>
        </w:rPr>
        <w:t>依托“互联网</w:t>
      </w:r>
      <w:r>
        <w:rPr>
          <w:rFonts w:ascii="仿宋_GB2312" w:eastAsia="仿宋_GB2312" w:hAnsi="仿宋_GB2312" w:cs="仿宋_GB2312"/>
          <w:bCs/>
          <w:color w:val="000000"/>
          <w:szCs w:val="32"/>
        </w:rPr>
        <w:t>+</w:t>
      </w:r>
      <w:r>
        <w:rPr>
          <w:rFonts w:ascii="仿宋_GB2312" w:eastAsia="仿宋_GB2312" w:hAnsi="仿宋_GB2312" w:cs="仿宋_GB2312" w:hint="eastAsia"/>
          <w:bCs/>
          <w:color w:val="000000"/>
          <w:szCs w:val="32"/>
        </w:rPr>
        <w:t>”等新技术新</w:t>
      </w:r>
      <w:r>
        <w:rPr>
          <w:rFonts w:ascii="仿宋_GB2312" w:eastAsia="仿宋_GB2312" w:hAnsi="仿宋_GB2312" w:cs="仿宋_GB2312" w:hint="eastAsia"/>
          <w:bCs/>
          <w:color w:val="000000"/>
          <w:szCs w:val="32"/>
        </w:rPr>
        <w:lastRenderedPageBreak/>
        <w:t>模式，大力发展技术扩散、成果转化、科技评估、创业投资、知识产权、法律咨询等科技中介服务，构建有机硅产品技术研发中心、质量检测中心，培育和引进一批科技成果转化平台，推动科技成果就地产业化。</w:t>
      </w:r>
      <w:r>
        <w:rPr>
          <w:rFonts w:ascii="仿宋_GB2312" w:eastAsia="仿宋_GB2312" w:hAnsi="仿宋_GB2312" w:cs="仿宋_GB2312" w:hint="eastAsia"/>
          <w:szCs w:val="32"/>
        </w:rPr>
        <w:t>发挥政府、市场、企业合力，支持行业骨干企业与高校、科研机构共建研发平台和科技创新战略联盟。引导中小企业参与产业技术创新联盟、产业集群协同创新项目，加强产业</w:t>
      </w:r>
      <w:proofErr w:type="gramStart"/>
      <w:r>
        <w:rPr>
          <w:rFonts w:ascii="仿宋_GB2312" w:eastAsia="仿宋_GB2312" w:hAnsi="仿宋_GB2312" w:cs="仿宋_GB2312" w:hint="eastAsia"/>
          <w:szCs w:val="32"/>
        </w:rPr>
        <w:t>链企业</w:t>
      </w:r>
      <w:proofErr w:type="gramEnd"/>
      <w:r>
        <w:rPr>
          <w:rFonts w:ascii="仿宋_GB2312" w:eastAsia="仿宋_GB2312" w:hAnsi="仿宋_GB2312" w:cs="仿宋_GB2312" w:hint="eastAsia"/>
          <w:szCs w:val="32"/>
        </w:rPr>
        <w:t>配套协作。</w:t>
      </w:r>
    </w:p>
    <w:p w14:paraId="7DEB6839" w14:textId="77777777" w:rsidR="00EE55DB" w:rsidRDefault="00000000">
      <w:pPr>
        <w:pStyle w:val="2"/>
        <w:spacing w:before="156" w:after="156"/>
      </w:pPr>
      <w:bookmarkStart w:id="18" w:name="_Toc24804"/>
      <w:r>
        <w:rPr>
          <w:rFonts w:hint="eastAsia"/>
        </w:rPr>
        <w:t>第三节</w:t>
      </w:r>
      <w:r>
        <w:t xml:space="preserve"> </w:t>
      </w:r>
      <w:r>
        <w:rPr>
          <w:rFonts w:hint="eastAsia"/>
        </w:rPr>
        <w:t>加快搭建科技创新平台</w:t>
      </w:r>
      <w:bookmarkEnd w:id="18"/>
    </w:p>
    <w:p w14:paraId="4B0A4AE4"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加快孵化平台建设。</w:t>
      </w:r>
      <w:r>
        <w:rPr>
          <w:rFonts w:ascii="仿宋_GB2312" w:eastAsia="仿宋_GB2312" w:hAnsi="仿宋_GB2312" w:cs="仿宋_GB2312" w:hint="eastAsia"/>
          <w:szCs w:val="32"/>
        </w:rPr>
        <w:t>加强科技企业孵化器、</w:t>
      </w:r>
      <w:proofErr w:type="gramStart"/>
      <w:r>
        <w:rPr>
          <w:rFonts w:ascii="仿宋_GB2312" w:eastAsia="仿宋_GB2312" w:hAnsi="仿宋_GB2312" w:cs="仿宋_GB2312" w:hint="eastAsia"/>
          <w:szCs w:val="32"/>
        </w:rPr>
        <w:t>众创空间</w:t>
      </w:r>
      <w:proofErr w:type="gramEnd"/>
      <w:r>
        <w:rPr>
          <w:rFonts w:ascii="仿宋_GB2312" w:eastAsia="仿宋_GB2312" w:hAnsi="仿宋_GB2312" w:cs="仿宋_GB2312" w:hint="eastAsia"/>
          <w:szCs w:val="32"/>
        </w:rPr>
        <w:t>和大学科技园等建设布局，完善有机</w:t>
      </w:r>
      <w:proofErr w:type="gramStart"/>
      <w:r>
        <w:rPr>
          <w:rFonts w:ascii="仿宋_GB2312" w:eastAsia="仿宋_GB2312" w:hAnsi="仿宋_GB2312" w:cs="仿宋_GB2312" w:hint="eastAsia"/>
          <w:szCs w:val="32"/>
        </w:rPr>
        <w:t>硅创新</w:t>
      </w:r>
      <w:proofErr w:type="gramEnd"/>
      <w:r>
        <w:rPr>
          <w:rFonts w:ascii="仿宋_GB2312" w:eastAsia="仿宋_GB2312" w:hAnsi="仿宋_GB2312" w:cs="仿宋_GB2312" w:hint="eastAsia"/>
          <w:szCs w:val="32"/>
        </w:rPr>
        <w:t>中心、思科产学研创新院、新经济孵化器、</w:t>
      </w:r>
      <w:proofErr w:type="gramStart"/>
      <w:r>
        <w:rPr>
          <w:rFonts w:ascii="仿宋_GB2312" w:eastAsia="仿宋_GB2312" w:hAnsi="仿宋_GB2312" w:cs="仿宋_GB2312" w:hint="eastAsia"/>
          <w:szCs w:val="32"/>
        </w:rPr>
        <w:t>星火电商众创空间</w:t>
      </w:r>
      <w:proofErr w:type="gramEnd"/>
      <w:r>
        <w:rPr>
          <w:rFonts w:ascii="仿宋_GB2312" w:eastAsia="仿宋_GB2312" w:hAnsi="仿宋_GB2312" w:cs="仿宋_GB2312" w:hint="eastAsia"/>
          <w:szCs w:val="32"/>
        </w:rPr>
        <w:t>等一批创新创业平台服务功能，引进一批科技含量高、创新能力强的企业入驻，推动各类孵化载体高质量发展，提升科技型企业源头培育能力，强化从创业苗圃、孵化器、加速器到园区基地的全程创业创新服务。积极组织符合条件的</w:t>
      </w:r>
      <w:proofErr w:type="gramStart"/>
      <w:r>
        <w:rPr>
          <w:rFonts w:ascii="仿宋_GB2312" w:eastAsia="仿宋_GB2312" w:hAnsi="仿宋_GB2312" w:cs="仿宋_GB2312" w:hint="eastAsia"/>
          <w:szCs w:val="32"/>
        </w:rPr>
        <w:t>创客空间</w:t>
      </w:r>
      <w:proofErr w:type="gramEnd"/>
      <w:r>
        <w:rPr>
          <w:rFonts w:ascii="仿宋_GB2312" w:eastAsia="仿宋_GB2312" w:hAnsi="仿宋_GB2312" w:cs="仿宋_GB2312" w:hint="eastAsia"/>
          <w:szCs w:val="32"/>
        </w:rPr>
        <w:t>申报国家级、省级“企业孵化器”和“众创空间”。继续推进瞪</w:t>
      </w:r>
      <w:proofErr w:type="gramStart"/>
      <w:r>
        <w:rPr>
          <w:rFonts w:ascii="仿宋_GB2312" w:eastAsia="仿宋_GB2312" w:hAnsi="仿宋_GB2312" w:cs="仿宋_GB2312" w:hint="eastAsia"/>
          <w:szCs w:val="32"/>
        </w:rPr>
        <w:t>羚</w:t>
      </w:r>
      <w:proofErr w:type="gramEnd"/>
      <w:r>
        <w:rPr>
          <w:rFonts w:ascii="仿宋_GB2312" w:eastAsia="仿宋_GB2312" w:hAnsi="仿宋_GB2312" w:cs="仿宋_GB2312" w:hint="eastAsia"/>
          <w:szCs w:val="32"/>
        </w:rPr>
        <w:t>企业、</w:t>
      </w:r>
      <w:proofErr w:type="gramStart"/>
      <w:r>
        <w:rPr>
          <w:rFonts w:ascii="仿宋_GB2312" w:eastAsia="仿宋_GB2312" w:hAnsi="仿宋_GB2312" w:cs="仿宋_GB2312" w:hint="eastAsia"/>
          <w:szCs w:val="32"/>
        </w:rPr>
        <w:t>众创空间</w:t>
      </w:r>
      <w:proofErr w:type="gramEnd"/>
      <w:r>
        <w:rPr>
          <w:rFonts w:ascii="仿宋_GB2312" w:eastAsia="仿宋_GB2312" w:hAnsi="仿宋_GB2312" w:cs="仿宋_GB2312" w:hint="eastAsia"/>
          <w:szCs w:val="32"/>
        </w:rPr>
        <w:t>、科技企业孵化器的培育。促进创新与创业相结合、线上与线下相结合、孵化与投资相结合。</w:t>
      </w:r>
    </w:p>
    <w:p w14:paraId="64E7F427"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布局重大创新平台。</w:t>
      </w:r>
      <w:r>
        <w:rPr>
          <w:rFonts w:ascii="仿宋_GB2312" w:eastAsia="仿宋_GB2312" w:hAnsi="仿宋_GB2312" w:cs="仿宋_GB2312" w:hint="eastAsia"/>
        </w:rPr>
        <w:t>着重围绕全县主导产业和创新优势企业，做好创新平台布局，推进创新链和产业链上各类主体协同创新，重点建设国家级科技创新平台、省级创新平台，积极搭建技术开发、试验、推广及产品设计、加工、检测等</w:t>
      </w:r>
      <w:r>
        <w:rPr>
          <w:rFonts w:ascii="仿宋_GB2312" w:eastAsia="仿宋_GB2312" w:hAnsi="仿宋_GB2312" w:cs="仿宋_GB2312" w:hint="eastAsia"/>
        </w:rPr>
        <w:lastRenderedPageBreak/>
        <w:t>公共技术平台，加快</w:t>
      </w:r>
      <w:proofErr w:type="gramStart"/>
      <w:r>
        <w:rPr>
          <w:rFonts w:ascii="仿宋_GB2312" w:eastAsia="仿宋_GB2312" w:hAnsi="仿宋_GB2312" w:cs="仿宋_GB2312" w:hint="eastAsia"/>
        </w:rPr>
        <w:t>盘活老</w:t>
      </w:r>
      <w:proofErr w:type="gramEnd"/>
      <w:r>
        <w:rPr>
          <w:rFonts w:ascii="仿宋_GB2312" w:eastAsia="仿宋_GB2312" w:hAnsi="仿宋_GB2312" w:cs="仿宋_GB2312" w:hint="eastAsia"/>
        </w:rPr>
        <w:t>厂房、旧仓库、闲置楼宇等资源，以“互联网</w:t>
      </w:r>
      <w:r>
        <w:rPr>
          <w:rFonts w:ascii="仿宋_GB2312" w:eastAsia="仿宋_GB2312" w:hAnsi="仿宋_GB2312" w:cs="仿宋_GB2312"/>
        </w:rPr>
        <w:t>+</w:t>
      </w:r>
      <w:r>
        <w:rPr>
          <w:rFonts w:ascii="仿宋_GB2312" w:eastAsia="仿宋_GB2312" w:hAnsi="仿宋_GB2312" w:cs="仿宋_GB2312" w:hint="eastAsia"/>
        </w:rPr>
        <w:t>技术市场”为核心，加快建设线上线下相结合的技术交易网络平台，推动一批重点企业完成新一轮高水平技术改造攻坚战。</w:t>
      </w:r>
    </w:p>
    <w:p w14:paraId="318E6884"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加快科技成果转化平台建设。</w:t>
      </w:r>
      <w:r>
        <w:rPr>
          <w:rFonts w:ascii="仿宋_GB2312" w:eastAsia="仿宋_GB2312" w:hAnsi="仿宋_GB2312" w:cs="仿宋_GB2312" w:hint="eastAsia"/>
        </w:rPr>
        <w:t>培育和引进一批科技中介机构，加强政府对中介机构的政策引导，促进科技成果转化。依托“互联网</w:t>
      </w:r>
      <w:r>
        <w:rPr>
          <w:rFonts w:ascii="仿宋_GB2312" w:eastAsia="仿宋_GB2312" w:hAnsi="仿宋_GB2312" w:cs="仿宋_GB2312"/>
        </w:rPr>
        <w:t>+</w:t>
      </w:r>
      <w:r>
        <w:rPr>
          <w:rFonts w:ascii="仿宋_GB2312" w:eastAsia="仿宋_GB2312" w:hAnsi="仿宋_GB2312" w:cs="仿宋_GB2312" w:hint="eastAsia"/>
        </w:rPr>
        <w:t>”等新技术新模式，大力发展技术扩散、成果转化、科技评估、创业投资、知识产权、法律咨询等科技中介服务，构建有机硅产品技术研发中心、质量检测中心，推动科技成果就地产业化，重点支持物联网企业加快科技成果转化，实现“线上</w:t>
      </w:r>
      <w:r>
        <w:rPr>
          <w:rFonts w:ascii="仿宋_GB2312" w:eastAsia="仿宋_GB2312" w:hAnsi="仿宋_GB2312" w:cs="仿宋_GB2312"/>
        </w:rPr>
        <w:t>+</w:t>
      </w:r>
      <w:r>
        <w:rPr>
          <w:rFonts w:ascii="仿宋_GB2312" w:eastAsia="仿宋_GB2312" w:hAnsi="仿宋_GB2312" w:cs="仿宋_GB2312" w:hint="eastAsia"/>
        </w:rPr>
        <w:t>线下”的科技成果转移转化交易模式。加强知识产权创造、运用、保护、管理，帮助企业的创新成果加速产业化，加强对科技创新活动和科技成果的法律保护，为科技创新提供有力保障。</w:t>
      </w:r>
    </w:p>
    <w:p w14:paraId="3F4C5C75" w14:textId="77777777" w:rsidR="00EE55DB" w:rsidRDefault="00000000">
      <w:pPr>
        <w:pStyle w:val="2"/>
        <w:spacing w:before="156" w:after="156"/>
      </w:pPr>
      <w:bookmarkStart w:id="19" w:name="_Toc5786"/>
      <w:r>
        <w:rPr>
          <w:rFonts w:hint="eastAsia"/>
        </w:rPr>
        <w:t>第四节</w:t>
      </w:r>
      <w:r>
        <w:t xml:space="preserve"> </w:t>
      </w:r>
      <w:r>
        <w:rPr>
          <w:rFonts w:hint="eastAsia"/>
        </w:rPr>
        <w:t>营造良好创新生态环境</w:t>
      </w:r>
      <w:bookmarkEnd w:id="19"/>
    </w:p>
    <w:p w14:paraId="6F83B96F"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加大创新支持力度。</w:t>
      </w:r>
      <w:r>
        <w:rPr>
          <w:rFonts w:ascii="仿宋_GB2312" w:eastAsia="仿宋_GB2312" w:hAnsi="仿宋_GB2312" w:cs="仿宋_GB2312" w:hint="eastAsia"/>
          <w:szCs w:val="32"/>
        </w:rPr>
        <w:t>加快建立“投、保、贷、中介服务”一体化科技金融服务体系，健全多层次贷款风险分担机制。构建中小微科技型企业、高新技术企业、瞪</w:t>
      </w:r>
      <w:proofErr w:type="gramStart"/>
      <w:r>
        <w:rPr>
          <w:rFonts w:ascii="仿宋_GB2312" w:eastAsia="仿宋_GB2312" w:hAnsi="仿宋_GB2312" w:cs="仿宋_GB2312" w:hint="eastAsia"/>
          <w:szCs w:val="32"/>
        </w:rPr>
        <w:t>羚</w:t>
      </w:r>
      <w:proofErr w:type="gramEnd"/>
      <w:r>
        <w:rPr>
          <w:rFonts w:ascii="仿宋_GB2312" w:eastAsia="仿宋_GB2312" w:hAnsi="仿宋_GB2312" w:cs="仿宋_GB2312" w:hint="eastAsia"/>
          <w:szCs w:val="32"/>
        </w:rPr>
        <w:t>企业、独角兽企业的成长培育机制，实施“预见独角兽计划”。加大全社会研发投入力度，健全科技型中小企业“科贷通”融资担保体系，完善中小企业信贷风险补偿制度，建立包容创新的审慎监管制度。创新投融资方式，积极探索多元化、多层次、</w:t>
      </w:r>
      <w:r>
        <w:rPr>
          <w:rFonts w:ascii="仿宋_GB2312" w:eastAsia="仿宋_GB2312" w:hAnsi="仿宋_GB2312" w:cs="仿宋_GB2312" w:hint="eastAsia"/>
          <w:szCs w:val="32"/>
        </w:rPr>
        <w:lastRenderedPageBreak/>
        <w:t>多渠道科技投融资模式，打造覆盖企业全生命周期的科技金融服务链，对科技型企业实行政策性风险补偿。着力打造一批能够在产学研合作、科技成果转化、知识产权运用和保护等方面提供高效便捷专业化的科技服务机构。</w:t>
      </w:r>
    </w:p>
    <w:p w14:paraId="2B6DDBB9" w14:textId="77777777" w:rsidR="00EE55DB" w:rsidRDefault="00000000">
      <w:pPr>
        <w:ind w:firstLine="640"/>
      </w:pPr>
      <w:r>
        <w:rPr>
          <w:rFonts w:ascii="仿宋_GB2312" w:eastAsia="仿宋_GB2312" w:hAnsi="仿宋_GB2312" w:cs="仿宋_GB2312" w:hint="eastAsia"/>
          <w:b/>
          <w:bCs/>
        </w:rPr>
        <w:t>激发“双创”活力。</w:t>
      </w:r>
      <w:r>
        <w:rPr>
          <w:rFonts w:ascii="仿宋_GB2312" w:eastAsia="仿宋_GB2312" w:hAnsi="仿宋_GB2312" w:cs="仿宋_GB2312" w:hint="eastAsia"/>
          <w:szCs w:val="32"/>
        </w:rPr>
        <w:t>全面优化人力、技术、信息、资本等要素配置，实现创新因子有效汇聚，激发创业创新活力。利用赣江新区先行先试权限，用足用活人才科技、功能平台、绿色金</w:t>
      </w:r>
      <w:r>
        <w:rPr>
          <w:rFonts w:ascii="仿宋_GB2312" w:eastAsia="仿宋_GB2312" w:hAnsi="仿宋_GB2312" w:cs="仿宋_GB2312" w:hint="eastAsia"/>
        </w:rPr>
        <w:t>融等政策。着力推进高新技术示范园建设，加大“双创”基金辐射力，培育产业发展新动能，推进创新成果与产业紧密对接，营造科研成果从实验室走向生产线的良好生态环境。</w:t>
      </w:r>
    </w:p>
    <w:p w14:paraId="3093208C" w14:textId="77777777" w:rsidR="00EE55DB" w:rsidRDefault="00000000">
      <w:pPr>
        <w:ind w:firstLine="640"/>
      </w:pPr>
      <w:r>
        <w:br w:type="page"/>
      </w:r>
    </w:p>
    <w:p w14:paraId="17547A9F" w14:textId="77777777" w:rsidR="00EE55DB" w:rsidRDefault="00000000">
      <w:pPr>
        <w:pStyle w:val="1"/>
        <w:spacing w:before="156" w:after="156"/>
      </w:pPr>
      <w:bookmarkStart w:id="20" w:name="_Toc2135"/>
      <w:r>
        <w:rPr>
          <w:rFonts w:hint="eastAsia"/>
        </w:rPr>
        <w:lastRenderedPageBreak/>
        <w:t>第三章</w:t>
      </w:r>
      <w:r>
        <w:t xml:space="preserve"> </w:t>
      </w:r>
      <w:r>
        <w:rPr>
          <w:rFonts w:hint="eastAsia"/>
        </w:rPr>
        <w:t>构建现代化产业体系，推动县域经济再上新台阶</w:t>
      </w:r>
      <w:bookmarkEnd w:id="20"/>
    </w:p>
    <w:p w14:paraId="1EF0DE7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加快构建现代产业体系，重点抓好有机硅新材料、绿色建材、电子信息和高端装备、数字经济、文化旅游服务等产业，推进产业基础高级化和产业链现代化，切实发挥现代产业发展在县域经济中支撑和带动作用。</w:t>
      </w:r>
    </w:p>
    <w:p w14:paraId="199401C8" w14:textId="77777777" w:rsidR="00EE55DB" w:rsidRDefault="00000000">
      <w:pPr>
        <w:pStyle w:val="2"/>
        <w:spacing w:before="156" w:after="156"/>
      </w:pPr>
      <w:bookmarkStart w:id="21" w:name="_Toc16628"/>
      <w:r>
        <w:rPr>
          <w:rFonts w:hint="eastAsia"/>
        </w:rPr>
        <w:t>第一节</w:t>
      </w:r>
      <w:r>
        <w:t xml:space="preserve"> </w:t>
      </w:r>
      <w:r>
        <w:rPr>
          <w:rFonts w:hint="eastAsia"/>
        </w:rPr>
        <w:t>塑造永修制造新优势</w:t>
      </w:r>
      <w:bookmarkEnd w:id="21"/>
    </w:p>
    <w:p w14:paraId="5E151B1D" w14:textId="77777777" w:rsidR="00EE55DB" w:rsidRDefault="00000000">
      <w:pPr>
        <w:ind w:firstLine="640"/>
        <w:rPr>
          <w:rFonts w:ascii="仿宋_GB2312" w:eastAsia="仿宋_GB2312" w:hAnsi="仿宋_GB2312" w:cs="仿宋_GB2312"/>
          <w:b/>
          <w:bCs/>
          <w:szCs w:val="32"/>
        </w:rPr>
      </w:pPr>
      <w:r>
        <w:rPr>
          <w:rFonts w:ascii="仿宋_GB2312" w:eastAsia="仿宋_GB2312" w:hAnsi="仿宋_GB2312" w:cs="仿宋_GB2312" w:hint="eastAsia"/>
          <w:szCs w:val="32"/>
        </w:rPr>
        <w:t>以有机硅新材料、绿色建材、电子信息和高端装备、数字经济、高端孵化器为重点，</w:t>
      </w:r>
      <w:r>
        <w:rPr>
          <w:rFonts w:ascii="仿宋_GB2312" w:eastAsia="仿宋_GB2312" w:hAnsi="仿宋_GB2312" w:cs="仿宋_GB2312" w:hint="eastAsia"/>
          <w:color w:val="000000"/>
          <w:szCs w:val="32"/>
        </w:rPr>
        <w:t>全面实施“双提升”工程，坚持招大引强、扶优扶强，全面提升制造业发展质量和效益，加快打造现代工业强县。力争</w:t>
      </w:r>
      <w:r>
        <w:rPr>
          <w:rFonts w:ascii="仿宋_GB2312" w:eastAsia="仿宋_GB2312" w:hAnsi="仿宋_GB2312" w:cs="仿宋_GB2312"/>
          <w:color w:val="000000"/>
          <w:szCs w:val="32"/>
        </w:rPr>
        <w:t>2025</w:t>
      </w:r>
      <w:r>
        <w:rPr>
          <w:rFonts w:ascii="仿宋_GB2312" w:eastAsia="仿宋_GB2312" w:hAnsi="仿宋_GB2312" w:cs="仿宋_GB2312" w:hint="eastAsia"/>
          <w:color w:val="000000"/>
          <w:szCs w:val="32"/>
        </w:rPr>
        <w:t>年全县工业营业收入突破</w:t>
      </w:r>
      <w:r>
        <w:rPr>
          <w:rFonts w:ascii="仿宋_GB2312" w:eastAsia="仿宋_GB2312" w:hAnsi="仿宋_GB2312" w:cs="仿宋_GB2312"/>
          <w:color w:val="000000"/>
          <w:szCs w:val="32"/>
        </w:rPr>
        <w:t>1200</w:t>
      </w:r>
      <w:r>
        <w:rPr>
          <w:rFonts w:ascii="仿宋_GB2312" w:eastAsia="仿宋_GB2312" w:hAnsi="仿宋_GB2312" w:cs="仿宋_GB2312" w:hint="eastAsia"/>
          <w:color w:val="000000"/>
          <w:szCs w:val="32"/>
        </w:rPr>
        <w:t>亿元；工业税收力争达到</w:t>
      </w:r>
      <w:r>
        <w:rPr>
          <w:rFonts w:ascii="仿宋_GB2312" w:eastAsia="仿宋_GB2312" w:hAnsi="仿宋_GB2312" w:cs="仿宋_GB2312"/>
          <w:color w:val="000000"/>
          <w:szCs w:val="32"/>
        </w:rPr>
        <w:t>15</w:t>
      </w:r>
      <w:r>
        <w:rPr>
          <w:rFonts w:ascii="仿宋_GB2312" w:eastAsia="仿宋_GB2312" w:hAnsi="仿宋_GB2312" w:cs="仿宋_GB2312" w:hint="eastAsia"/>
          <w:color w:val="000000"/>
          <w:szCs w:val="32"/>
        </w:rPr>
        <w:t>亿元以上，力争工业总量排位进入全省十强县行列。</w:t>
      </w:r>
    </w:p>
    <w:p w14:paraId="6ABE0FF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大力提升产业</w:t>
      </w:r>
      <w:proofErr w:type="gramStart"/>
      <w:r>
        <w:rPr>
          <w:rFonts w:ascii="仿宋_GB2312" w:eastAsia="仿宋_GB2312" w:hAnsi="仿宋_GB2312" w:cs="仿宋_GB2312" w:hint="eastAsia"/>
          <w:b/>
          <w:bCs/>
          <w:szCs w:val="32"/>
        </w:rPr>
        <w:t>链供应</w:t>
      </w:r>
      <w:proofErr w:type="gramEnd"/>
      <w:r>
        <w:rPr>
          <w:rFonts w:ascii="仿宋_GB2312" w:eastAsia="仿宋_GB2312" w:hAnsi="仿宋_GB2312" w:cs="仿宋_GB2312" w:hint="eastAsia"/>
          <w:b/>
          <w:bCs/>
          <w:szCs w:val="32"/>
        </w:rPr>
        <w:t>链现代化水平。</w:t>
      </w:r>
      <w:r>
        <w:rPr>
          <w:rFonts w:ascii="仿宋_GB2312" w:eastAsia="仿宋_GB2312" w:hAnsi="仿宋_GB2312" w:cs="仿宋_GB2312" w:hint="eastAsia"/>
          <w:szCs w:val="32"/>
        </w:rPr>
        <w:t>深入实施产业链链长制，推动产业</w:t>
      </w:r>
      <w:proofErr w:type="gramStart"/>
      <w:r>
        <w:rPr>
          <w:rFonts w:ascii="仿宋_GB2312" w:eastAsia="仿宋_GB2312" w:hAnsi="仿宋_GB2312" w:cs="仿宋_GB2312" w:hint="eastAsia"/>
          <w:szCs w:val="32"/>
        </w:rPr>
        <w:t>链供应</w:t>
      </w:r>
      <w:proofErr w:type="gramEnd"/>
      <w:r>
        <w:rPr>
          <w:rFonts w:ascii="仿宋_GB2312" w:eastAsia="仿宋_GB2312" w:hAnsi="仿宋_GB2312" w:cs="仿宋_GB2312" w:hint="eastAsia"/>
          <w:szCs w:val="32"/>
        </w:rPr>
        <w:t>链长板补短板。围绕产业链集群化，积极配合中车发展汽车装备制造、绿色化工等先进特色产业集群，深入实施优质企业梯次培育行动，打造一批百亿级“新星”产业群，改造提升一批既有产业集群。培育“专精特新”中小企业，优化产业链分工协作体系。深入推进传统产业改造提升，提升小</w:t>
      </w:r>
      <w:proofErr w:type="gramStart"/>
      <w:r>
        <w:rPr>
          <w:rFonts w:ascii="仿宋_GB2312" w:eastAsia="仿宋_GB2312" w:hAnsi="仿宋_GB2312" w:cs="仿宋_GB2312" w:hint="eastAsia"/>
          <w:szCs w:val="32"/>
        </w:rPr>
        <w:t>微企业</w:t>
      </w:r>
      <w:proofErr w:type="gramEnd"/>
      <w:r>
        <w:rPr>
          <w:rFonts w:ascii="仿宋_GB2312" w:eastAsia="仿宋_GB2312" w:hAnsi="仿宋_GB2312" w:cs="仿宋_GB2312" w:hint="eastAsia"/>
          <w:szCs w:val="32"/>
        </w:rPr>
        <w:t>园、创新服务综合体，发展智能制造、服务型制造，培育经典时尚产业。围绕供应链系统化，大力</w:t>
      </w:r>
      <w:r>
        <w:rPr>
          <w:rFonts w:ascii="仿宋_GB2312" w:eastAsia="仿宋_GB2312" w:hAnsi="仿宋_GB2312" w:cs="仿宋_GB2312" w:hint="eastAsia"/>
          <w:szCs w:val="32"/>
        </w:rPr>
        <w:lastRenderedPageBreak/>
        <w:t>实施工业强县之基，搭建产业共性技术平台，加大智能传感器、数字安防等关键领域基础部件强弱项、补短板力度。提升产业链龙头企业核心环节能级，推动产业并购，提高全球供应链协同和配置资源能力。</w:t>
      </w:r>
    </w:p>
    <w:p w14:paraId="18781855"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延伸拓展有机硅新材料产业。</w:t>
      </w:r>
      <w:r>
        <w:rPr>
          <w:rFonts w:ascii="仿宋_GB2312" w:eastAsia="仿宋_GB2312" w:hAnsi="仿宋_GB2312" w:cs="仿宋_GB2312" w:hint="eastAsia"/>
          <w:szCs w:val="32"/>
        </w:rPr>
        <w:t>以打造有机硅千亿产业、星火百亿企业为目标，依托有机硅产业“国家新型工业化示范基地”建设，通过强化技术工艺创新推动产业升级，做强有机</w:t>
      </w:r>
      <w:proofErr w:type="gramStart"/>
      <w:r>
        <w:rPr>
          <w:rFonts w:ascii="仿宋_GB2312" w:eastAsia="仿宋_GB2312" w:hAnsi="仿宋_GB2312" w:cs="仿宋_GB2312" w:hint="eastAsia"/>
          <w:szCs w:val="32"/>
        </w:rPr>
        <w:t>硅产业</w:t>
      </w:r>
      <w:proofErr w:type="gramEnd"/>
      <w:r>
        <w:rPr>
          <w:rFonts w:ascii="仿宋_GB2312" w:eastAsia="仿宋_GB2312" w:hAnsi="仿宋_GB2312" w:cs="仿宋_GB2312" w:hint="eastAsia"/>
          <w:szCs w:val="32"/>
        </w:rPr>
        <w:t>规模；着力延伸产业链、保证供应链、提升价值链，推动传统产业向高端、终端方向发展，着力引进有机硅下游及终端应用企业，积极引进一批高科技、低污染、安全可靠、投资大、产出多、科技含量高的强链</w:t>
      </w:r>
      <w:proofErr w:type="gramStart"/>
      <w:r>
        <w:rPr>
          <w:rFonts w:ascii="仿宋_GB2312" w:eastAsia="仿宋_GB2312" w:hAnsi="仿宋_GB2312" w:cs="仿宋_GB2312" w:hint="eastAsia"/>
          <w:szCs w:val="32"/>
        </w:rPr>
        <w:t>补链延链</w:t>
      </w:r>
      <w:proofErr w:type="gramEnd"/>
      <w:r>
        <w:rPr>
          <w:rFonts w:ascii="仿宋_GB2312" w:eastAsia="仿宋_GB2312" w:hAnsi="仿宋_GB2312" w:cs="仿宋_GB2312" w:hint="eastAsia"/>
          <w:szCs w:val="32"/>
        </w:rPr>
        <w:t>项目，形成龙头带动明显、协作配套紧密、创新动力强劲、平台支撑有力、生态优势突出的发展格局，实现“资源</w:t>
      </w:r>
      <w:r>
        <w:rPr>
          <w:rFonts w:ascii="仿宋_GB2312" w:eastAsia="仿宋_GB2312" w:hAnsi="仿宋_GB2312" w:cs="仿宋_GB2312"/>
          <w:szCs w:val="32"/>
        </w:rPr>
        <w:t>-</w:t>
      </w:r>
      <w:r>
        <w:rPr>
          <w:rFonts w:ascii="仿宋_GB2312" w:eastAsia="仿宋_GB2312" w:hAnsi="仿宋_GB2312" w:cs="仿宋_GB2312" w:hint="eastAsia"/>
          <w:szCs w:val="32"/>
        </w:rPr>
        <w:t>产品</w:t>
      </w:r>
      <w:r>
        <w:rPr>
          <w:rFonts w:ascii="仿宋_GB2312" w:eastAsia="仿宋_GB2312" w:hAnsi="仿宋_GB2312" w:cs="仿宋_GB2312"/>
          <w:szCs w:val="32"/>
        </w:rPr>
        <w:t>-</w:t>
      </w:r>
      <w:r>
        <w:rPr>
          <w:rFonts w:ascii="仿宋_GB2312" w:eastAsia="仿宋_GB2312" w:hAnsi="仿宋_GB2312" w:cs="仿宋_GB2312" w:hint="eastAsia"/>
          <w:szCs w:val="32"/>
        </w:rPr>
        <w:t>废弃物</w:t>
      </w:r>
      <w:r>
        <w:rPr>
          <w:rFonts w:ascii="仿宋_GB2312" w:eastAsia="仿宋_GB2312" w:hAnsi="仿宋_GB2312" w:cs="仿宋_GB2312"/>
          <w:szCs w:val="32"/>
        </w:rPr>
        <w:t>-</w:t>
      </w:r>
      <w:r>
        <w:rPr>
          <w:rFonts w:ascii="仿宋_GB2312" w:eastAsia="仿宋_GB2312" w:hAnsi="仿宋_GB2312" w:cs="仿宋_GB2312" w:hint="eastAsia"/>
          <w:szCs w:val="32"/>
        </w:rPr>
        <w:t>再生资源”的循环经济模式。重点支持江西蓝星星火有机硅有限公司、卡博特化工（江西）有限公司打造世界级企业，大力支持星火航天、新嘉</w:t>
      </w:r>
      <w:proofErr w:type="gramStart"/>
      <w:r>
        <w:rPr>
          <w:rFonts w:ascii="仿宋_GB2312" w:eastAsia="仿宋_GB2312" w:hAnsi="仿宋_GB2312" w:cs="仿宋_GB2312" w:hint="eastAsia"/>
          <w:szCs w:val="32"/>
        </w:rPr>
        <w:t>懿</w:t>
      </w:r>
      <w:proofErr w:type="gramEnd"/>
      <w:r>
        <w:rPr>
          <w:rFonts w:ascii="仿宋_GB2312" w:eastAsia="仿宋_GB2312" w:hAnsi="仿宋_GB2312" w:cs="仿宋_GB2312" w:hint="eastAsia"/>
          <w:szCs w:val="32"/>
        </w:rPr>
        <w:t>等企业发展，成为新的增长点，打造有机</w:t>
      </w:r>
      <w:proofErr w:type="gramStart"/>
      <w:r>
        <w:rPr>
          <w:rFonts w:ascii="仿宋_GB2312" w:eastAsia="仿宋_GB2312" w:hAnsi="仿宋_GB2312" w:cs="仿宋_GB2312" w:hint="eastAsia"/>
          <w:szCs w:val="32"/>
        </w:rPr>
        <w:t>硅产业</w:t>
      </w:r>
      <w:proofErr w:type="gramEnd"/>
      <w:r>
        <w:rPr>
          <w:rFonts w:ascii="仿宋_GB2312" w:eastAsia="仿宋_GB2312" w:hAnsi="仿宋_GB2312" w:cs="仿宋_GB2312" w:hint="eastAsia"/>
          <w:szCs w:val="32"/>
        </w:rPr>
        <w:t>集群。进一步强化企业创新主导地位，提升企业创新发展能力，积极扶持企业申报国家级检测中心、实验室，吸引国内科研院所来永修设立有机</w:t>
      </w:r>
      <w:proofErr w:type="gramStart"/>
      <w:r>
        <w:rPr>
          <w:rFonts w:ascii="仿宋_GB2312" w:eastAsia="仿宋_GB2312" w:hAnsi="仿宋_GB2312" w:cs="仿宋_GB2312" w:hint="eastAsia"/>
          <w:szCs w:val="32"/>
        </w:rPr>
        <w:t>硅科研</w:t>
      </w:r>
      <w:proofErr w:type="gramEnd"/>
      <w:r>
        <w:rPr>
          <w:rFonts w:ascii="仿宋_GB2312" w:eastAsia="仿宋_GB2312" w:hAnsi="仿宋_GB2312" w:cs="仿宋_GB2312" w:hint="eastAsia"/>
          <w:szCs w:val="32"/>
        </w:rPr>
        <w:t>设计、创业孵化、产品检测等平台进行深度开发，加快有机</w:t>
      </w:r>
      <w:proofErr w:type="gramStart"/>
      <w:r>
        <w:rPr>
          <w:rFonts w:ascii="仿宋_GB2312" w:eastAsia="仿宋_GB2312" w:hAnsi="仿宋_GB2312" w:cs="仿宋_GB2312" w:hint="eastAsia"/>
          <w:szCs w:val="32"/>
        </w:rPr>
        <w:t>硅科创园投入</w:t>
      </w:r>
      <w:proofErr w:type="gramEnd"/>
      <w:r>
        <w:rPr>
          <w:rFonts w:ascii="仿宋_GB2312" w:eastAsia="仿宋_GB2312" w:hAnsi="仿宋_GB2312" w:cs="仿宋_GB2312" w:hint="eastAsia"/>
          <w:szCs w:val="32"/>
        </w:rPr>
        <w:t>使用；持续推进有机</w:t>
      </w:r>
      <w:proofErr w:type="gramStart"/>
      <w:r>
        <w:rPr>
          <w:rFonts w:ascii="仿宋_GB2312" w:eastAsia="仿宋_GB2312" w:hAnsi="仿宋_GB2312" w:cs="仿宋_GB2312" w:hint="eastAsia"/>
          <w:szCs w:val="32"/>
        </w:rPr>
        <w:t>硅创新</w:t>
      </w:r>
      <w:proofErr w:type="gramEnd"/>
      <w:r>
        <w:rPr>
          <w:rFonts w:ascii="仿宋_GB2312" w:eastAsia="仿宋_GB2312" w:hAnsi="仿宋_GB2312" w:cs="仿宋_GB2312" w:hint="eastAsia"/>
          <w:szCs w:val="32"/>
        </w:rPr>
        <w:t>研究院建设，加快</w:t>
      </w:r>
      <w:proofErr w:type="gramStart"/>
      <w:r>
        <w:rPr>
          <w:rFonts w:ascii="仿宋_GB2312" w:eastAsia="仿宋_GB2312" w:hAnsi="仿宋_GB2312" w:cs="仿宋_GB2312" w:hint="eastAsia"/>
          <w:szCs w:val="32"/>
        </w:rPr>
        <w:t>机硅科技</w:t>
      </w:r>
      <w:proofErr w:type="gramEnd"/>
      <w:r>
        <w:rPr>
          <w:rFonts w:ascii="仿宋_GB2312" w:eastAsia="仿宋_GB2312" w:hAnsi="仿宋_GB2312" w:cs="仿宋_GB2312" w:hint="eastAsia"/>
          <w:szCs w:val="32"/>
        </w:rPr>
        <w:t>成果转化，全面开展有机</w:t>
      </w:r>
      <w:proofErr w:type="gramStart"/>
      <w:r>
        <w:rPr>
          <w:rFonts w:ascii="仿宋_GB2312" w:eastAsia="仿宋_GB2312" w:hAnsi="仿宋_GB2312" w:cs="仿宋_GB2312" w:hint="eastAsia"/>
          <w:szCs w:val="32"/>
        </w:rPr>
        <w:t>硅区域</w:t>
      </w:r>
      <w:proofErr w:type="gramEnd"/>
      <w:r>
        <w:rPr>
          <w:rFonts w:ascii="仿宋_GB2312" w:eastAsia="仿宋_GB2312" w:hAnsi="仿宋_GB2312" w:cs="仿宋_GB2312" w:hint="eastAsia"/>
          <w:szCs w:val="32"/>
        </w:rPr>
        <w:t>品牌建设。</w:t>
      </w:r>
      <w:r>
        <w:rPr>
          <w:rFonts w:ascii="仿宋_GB2312" w:eastAsia="仿宋_GB2312" w:hAnsi="仿宋_GB2312" w:cs="仿宋_GB2312" w:hint="eastAsia"/>
          <w:color w:val="000000"/>
          <w:szCs w:val="32"/>
        </w:rPr>
        <w:t>力争把星火有机硅</w:t>
      </w:r>
      <w:r>
        <w:rPr>
          <w:rFonts w:ascii="仿宋_GB2312" w:eastAsia="仿宋_GB2312" w:hAnsi="仿宋_GB2312" w:cs="仿宋_GB2312" w:hint="eastAsia"/>
          <w:color w:val="000000"/>
          <w:szCs w:val="32"/>
        </w:rPr>
        <w:lastRenderedPageBreak/>
        <w:t>打造成营业收入过</w:t>
      </w:r>
      <w:r>
        <w:rPr>
          <w:rFonts w:ascii="仿宋_GB2312" w:eastAsia="仿宋_GB2312" w:hAnsi="仿宋_GB2312" w:cs="仿宋_GB2312"/>
          <w:color w:val="000000"/>
          <w:szCs w:val="32"/>
        </w:rPr>
        <w:t>100</w:t>
      </w:r>
      <w:r>
        <w:rPr>
          <w:rFonts w:ascii="仿宋_GB2312" w:eastAsia="仿宋_GB2312" w:hAnsi="仿宋_GB2312" w:cs="仿宋_GB2312" w:hint="eastAsia"/>
          <w:color w:val="000000"/>
          <w:szCs w:val="32"/>
        </w:rPr>
        <w:t>亿元、税收过</w:t>
      </w:r>
      <w:r>
        <w:rPr>
          <w:rFonts w:ascii="仿宋_GB2312" w:eastAsia="仿宋_GB2312" w:hAnsi="仿宋_GB2312" w:cs="仿宋_GB2312"/>
          <w:color w:val="000000"/>
          <w:szCs w:val="32"/>
        </w:rPr>
        <w:t>10</w:t>
      </w:r>
      <w:r>
        <w:rPr>
          <w:rFonts w:ascii="仿宋_GB2312" w:eastAsia="仿宋_GB2312" w:hAnsi="仿宋_GB2312" w:cs="仿宋_GB2312" w:hint="eastAsia"/>
          <w:color w:val="000000"/>
          <w:szCs w:val="32"/>
        </w:rPr>
        <w:t>亿元的“航母”企业。以星火有机</w:t>
      </w:r>
      <w:proofErr w:type="gramStart"/>
      <w:r>
        <w:rPr>
          <w:rFonts w:ascii="仿宋_GB2312" w:eastAsia="仿宋_GB2312" w:hAnsi="仿宋_GB2312" w:cs="仿宋_GB2312" w:hint="eastAsia"/>
          <w:color w:val="000000"/>
          <w:szCs w:val="32"/>
        </w:rPr>
        <w:t>硅科创园</w:t>
      </w:r>
      <w:proofErr w:type="gramEnd"/>
      <w:r>
        <w:rPr>
          <w:rFonts w:ascii="仿宋_GB2312" w:eastAsia="仿宋_GB2312" w:hAnsi="仿宋_GB2312" w:cs="仿宋_GB2312" w:hint="eastAsia"/>
          <w:color w:val="000000"/>
          <w:szCs w:val="32"/>
        </w:rPr>
        <w:t>和有机</w:t>
      </w:r>
      <w:proofErr w:type="gramStart"/>
      <w:r>
        <w:rPr>
          <w:rFonts w:ascii="仿宋_GB2312" w:eastAsia="仿宋_GB2312" w:hAnsi="仿宋_GB2312" w:cs="仿宋_GB2312" w:hint="eastAsia"/>
          <w:color w:val="000000"/>
          <w:szCs w:val="32"/>
        </w:rPr>
        <w:t>硅创新</w:t>
      </w:r>
      <w:proofErr w:type="gramEnd"/>
      <w:r>
        <w:rPr>
          <w:rFonts w:ascii="仿宋_GB2312" w:eastAsia="仿宋_GB2312" w:hAnsi="仿宋_GB2312" w:cs="仿宋_GB2312" w:hint="eastAsia"/>
          <w:color w:val="000000"/>
          <w:szCs w:val="32"/>
        </w:rPr>
        <w:t>研究院为载体，引进汽车、建筑、医用、日用化工等领域有机硅终端应用项目，打造完整有机</w:t>
      </w:r>
      <w:proofErr w:type="gramStart"/>
      <w:r>
        <w:rPr>
          <w:rFonts w:ascii="仿宋_GB2312" w:eastAsia="仿宋_GB2312" w:hAnsi="仿宋_GB2312" w:cs="仿宋_GB2312" w:hint="eastAsia"/>
          <w:color w:val="000000"/>
          <w:szCs w:val="32"/>
        </w:rPr>
        <w:t>硅产业</w:t>
      </w:r>
      <w:proofErr w:type="gramEnd"/>
      <w:r>
        <w:rPr>
          <w:rFonts w:ascii="仿宋_GB2312" w:eastAsia="仿宋_GB2312" w:hAnsi="仿宋_GB2312" w:cs="仿宋_GB2312" w:hint="eastAsia"/>
          <w:color w:val="000000"/>
          <w:szCs w:val="32"/>
        </w:rPr>
        <w:t>链条。力争</w:t>
      </w:r>
      <w:r>
        <w:rPr>
          <w:rFonts w:ascii="仿宋_GB2312" w:eastAsia="仿宋_GB2312" w:hAnsi="仿宋_GB2312" w:cs="仿宋_GB2312"/>
          <w:color w:val="000000"/>
          <w:szCs w:val="32"/>
        </w:rPr>
        <w:t>2025</w:t>
      </w:r>
      <w:r>
        <w:rPr>
          <w:rFonts w:ascii="仿宋_GB2312" w:eastAsia="仿宋_GB2312" w:hAnsi="仿宋_GB2312" w:cs="仿宋_GB2312" w:hint="eastAsia"/>
          <w:color w:val="000000"/>
          <w:szCs w:val="32"/>
        </w:rPr>
        <w:t>年有机</w:t>
      </w:r>
      <w:proofErr w:type="gramStart"/>
      <w:r>
        <w:rPr>
          <w:rFonts w:ascii="仿宋_GB2312" w:eastAsia="仿宋_GB2312" w:hAnsi="仿宋_GB2312" w:cs="仿宋_GB2312" w:hint="eastAsia"/>
          <w:color w:val="000000"/>
          <w:szCs w:val="32"/>
        </w:rPr>
        <w:t>硅产业</w:t>
      </w:r>
      <w:proofErr w:type="gramEnd"/>
      <w:r>
        <w:rPr>
          <w:rFonts w:ascii="仿宋_GB2312" w:eastAsia="仿宋_GB2312" w:hAnsi="仿宋_GB2312" w:cs="仿宋_GB2312" w:hint="eastAsia"/>
          <w:color w:val="000000"/>
          <w:szCs w:val="32"/>
        </w:rPr>
        <w:t>规模突破</w:t>
      </w:r>
      <w:r>
        <w:rPr>
          <w:rFonts w:ascii="仿宋_GB2312" w:eastAsia="仿宋_GB2312" w:hAnsi="仿宋_GB2312" w:cs="仿宋_GB2312"/>
          <w:color w:val="000000"/>
          <w:szCs w:val="32"/>
        </w:rPr>
        <w:t>1000</w:t>
      </w:r>
      <w:r>
        <w:rPr>
          <w:rFonts w:ascii="仿宋_GB2312" w:eastAsia="仿宋_GB2312" w:hAnsi="仿宋_GB2312" w:cs="仿宋_GB2312" w:hint="eastAsia"/>
          <w:color w:val="000000"/>
          <w:szCs w:val="32"/>
        </w:rPr>
        <w:t>亿元</w:t>
      </w:r>
      <w:r>
        <w:rPr>
          <w:rFonts w:ascii="仿宋_GB2312" w:eastAsia="仿宋_GB2312" w:hAnsi="仿宋_GB2312" w:cs="仿宋_GB2312" w:hint="eastAsia"/>
          <w:szCs w:val="32"/>
        </w:rPr>
        <w:t>。</w:t>
      </w:r>
    </w:p>
    <w:p w14:paraId="524A29ED"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做精做</w:t>
      </w:r>
      <w:proofErr w:type="gramStart"/>
      <w:r>
        <w:rPr>
          <w:rFonts w:ascii="仿宋_GB2312" w:eastAsia="仿宋_GB2312" w:hAnsi="仿宋_GB2312" w:cs="仿宋_GB2312" w:hint="eastAsia"/>
          <w:b/>
          <w:bCs/>
          <w:szCs w:val="32"/>
        </w:rPr>
        <w:t>特</w:t>
      </w:r>
      <w:proofErr w:type="gramEnd"/>
      <w:r>
        <w:rPr>
          <w:rFonts w:ascii="仿宋_GB2312" w:eastAsia="仿宋_GB2312" w:hAnsi="仿宋_GB2312" w:cs="仿宋_GB2312" w:hint="eastAsia"/>
          <w:b/>
          <w:bCs/>
          <w:szCs w:val="32"/>
        </w:rPr>
        <w:t>绿色建材产业。</w:t>
      </w:r>
      <w:r>
        <w:rPr>
          <w:rFonts w:ascii="仿宋_GB2312" w:eastAsia="仿宋_GB2312" w:hAnsi="仿宋_GB2312" w:cs="仿宋_GB2312" w:hint="eastAsia"/>
          <w:szCs w:val="32"/>
        </w:rPr>
        <w:t>推进绿色建材产业园项目建设，加快形成以康佳新材料、立</w:t>
      </w:r>
      <w:proofErr w:type="gramStart"/>
      <w:r>
        <w:rPr>
          <w:rFonts w:ascii="仿宋_GB2312" w:eastAsia="仿宋_GB2312" w:hAnsi="仿宋_GB2312" w:cs="仿宋_GB2312" w:hint="eastAsia"/>
          <w:szCs w:val="32"/>
        </w:rPr>
        <w:t>邦</w:t>
      </w:r>
      <w:proofErr w:type="gramEnd"/>
      <w:r>
        <w:rPr>
          <w:rFonts w:ascii="仿宋_GB2312" w:eastAsia="仿宋_GB2312" w:hAnsi="仿宋_GB2312" w:cs="仿宋_GB2312" w:hint="eastAsia"/>
          <w:szCs w:val="32"/>
        </w:rPr>
        <w:t>新型材料为核心的绿色建材产业集群。以康佳集团并购金凤凰为契机，推动江西康佳新材料科技有限公司裂变扩张，建成国内最大的第三代纳米微晶石材生产企业，重点开发人造大理石建材下游产业链。依托</w:t>
      </w:r>
      <w:proofErr w:type="gramStart"/>
      <w:r>
        <w:rPr>
          <w:rFonts w:ascii="仿宋_GB2312" w:eastAsia="仿宋_GB2312" w:hAnsi="仿宋_GB2312" w:cs="仿宋_GB2312" w:hint="eastAsia"/>
          <w:szCs w:val="32"/>
        </w:rPr>
        <w:t>砂</w:t>
      </w:r>
      <w:proofErr w:type="gramEnd"/>
      <w:r>
        <w:rPr>
          <w:rFonts w:ascii="仿宋_GB2312" w:eastAsia="仿宋_GB2312" w:hAnsi="仿宋_GB2312" w:cs="仿宋_GB2312" w:hint="eastAsia"/>
          <w:szCs w:val="32"/>
        </w:rPr>
        <w:t>资源禀赋，加快完成吴城松门山新设矿权出让和</w:t>
      </w:r>
      <w:proofErr w:type="gramStart"/>
      <w:r>
        <w:rPr>
          <w:rFonts w:ascii="仿宋_GB2312" w:eastAsia="仿宋_GB2312" w:hAnsi="仿宋_GB2312" w:cs="仿宋_GB2312" w:hint="eastAsia"/>
          <w:szCs w:val="32"/>
        </w:rPr>
        <w:t>矽沙</w:t>
      </w:r>
      <w:proofErr w:type="gramEnd"/>
      <w:r>
        <w:rPr>
          <w:rFonts w:ascii="仿宋_GB2312" w:eastAsia="仿宋_GB2312" w:hAnsi="仿宋_GB2312" w:cs="仿宋_GB2312" w:hint="eastAsia"/>
          <w:szCs w:val="32"/>
        </w:rPr>
        <w:t>矿码头岸线调</w:t>
      </w:r>
      <w:proofErr w:type="gramStart"/>
      <w:r>
        <w:rPr>
          <w:rFonts w:ascii="仿宋_GB2312" w:eastAsia="仿宋_GB2312" w:hAnsi="仿宋_GB2312" w:cs="仿宋_GB2312" w:hint="eastAsia"/>
          <w:szCs w:val="32"/>
        </w:rPr>
        <w:t>规</w:t>
      </w:r>
      <w:proofErr w:type="gramEnd"/>
      <w:r>
        <w:rPr>
          <w:rFonts w:ascii="仿宋_GB2312" w:eastAsia="仿宋_GB2312" w:hAnsi="仿宋_GB2312" w:cs="仿宋_GB2312" w:hint="eastAsia"/>
          <w:szCs w:val="32"/>
        </w:rPr>
        <w:t>，形成以资源开采</w:t>
      </w:r>
      <w:r>
        <w:rPr>
          <w:rFonts w:ascii="仿宋_GB2312" w:eastAsia="仿宋_GB2312" w:hAnsi="仿宋_GB2312" w:cs="仿宋_GB2312"/>
          <w:szCs w:val="32"/>
        </w:rPr>
        <w:t>-</w:t>
      </w:r>
      <w:r>
        <w:rPr>
          <w:rFonts w:ascii="仿宋_GB2312" w:eastAsia="仿宋_GB2312" w:hAnsi="仿宋_GB2312" w:cs="仿宋_GB2312" w:hint="eastAsia"/>
          <w:szCs w:val="32"/>
        </w:rPr>
        <w:t>干粉砂浆加工</w:t>
      </w:r>
      <w:r>
        <w:rPr>
          <w:rFonts w:ascii="仿宋_GB2312" w:eastAsia="仿宋_GB2312" w:hAnsi="仿宋_GB2312" w:cs="仿宋_GB2312"/>
          <w:szCs w:val="32"/>
        </w:rPr>
        <w:t>-</w:t>
      </w:r>
      <w:r>
        <w:rPr>
          <w:rFonts w:ascii="仿宋_GB2312" w:eastAsia="仿宋_GB2312" w:hAnsi="仿宋_GB2312" w:cs="仿宋_GB2312" w:hint="eastAsia"/>
          <w:szCs w:val="32"/>
        </w:rPr>
        <w:t>特种砂浆加工</w:t>
      </w:r>
      <w:r>
        <w:rPr>
          <w:rFonts w:ascii="仿宋_GB2312" w:eastAsia="仿宋_GB2312" w:hAnsi="仿宋_GB2312" w:cs="仿宋_GB2312"/>
          <w:szCs w:val="32"/>
        </w:rPr>
        <w:t>-</w:t>
      </w:r>
      <w:r>
        <w:rPr>
          <w:rFonts w:ascii="仿宋_GB2312" w:eastAsia="仿宋_GB2312" w:hAnsi="仿宋_GB2312" w:cs="仿宋_GB2312" w:hint="eastAsia"/>
          <w:szCs w:val="32"/>
        </w:rPr>
        <w:t>产品销售</w:t>
      </w:r>
      <w:r>
        <w:rPr>
          <w:rFonts w:ascii="仿宋_GB2312" w:eastAsia="仿宋_GB2312" w:hAnsi="仿宋_GB2312" w:cs="仿宋_GB2312"/>
          <w:szCs w:val="32"/>
        </w:rPr>
        <w:t>-</w:t>
      </w:r>
      <w:r>
        <w:rPr>
          <w:rFonts w:ascii="仿宋_GB2312" w:eastAsia="仿宋_GB2312" w:hAnsi="仿宋_GB2312" w:cs="仿宋_GB2312" w:hint="eastAsia"/>
          <w:szCs w:val="32"/>
        </w:rPr>
        <w:t>终端应用为路径的特种砂浆新材料产业链，</w:t>
      </w:r>
      <w:r>
        <w:rPr>
          <w:rFonts w:ascii="仿宋_GB2312" w:eastAsia="仿宋_GB2312" w:hAnsi="仿宋_GB2312" w:cs="仿宋_GB2312" w:hint="eastAsia"/>
          <w:color w:val="000000"/>
          <w:szCs w:val="32"/>
        </w:rPr>
        <w:t>加快推进立</w:t>
      </w:r>
      <w:proofErr w:type="gramStart"/>
      <w:r>
        <w:rPr>
          <w:rFonts w:ascii="仿宋_GB2312" w:eastAsia="仿宋_GB2312" w:hAnsi="仿宋_GB2312" w:cs="仿宋_GB2312" w:hint="eastAsia"/>
          <w:color w:val="000000"/>
          <w:szCs w:val="32"/>
        </w:rPr>
        <w:t>邦</w:t>
      </w:r>
      <w:proofErr w:type="gramEnd"/>
      <w:r>
        <w:rPr>
          <w:rFonts w:ascii="仿宋_GB2312" w:eastAsia="仿宋_GB2312" w:hAnsi="仿宋_GB2312" w:cs="仿宋_GB2312" w:hint="eastAsia"/>
          <w:color w:val="000000"/>
          <w:szCs w:val="32"/>
        </w:rPr>
        <w:t>新型材料、雷霞特种砂浆、东方雨虹、亚</w:t>
      </w:r>
      <w:proofErr w:type="gramStart"/>
      <w:r>
        <w:rPr>
          <w:rFonts w:ascii="仿宋_GB2312" w:eastAsia="仿宋_GB2312" w:hAnsi="仿宋_GB2312" w:cs="仿宋_GB2312" w:hint="eastAsia"/>
          <w:color w:val="000000"/>
          <w:szCs w:val="32"/>
        </w:rPr>
        <w:t>士创能</w:t>
      </w:r>
      <w:proofErr w:type="gramEnd"/>
      <w:r>
        <w:rPr>
          <w:rFonts w:ascii="仿宋_GB2312" w:eastAsia="仿宋_GB2312" w:hAnsi="仿宋_GB2312" w:cs="仿宋_GB2312" w:hint="eastAsia"/>
          <w:color w:val="000000"/>
          <w:szCs w:val="32"/>
        </w:rPr>
        <w:t>、圣戈班、牛元防水等一批龙头企业，</w:t>
      </w:r>
      <w:r>
        <w:rPr>
          <w:rFonts w:ascii="仿宋_GB2312" w:eastAsia="仿宋_GB2312" w:hAnsi="仿宋_GB2312" w:cs="仿宋_GB2312" w:hint="eastAsia"/>
          <w:szCs w:val="32"/>
        </w:rPr>
        <w:t>将云山工业园打造成为百亿级绿色建材产业园</w:t>
      </w:r>
      <w:r>
        <w:rPr>
          <w:rFonts w:ascii="仿宋_GB2312" w:eastAsia="仿宋_GB2312" w:hAnsi="仿宋_GB2312" w:cs="仿宋_GB2312" w:hint="eastAsia"/>
          <w:color w:val="000000"/>
          <w:szCs w:val="32"/>
        </w:rPr>
        <w:t>。</w:t>
      </w:r>
      <w:r>
        <w:rPr>
          <w:rFonts w:ascii="仿宋_GB2312" w:eastAsia="仿宋_GB2312" w:hAnsi="仿宋_GB2312" w:cs="仿宋_GB2312" w:hint="eastAsia"/>
          <w:szCs w:val="32"/>
        </w:rPr>
        <w:t>力争到</w:t>
      </w:r>
      <w:r>
        <w:rPr>
          <w:rFonts w:ascii="仿宋_GB2312" w:eastAsia="仿宋_GB2312" w:hAnsi="仿宋_GB2312" w:cs="仿宋_GB2312"/>
          <w:szCs w:val="32"/>
        </w:rPr>
        <w:t>2025</w:t>
      </w:r>
      <w:r>
        <w:rPr>
          <w:rFonts w:ascii="仿宋_GB2312" w:eastAsia="仿宋_GB2312" w:hAnsi="仿宋_GB2312" w:cs="仿宋_GB2312" w:hint="eastAsia"/>
          <w:szCs w:val="32"/>
        </w:rPr>
        <w:t>年打造</w:t>
      </w:r>
      <w:r>
        <w:rPr>
          <w:rFonts w:ascii="仿宋_GB2312" w:eastAsia="仿宋_GB2312" w:hAnsi="仿宋_GB2312" w:cs="仿宋_GB2312"/>
          <w:szCs w:val="32"/>
        </w:rPr>
        <w:t>100</w:t>
      </w:r>
      <w:r>
        <w:rPr>
          <w:rFonts w:ascii="仿宋_GB2312" w:eastAsia="仿宋_GB2312" w:hAnsi="仿宋_GB2312" w:cs="仿宋_GB2312" w:hint="eastAsia"/>
          <w:szCs w:val="32"/>
        </w:rPr>
        <w:t>亿级绿色建材产业链和百亿级绿色建材产业园。</w:t>
      </w:r>
    </w:p>
    <w:p w14:paraId="02375A05"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做大做强电子信息和高端装备产业。</w:t>
      </w:r>
      <w:r>
        <w:rPr>
          <w:rFonts w:ascii="仿宋_GB2312" w:eastAsia="仿宋_GB2312" w:hAnsi="仿宋_GB2312" w:cs="仿宋_GB2312" w:hint="eastAsia"/>
          <w:color w:val="000000"/>
          <w:szCs w:val="32"/>
        </w:rPr>
        <w:t>以银河表计为龙头，拓展国内外市场，加快推进银河表计二期全智能化车间建设，大力引进一批关联项目，打造全省知名的电子信息产业基地。打造以中车、新松机器人为支撑的高端装备产业集群，着力引进汽车精密零部件、机器人微电机、智能终端精密配件等</w:t>
      </w:r>
      <w:r>
        <w:rPr>
          <w:rFonts w:ascii="仿宋_GB2312" w:eastAsia="仿宋_GB2312" w:hAnsi="仿宋_GB2312" w:cs="仿宋_GB2312" w:hint="eastAsia"/>
          <w:color w:val="000000"/>
          <w:szCs w:val="32"/>
        </w:rPr>
        <w:lastRenderedPageBreak/>
        <w:t>一批配套企业，形成从研发、生产到成品组装的全产业链，力争到</w:t>
      </w:r>
      <w:r>
        <w:rPr>
          <w:rFonts w:ascii="仿宋_GB2312" w:eastAsia="仿宋_GB2312" w:hAnsi="仿宋_GB2312" w:cs="仿宋_GB2312"/>
          <w:color w:val="000000"/>
          <w:szCs w:val="32"/>
        </w:rPr>
        <w:t>2025</w:t>
      </w:r>
      <w:r>
        <w:rPr>
          <w:rFonts w:ascii="仿宋_GB2312" w:eastAsia="仿宋_GB2312" w:hAnsi="仿宋_GB2312" w:cs="仿宋_GB2312" w:hint="eastAsia"/>
          <w:color w:val="000000"/>
          <w:szCs w:val="32"/>
        </w:rPr>
        <w:t>年打造</w:t>
      </w:r>
      <w:r>
        <w:rPr>
          <w:rFonts w:ascii="仿宋_GB2312" w:eastAsia="仿宋_GB2312" w:hAnsi="仿宋_GB2312" w:cs="仿宋_GB2312"/>
          <w:color w:val="000000"/>
          <w:szCs w:val="32"/>
        </w:rPr>
        <w:t>100</w:t>
      </w:r>
      <w:r>
        <w:rPr>
          <w:rFonts w:ascii="仿宋_GB2312" w:eastAsia="仿宋_GB2312" w:hAnsi="仿宋_GB2312" w:cs="仿宋_GB2312" w:hint="eastAsia"/>
          <w:color w:val="000000"/>
          <w:szCs w:val="32"/>
        </w:rPr>
        <w:t>亿级的电子信息和装备产业链，打造中车智能交通产业园和新松机器人产业园</w:t>
      </w:r>
      <w:r>
        <w:rPr>
          <w:rFonts w:ascii="仿宋_GB2312" w:eastAsia="仿宋_GB2312" w:hAnsi="仿宋_GB2312" w:cs="仿宋_GB2312" w:hint="eastAsia"/>
          <w:szCs w:val="32"/>
        </w:rPr>
        <w:t>。</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5"/>
      </w:tblGrid>
      <w:tr w:rsidR="00EE55DB" w14:paraId="2D6AB1A4" w14:textId="77777777">
        <w:trPr>
          <w:jc w:val="center"/>
        </w:trPr>
        <w:tc>
          <w:tcPr>
            <w:tcW w:w="8355" w:type="dxa"/>
          </w:tcPr>
          <w:p w14:paraId="20851B07" w14:textId="77777777" w:rsidR="00EE55DB" w:rsidRDefault="00000000">
            <w:pPr>
              <w:pStyle w:val="21"/>
              <w:ind w:firstLine="482"/>
              <w:jc w:val="center"/>
              <w:rPr>
                <w:rFonts w:cs="黑体"/>
              </w:rPr>
            </w:pPr>
            <w:r>
              <w:rPr>
                <w:rFonts w:cs="黑体" w:hint="eastAsia"/>
                <w:b/>
                <w:bCs/>
              </w:rPr>
              <w:t>专栏</w:t>
            </w:r>
            <w:r>
              <w:rPr>
                <w:rFonts w:cs="黑体"/>
                <w:b/>
                <w:bCs/>
              </w:rPr>
              <w:t xml:space="preserve">3  </w:t>
            </w:r>
            <w:r>
              <w:rPr>
                <w:rFonts w:cs="黑体" w:hint="eastAsia"/>
                <w:b/>
                <w:bCs/>
              </w:rPr>
              <w:t>制造业培育重点项目</w:t>
            </w:r>
          </w:p>
        </w:tc>
      </w:tr>
      <w:tr w:rsidR="00EE55DB" w14:paraId="660AF4A6" w14:textId="77777777">
        <w:trPr>
          <w:jc w:val="center"/>
        </w:trPr>
        <w:tc>
          <w:tcPr>
            <w:tcW w:w="8355" w:type="dxa"/>
          </w:tcPr>
          <w:p w14:paraId="712D9FBD" w14:textId="77777777" w:rsidR="00EE55DB" w:rsidRDefault="00000000">
            <w:pPr>
              <w:pStyle w:val="21"/>
              <w:numPr>
                <w:ilvl w:val="255"/>
                <w:numId w:val="0"/>
              </w:numPr>
              <w:ind w:firstLine="482"/>
              <w:rPr>
                <w:rFonts w:cs="黑体"/>
                <w:b/>
                <w:bCs/>
              </w:rPr>
            </w:pPr>
            <w:r>
              <w:rPr>
                <w:rFonts w:cs="黑体" w:hint="eastAsia"/>
                <w:b/>
                <w:bCs/>
              </w:rPr>
              <w:t>（一）有机硅产业</w:t>
            </w:r>
          </w:p>
          <w:p w14:paraId="7E561A94" w14:textId="77777777" w:rsidR="00EE55DB" w:rsidRDefault="00000000">
            <w:pPr>
              <w:pStyle w:val="21"/>
              <w:numPr>
                <w:ilvl w:val="255"/>
                <w:numId w:val="0"/>
              </w:numPr>
              <w:ind w:firstLine="480"/>
              <w:rPr>
                <w:rFonts w:cs="黑体"/>
              </w:rPr>
            </w:pPr>
            <w:r>
              <w:rPr>
                <w:rFonts w:cs="黑体" w:hint="eastAsia"/>
              </w:rPr>
              <w:t>重点项目为江西蓝星星火有机硅公司</w:t>
            </w:r>
            <w:r>
              <w:rPr>
                <w:rFonts w:cs="黑体"/>
              </w:rPr>
              <w:t>20</w:t>
            </w:r>
            <w:r>
              <w:rPr>
                <w:rFonts w:cs="黑体" w:hint="eastAsia"/>
              </w:rPr>
              <w:t>万吨</w:t>
            </w:r>
            <w:r>
              <w:rPr>
                <w:rFonts w:cs="黑体"/>
              </w:rPr>
              <w:t>/</w:t>
            </w:r>
            <w:r>
              <w:rPr>
                <w:rFonts w:cs="黑体" w:hint="eastAsia"/>
              </w:rPr>
              <w:t>年有机硅单体及配套装置项目、</w:t>
            </w:r>
            <w:r>
              <w:rPr>
                <w:rFonts w:cs="仿宋_GB2312" w:hint="eastAsia"/>
                <w:color w:val="000000"/>
                <w:szCs w:val="32"/>
              </w:rPr>
              <w:t>卡博特</w:t>
            </w:r>
            <w:r>
              <w:rPr>
                <w:rFonts w:cs="仿宋_GB2312"/>
                <w:color w:val="000000"/>
                <w:szCs w:val="32"/>
              </w:rPr>
              <w:t>8000</w:t>
            </w:r>
            <w:r>
              <w:rPr>
                <w:rFonts w:cs="仿宋_GB2312" w:hint="eastAsia"/>
                <w:color w:val="000000"/>
                <w:szCs w:val="32"/>
              </w:rPr>
              <w:t>吨气相化二氧化硅扩能项目、</w:t>
            </w:r>
            <w:r>
              <w:rPr>
                <w:rFonts w:cs="黑体" w:hint="eastAsia"/>
              </w:rPr>
              <w:t>九江润禾合成材料有限公司年产</w:t>
            </w:r>
            <w:r>
              <w:rPr>
                <w:rFonts w:cs="黑体"/>
              </w:rPr>
              <w:t>3.5</w:t>
            </w:r>
            <w:r>
              <w:rPr>
                <w:rFonts w:cs="黑体" w:hint="eastAsia"/>
              </w:rPr>
              <w:t>万吨有机硅新材料及其配套产品项目、卡博特蓝星化工</w:t>
            </w:r>
            <w:r>
              <w:rPr>
                <w:rFonts w:cs="黑体"/>
              </w:rPr>
              <w:t>(</w:t>
            </w:r>
            <w:r>
              <w:rPr>
                <w:rFonts w:cs="黑体" w:hint="eastAsia"/>
              </w:rPr>
              <w:t>江西</w:t>
            </w:r>
            <w:r>
              <w:rPr>
                <w:rFonts w:cs="黑体"/>
              </w:rPr>
              <w:t>)</w:t>
            </w:r>
            <w:r>
              <w:rPr>
                <w:rFonts w:cs="黑体" w:hint="eastAsia"/>
              </w:rPr>
              <w:t>有限公司年产</w:t>
            </w:r>
            <w:r>
              <w:rPr>
                <w:rFonts w:cs="黑体"/>
              </w:rPr>
              <w:t>8000</w:t>
            </w:r>
            <w:r>
              <w:rPr>
                <w:rFonts w:cs="黑体" w:hint="eastAsia"/>
              </w:rPr>
              <w:t>吨气相二氧化硅生产装置项目。</w:t>
            </w:r>
          </w:p>
          <w:p w14:paraId="4846A8F6" w14:textId="77777777" w:rsidR="00EE55DB" w:rsidRDefault="00000000">
            <w:pPr>
              <w:pStyle w:val="21"/>
              <w:numPr>
                <w:ilvl w:val="255"/>
                <w:numId w:val="0"/>
              </w:numPr>
              <w:ind w:firstLine="482"/>
              <w:rPr>
                <w:rFonts w:cs="黑体"/>
                <w:b/>
                <w:bCs/>
              </w:rPr>
            </w:pPr>
            <w:r>
              <w:rPr>
                <w:rFonts w:cs="黑体" w:hint="eastAsia"/>
                <w:b/>
                <w:bCs/>
              </w:rPr>
              <w:t>（二）绿色建材产业</w:t>
            </w:r>
          </w:p>
          <w:p w14:paraId="59CCAF52" w14:textId="77777777" w:rsidR="00EE55DB" w:rsidRDefault="00000000">
            <w:pPr>
              <w:pStyle w:val="21"/>
              <w:numPr>
                <w:ilvl w:val="255"/>
                <w:numId w:val="0"/>
              </w:numPr>
              <w:ind w:firstLine="480"/>
              <w:rPr>
                <w:rFonts w:cs="黑体"/>
              </w:rPr>
            </w:pPr>
            <w:r>
              <w:rPr>
                <w:rFonts w:cs="黑体" w:hint="eastAsia"/>
              </w:rPr>
              <w:t>重点项目为立</w:t>
            </w:r>
            <w:proofErr w:type="gramStart"/>
            <w:r>
              <w:rPr>
                <w:rFonts w:cs="黑体" w:hint="eastAsia"/>
              </w:rPr>
              <w:t>邦</w:t>
            </w:r>
            <w:proofErr w:type="gramEnd"/>
            <w:r>
              <w:rPr>
                <w:rFonts w:cs="黑体" w:hint="eastAsia"/>
              </w:rPr>
              <w:t>新型材料（江西）有限公司年产</w:t>
            </w:r>
            <w:r>
              <w:rPr>
                <w:rFonts w:cs="黑体"/>
              </w:rPr>
              <w:t>10</w:t>
            </w:r>
            <w:r>
              <w:rPr>
                <w:rFonts w:cs="黑体" w:hint="eastAsia"/>
              </w:rPr>
              <w:t>万吨新型环保仿石材涂料系列产品、</w:t>
            </w:r>
            <w:r>
              <w:rPr>
                <w:rFonts w:cs="黑体"/>
              </w:rPr>
              <w:t>150</w:t>
            </w:r>
            <w:r>
              <w:rPr>
                <w:rFonts w:cs="黑体" w:hint="eastAsia"/>
              </w:rPr>
              <w:t>万吨新型环保特种干粉粉料系列产品及以上项目配套公用工程江西非跃新型建材有限公司年产</w:t>
            </w:r>
            <w:r>
              <w:rPr>
                <w:rFonts w:cs="黑体"/>
              </w:rPr>
              <w:t>110</w:t>
            </w:r>
            <w:r>
              <w:rPr>
                <w:rFonts w:cs="黑体" w:hint="eastAsia"/>
              </w:rPr>
              <w:t>万㎡新型绿色建材项目、</w:t>
            </w:r>
            <w:proofErr w:type="gramStart"/>
            <w:r>
              <w:rPr>
                <w:rFonts w:cs="黑体" w:hint="eastAsia"/>
              </w:rPr>
              <w:t>金幕新型材料</w:t>
            </w:r>
            <w:proofErr w:type="gramEnd"/>
            <w:r>
              <w:rPr>
                <w:rFonts w:cs="黑体" w:hint="eastAsia"/>
              </w:rPr>
              <w:t>有限公司绿色建材铝单板项目、赣江新区城建科技有限公司年产</w:t>
            </w:r>
            <w:r>
              <w:rPr>
                <w:rFonts w:cs="黑体"/>
              </w:rPr>
              <w:t>PC</w:t>
            </w:r>
            <w:r>
              <w:rPr>
                <w:rFonts w:cs="黑体" w:hint="eastAsia"/>
              </w:rPr>
              <w:t>构件</w:t>
            </w:r>
            <w:r>
              <w:rPr>
                <w:rFonts w:cs="黑体"/>
              </w:rPr>
              <w:t>30</w:t>
            </w:r>
            <w:r>
              <w:rPr>
                <w:rFonts w:cs="黑体" w:hint="eastAsia"/>
              </w:rPr>
              <w:t>万</w:t>
            </w:r>
            <w:r>
              <w:rPr>
                <w:rFonts w:cs="黑体"/>
              </w:rPr>
              <w:t>m</w:t>
            </w:r>
            <w:r>
              <w:rPr>
                <w:rFonts w:cs="黑体" w:hint="eastAsia"/>
              </w:rPr>
              <w:t>³项目、江西功诚新科技有限公司年产</w:t>
            </w:r>
            <w:r>
              <w:rPr>
                <w:rFonts w:cs="黑体"/>
              </w:rPr>
              <w:t>600</w:t>
            </w:r>
            <w:r>
              <w:rPr>
                <w:rFonts w:cs="黑体" w:hint="eastAsia"/>
              </w:rPr>
              <w:t>套施工设备、</w:t>
            </w:r>
            <w:r>
              <w:rPr>
                <w:rFonts w:cs="黑体"/>
              </w:rPr>
              <w:t>200</w:t>
            </w:r>
            <w:r>
              <w:rPr>
                <w:rFonts w:cs="黑体" w:hint="eastAsia"/>
              </w:rPr>
              <w:t>万吨地坪材料项目、年产</w:t>
            </w:r>
            <w:r>
              <w:rPr>
                <w:rFonts w:cs="黑体"/>
              </w:rPr>
              <w:t>2</w:t>
            </w:r>
            <w:r>
              <w:rPr>
                <w:rFonts w:cs="黑体" w:hint="eastAsia"/>
              </w:rPr>
              <w:t>亿块新型墙体砖建设项目。</w:t>
            </w:r>
          </w:p>
          <w:p w14:paraId="1C6EC158" w14:textId="77777777" w:rsidR="00EE55DB" w:rsidRDefault="00000000">
            <w:pPr>
              <w:pStyle w:val="21"/>
              <w:numPr>
                <w:ilvl w:val="255"/>
                <w:numId w:val="0"/>
              </w:numPr>
              <w:ind w:firstLine="482"/>
              <w:rPr>
                <w:rFonts w:cs="黑体"/>
                <w:b/>
                <w:bCs/>
              </w:rPr>
            </w:pPr>
            <w:r>
              <w:rPr>
                <w:rFonts w:cs="黑体" w:hint="eastAsia"/>
                <w:b/>
                <w:bCs/>
              </w:rPr>
              <w:t>（三）电子信息和高端装备产业</w:t>
            </w:r>
          </w:p>
          <w:p w14:paraId="5FFC1DAA" w14:textId="77777777" w:rsidR="00EE55DB" w:rsidRDefault="00000000">
            <w:pPr>
              <w:pStyle w:val="21"/>
              <w:numPr>
                <w:ilvl w:val="255"/>
                <w:numId w:val="0"/>
              </w:numPr>
              <w:rPr>
                <w:rFonts w:cs="黑体"/>
              </w:rPr>
            </w:pPr>
            <w:r>
              <w:rPr>
                <w:rFonts w:cs="黑体"/>
                <w:b/>
                <w:bCs/>
                <w:color w:val="0000FF"/>
              </w:rPr>
              <w:t xml:space="preserve">   </w:t>
            </w:r>
            <w:r>
              <w:rPr>
                <w:rFonts w:cs="黑体"/>
              </w:rPr>
              <w:t xml:space="preserve"> </w:t>
            </w:r>
            <w:r>
              <w:rPr>
                <w:rFonts w:cs="黑体" w:hint="eastAsia"/>
              </w:rPr>
              <w:t>重点项目为中车智能交通产业园项目、</w:t>
            </w:r>
            <w:proofErr w:type="gramStart"/>
            <w:r>
              <w:rPr>
                <w:rFonts w:cs="黑体" w:hint="eastAsia"/>
              </w:rPr>
              <w:t>江西申航汽车</w:t>
            </w:r>
            <w:proofErr w:type="gramEnd"/>
            <w:r>
              <w:rPr>
                <w:rFonts w:cs="黑体" w:hint="eastAsia"/>
              </w:rPr>
              <w:t>零部件锻造有限公司</w:t>
            </w:r>
            <w:r>
              <w:rPr>
                <w:rFonts w:cs="黑体"/>
              </w:rPr>
              <w:t>150</w:t>
            </w:r>
            <w:r>
              <w:rPr>
                <w:rFonts w:cs="黑体" w:hint="eastAsia"/>
              </w:rPr>
              <w:t>万件花键轴等生产项目、</w:t>
            </w:r>
            <w:proofErr w:type="gramStart"/>
            <w:r>
              <w:rPr>
                <w:rFonts w:cs="黑体" w:hint="eastAsia"/>
              </w:rPr>
              <w:t>昂展机械</w:t>
            </w:r>
            <w:proofErr w:type="gramEnd"/>
            <w:r>
              <w:rPr>
                <w:rFonts w:cs="黑体" w:hint="eastAsia"/>
              </w:rPr>
              <w:t>设备有限公司汽车配件冲压件、焊装件项目。</w:t>
            </w:r>
          </w:p>
        </w:tc>
      </w:tr>
    </w:tbl>
    <w:p w14:paraId="4D5861BD" w14:textId="77777777" w:rsidR="00EE55DB" w:rsidRDefault="00000000">
      <w:pPr>
        <w:pStyle w:val="2"/>
        <w:spacing w:before="156" w:after="156"/>
      </w:pPr>
      <w:bookmarkStart w:id="22" w:name="_Toc23122"/>
      <w:r>
        <w:rPr>
          <w:rFonts w:hint="eastAsia"/>
        </w:rPr>
        <w:t>第二节</w:t>
      </w:r>
      <w:r>
        <w:t xml:space="preserve"> </w:t>
      </w:r>
      <w:r>
        <w:rPr>
          <w:rFonts w:hint="eastAsia"/>
        </w:rPr>
        <w:t>全面实施数字经济“一号工程”</w:t>
      </w:r>
      <w:bookmarkEnd w:id="22"/>
    </w:p>
    <w:p w14:paraId="52AA7CE8" w14:textId="77777777" w:rsidR="00EE55DB" w:rsidRDefault="00000000">
      <w:pPr>
        <w:ind w:firstLine="640"/>
        <w:rPr>
          <w:rFonts w:ascii="仿宋_GB2312" w:eastAsia="仿宋_GB2312" w:hAnsi="仿宋_GB2312" w:cs="仿宋_GB2312"/>
          <w:bCs/>
          <w:szCs w:val="32"/>
        </w:rPr>
      </w:pPr>
      <w:r>
        <w:rPr>
          <w:rFonts w:ascii="仿宋_GB2312" w:eastAsia="仿宋_GB2312" w:hAnsi="仿宋_GB2312" w:cs="仿宋_GB2312" w:hint="eastAsia"/>
          <w:b/>
          <w:bCs/>
          <w:szCs w:val="32"/>
        </w:rPr>
        <w:t>培育数字产业化。</w:t>
      </w:r>
      <w:r>
        <w:rPr>
          <w:rFonts w:ascii="仿宋_GB2312" w:eastAsia="仿宋_GB2312" w:hAnsi="仿宋_GB2312" w:cs="仿宋_GB2312" w:hint="eastAsia"/>
          <w:bCs/>
          <w:szCs w:val="32"/>
        </w:rPr>
        <w:t>加快永修大数据中心建设，积极争取北斗数据中心江西分中心落户我县。依托思科产学研创新孵化中心、新经济孵化器、</w:t>
      </w:r>
      <w:proofErr w:type="gramStart"/>
      <w:r>
        <w:rPr>
          <w:rFonts w:ascii="仿宋_GB2312" w:eastAsia="仿宋_GB2312" w:hAnsi="仿宋_GB2312" w:cs="仿宋_GB2312" w:hint="eastAsia"/>
          <w:bCs/>
          <w:szCs w:val="32"/>
        </w:rPr>
        <w:t>星火众创空间</w:t>
      </w:r>
      <w:proofErr w:type="gramEnd"/>
      <w:r>
        <w:rPr>
          <w:rFonts w:ascii="仿宋_GB2312" w:eastAsia="仿宋_GB2312" w:hAnsi="仿宋_GB2312" w:cs="仿宋_GB2312" w:hint="eastAsia"/>
          <w:bCs/>
          <w:szCs w:val="32"/>
        </w:rPr>
        <w:t>、</w:t>
      </w:r>
      <w:proofErr w:type="gramStart"/>
      <w:r>
        <w:rPr>
          <w:rFonts w:ascii="仿宋_GB2312" w:eastAsia="仿宋_GB2312" w:hAnsi="仿宋_GB2312" w:cs="仿宋_GB2312" w:hint="eastAsia"/>
          <w:bCs/>
          <w:szCs w:val="32"/>
        </w:rPr>
        <w:t>云硅电子商务</w:t>
      </w:r>
      <w:proofErr w:type="gramEnd"/>
      <w:r>
        <w:rPr>
          <w:rFonts w:ascii="仿宋_GB2312" w:eastAsia="仿宋_GB2312" w:hAnsi="仿宋_GB2312" w:cs="仿宋_GB2312" w:hint="eastAsia"/>
          <w:bCs/>
          <w:szCs w:val="32"/>
        </w:rPr>
        <w:t>公司等平台，构建工业互联网服务体系，壮大县域互联网数字经济新动能。统筹推进</w:t>
      </w:r>
      <w:r>
        <w:rPr>
          <w:rFonts w:ascii="仿宋_GB2312" w:eastAsia="仿宋_GB2312" w:hAnsi="仿宋_GB2312" w:cs="仿宋_GB2312"/>
          <w:bCs/>
          <w:szCs w:val="32"/>
        </w:rPr>
        <w:t>5G</w:t>
      </w:r>
      <w:r>
        <w:rPr>
          <w:rFonts w:ascii="仿宋_GB2312" w:eastAsia="仿宋_GB2312" w:hAnsi="仿宋_GB2312" w:cs="仿宋_GB2312" w:hint="eastAsia"/>
          <w:bCs/>
          <w:szCs w:val="32"/>
        </w:rPr>
        <w:t>网络、千兆光纤、大数据中心等新</w:t>
      </w:r>
      <w:r>
        <w:rPr>
          <w:rFonts w:ascii="仿宋_GB2312" w:eastAsia="仿宋_GB2312" w:hAnsi="仿宋_GB2312" w:cs="仿宋_GB2312" w:hint="eastAsia"/>
          <w:bCs/>
          <w:szCs w:val="32"/>
        </w:rPr>
        <w:lastRenderedPageBreak/>
        <w:t>型基础设施建设，推动新一代宽带无线移动通信</w:t>
      </w:r>
      <w:proofErr w:type="gramStart"/>
      <w:r>
        <w:rPr>
          <w:rFonts w:ascii="仿宋_GB2312" w:eastAsia="仿宋_GB2312" w:hAnsi="仿宋_GB2312" w:cs="仿宋_GB2312" w:hint="eastAsia"/>
          <w:bCs/>
          <w:szCs w:val="32"/>
        </w:rPr>
        <w:t>网国家</w:t>
      </w:r>
      <w:proofErr w:type="gramEnd"/>
      <w:r>
        <w:rPr>
          <w:rFonts w:ascii="仿宋_GB2312" w:eastAsia="仿宋_GB2312" w:hAnsi="仿宋_GB2312" w:cs="仿宋_GB2312" w:hint="eastAsia"/>
          <w:bCs/>
          <w:szCs w:val="32"/>
        </w:rPr>
        <w:t>科技重大专项成果在永修转化，支持思科产学研创新孵化中心建设“江西省物联网公共支撑平台”。提升数字产业能级，全力引进数字经济、智造经济、绿色经济和共享经济等科技型中小微企业，加快布局移动智能终端产业生态，重点发展以大数据、云计算、区块链为先导的软件和信息服务业，大力发展芯片、传感器、无线模组、系统集成、运营服务等物联网核心产业培育发展新动能。加强</w:t>
      </w:r>
      <w:r>
        <w:rPr>
          <w:rFonts w:ascii="仿宋_GB2312" w:eastAsia="仿宋_GB2312" w:hAnsi="仿宋_GB2312" w:cs="仿宋_GB2312"/>
          <w:bCs/>
          <w:szCs w:val="32"/>
        </w:rPr>
        <w:t>VR</w:t>
      </w:r>
      <w:r>
        <w:rPr>
          <w:rFonts w:ascii="仿宋_GB2312" w:eastAsia="仿宋_GB2312" w:hAnsi="仿宋_GB2312" w:cs="仿宋_GB2312" w:hint="eastAsia"/>
          <w:bCs/>
          <w:szCs w:val="32"/>
        </w:rPr>
        <w:t>在文化旅游、教育、智慧工程等领域的应用，培育大数据规划师、算法工程师、程序设计师等队伍，形成大数据产品、解决方案和服务应用，支持高端工业软件、新型工业</w:t>
      </w:r>
      <w:r>
        <w:rPr>
          <w:rFonts w:ascii="仿宋_GB2312" w:eastAsia="仿宋_GB2312" w:hAnsi="仿宋_GB2312" w:cs="仿宋_GB2312"/>
          <w:bCs/>
          <w:szCs w:val="32"/>
        </w:rPr>
        <w:t>APP</w:t>
      </w:r>
      <w:r>
        <w:rPr>
          <w:rFonts w:ascii="仿宋_GB2312" w:eastAsia="仿宋_GB2312" w:hAnsi="仿宋_GB2312" w:cs="仿宋_GB2312" w:hint="eastAsia"/>
          <w:bCs/>
          <w:szCs w:val="32"/>
        </w:rPr>
        <w:t>研发和应用。加快培育基于互联网、物联网、大数据、</w:t>
      </w:r>
      <w:proofErr w:type="gramStart"/>
      <w:r>
        <w:rPr>
          <w:rFonts w:ascii="仿宋_GB2312" w:eastAsia="仿宋_GB2312" w:hAnsi="仿宋_GB2312" w:cs="仿宋_GB2312" w:hint="eastAsia"/>
          <w:bCs/>
          <w:szCs w:val="32"/>
        </w:rPr>
        <w:t>云计算</w:t>
      </w:r>
      <w:proofErr w:type="gramEnd"/>
      <w:r>
        <w:rPr>
          <w:rFonts w:ascii="仿宋_GB2312" w:eastAsia="仿宋_GB2312" w:hAnsi="仿宋_GB2312" w:cs="仿宋_GB2312" w:hint="eastAsia"/>
          <w:bCs/>
          <w:szCs w:val="32"/>
        </w:rPr>
        <w:t>的在线娱乐、消费、社交、咨询等新兴服务业态，推动信息消费，鼓励数据依法合理有效开发利用和保护。</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6"/>
      </w:tblGrid>
      <w:tr w:rsidR="00EE55DB" w14:paraId="5542040E" w14:textId="77777777">
        <w:trPr>
          <w:jc w:val="center"/>
        </w:trPr>
        <w:tc>
          <w:tcPr>
            <w:tcW w:w="8256" w:type="dxa"/>
          </w:tcPr>
          <w:p w14:paraId="7186A3AC"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4  </w:t>
            </w:r>
            <w:r>
              <w:rPr>
                <w:rFonts w:cs="黑体" w:hint="eastAsia"/>
                <w:b/>
                <w:bCs/>
              </w:rPr>
              <w:t>数字产业化培育工程</w:t>
            </w:r>
          </w:p>
        </w:tc>
      </w:tr>
      <w:tr w:rsidR="00EE55DB" w14:paraId="71EECDC1" w14:textId="77777777">
        <w:trPr>
          <w:jc w:val="center"/>
        </w:trPr>
        <w:tc>
          <w:tcPr>
            <w:tcW w:w="8256" w:type="dxa"/>
          </w:tcPr>
          <w:p w14:paraId="60A26F9D" w14:textId="77777777" w:rsidR="00EE55DB" w:rsidRDefault="00000000">
            <w:pPr>
              <w:pStyle w:val="21"/>
              <w:ind w:firstLine="482"/>
              <w:rPr>
                <w:rFonts w:cs="黑体"/>
                <w:b/>
                <w:bCs/>
              </w:rPr>
            </w:pPr>
            <w:r>
              <w:rPr>
                <w:rFonts w:cs="黑体" w:hint="eastAsia"/>
                <w:b/>
                <w:bCs/>
              </w:rPr>
              <w:t>（一）人工智能产业培育工程</w:t>
            </w:r>
          </w:p>
          <w:p w14:paraId="52A0D4C4" w14:textId="77777777" w:rsidR="00EE55DB" w:rsidRDefault="00000000">
            <w:pPr>
              <w:pStyle w:val="21"/>
              <w:ind w:firstLine="480"/>
              <w:rPr>
                <w:rFonts w:cs="黑体"/>
              </w:rPr>
            </w:pPr>
            <w:r>
              <w:rPr>
                <w:rFonts w:cs="黑体" w:hint="eastAsia"/>
              </w:rPr>
              <w:t>加快推进新松智能制造产业园项目建设，建设智能制造研发创新公共服务平台、智能制造联合研究院、机器人应用研发创新基地、机器人应用示范基地一期、机器人装备生产基地一期以及智能制造产业基地一期。到</w:t>
            </w:r>
            <w:r>
              <w:rPr>
                <w:rFonts w:cs="黑体"/>
              </w:rPr>
              <w:t>2025</w:t>
            </w:r>
            <w:r>
              <w:rPr>
                <w:rFonts w:cs="黑体" w:hint="eastAsia"/>
              </w:rPr>
              <w:t>年底，引进关联企业</w:t>
            </w:r>
            <w:r>
              <w:rPr>
                <w:rFonts w:cs="黑体"/>
              </w:rPr>
              <w:t>5</w:t>
            </w:r>
            <w:r>
              <w:rPr>
                <w:rFonts w:cs="黑体" w:hint="eastAsia"/>
              </w:rPr>
              <w:t>家，全县人工智能相关产业营业收入突破</w:t>
            </w:r>
            <w:r>
              <w:rPr>
                <w:rFonts w:cs="黑体"/>
              </w:rPr>
              <w:t>50</w:t>
            </w:r>
            <w:r>
              <w:rPr>
                <w:rFonts w:cs="黑体" w:hint="eastAsia"/>
              </w:rPr>
              <w:t>亿元。</w:t>
            </w:r>
          </w:p>
          <w:p w14:paraId="7F0F5145" w14:textId="77777777" w:rsidR="00EE55DB" w:rsidRDefault="00000000">
            <w:pPr>
              <w:pStyle w:val="21"/>
              <w:ind w:firstLine="482"/>
              <w:rPr>
                <w:rFonts w:cs="黑体"/>
                <w:b/>
                <w:bCs/>
              </w:rPr>
            </w:pPr>
            <w:r>
              <w:rPr>
                <w:rFonts w:cs="黑体" w:hint="eastAsia"/>
                <w:b/>
                <w:bCs/>
              </w:rPr>
              <w:t>（二）大数据与物联网产业培育工程</w:t>
            </w:r>
          </w:p>
          <w:p w14:paraId="09ADBDC1" w14:textId="77777777" w:rsidR="00EE55DB" w:rsidRDefault="00000000">
            <w:pPr>
              <w:pStyle w:val="21"/>
              <w:ind w:firstLine="480"/>
              <w:rPr>
                <w:rFonts w:cs="黑体"/>
              </w:rPr>
            </w:pPr>
            <w:r>
              <w:rPr>
                <w:rFonts w:cs="黑体" w:hint="eastAsia"/>
              </w:rPr>
              <w:t>支持构建</w:t>
            </w:r>
            <w:r>
              <w:rPr>
                <w:rFonts w:cs="黑体"/>
              </w:rPr>
              <w:t>5G</w:t>
            </w:r>
            <w:r>
              <w:rPr>
                <w:rFonts w:cs="黑体" w:hint="eastAsia"/>
              </w:rPr>
              <w:t>产业孵化器，依托现有条件引导企业发展分享经济，打造分享经济新模式，坚持培育和引进相结合，着力打造大数据和</w:t>
            </w:r>
            <w:proofErr w:type="gramStart"/>
            <w:r>
              <w:rPr>
                <w:rFonts w:cs="黑体" w:hint="eastAsia"/>
              </w:rPr>
              <w:t>物联网</w:t>
            </w:r>
            <w:proofErr w:type="gramEnd"/>
            <w:r>
              <w:rPr>
                <w:rFonts w:cs="黑体" w:hint="eastAsia"/>
              </w:rPr>
              <w:t>在智能物流、智慧旅游、生态环保、交通出行、健康教育等领域的应用。到</w:t>
            </w:r>
            <w:r>
              <w:rPr>
                <w:rFonts w:cs="黑体"/>
              </w:rPr>
              <w:t>2025</w:t>
            </w:r>
            <w:r>
              <w:rPr>
                <w:rFonts w:cs="黑体" w:hint="eastAsia"/>
              </w:rPr>
              <w:t>年底，引进优质</w:t>
            </w:r>
            <w:r>
              <w:rPr>
                <w:rFonts w:cs="黑体"/>
              </w:rPr>
              <w:t>5G</w:t>
            </w:r>
            <w:r>
              <w:rPr>
                <w:rFonts w:cs="黑体" w:hint="eastAsia"/>
              </w:rPr>
              <w:t>企业</w:t>
            </w:r>
            <w:r>
              <w:rPr>
                <w:rFonts w:cs="黑体"/>
              </w:rPr>
              <w:t>10</w:t>
            </w:r>
            <w:r>
              <w:rPr>
                <w:rFonts w:cs="黑体" w:hint="eastAsia"/>
              </w:rPr>
              <w:t>家以上。</w:t>
            </w:r>
          </w:p>
          <w:p w14:paraId="695547FD" w14:textId="77777777" w:rsidR="00EE55DB" w:rsidRDefault="00000000">
            <w:pPr>
              <w:pStyle w:val="21"/>
              <w:ind w:firstLine="482"/>
              <w:rPr>
                <w:rFonts w:cs="黑体"/>
                <w:b/>
                <w:bCs/>
              </w:rPr>
            </w:pPr>
            <w:r>
              <w:rPr>
                <w:rFonts w:cs="黑体" w:hint="eastAsia"/>
                <w:b/>
                <w:bCs/>
              </w:rPr>
              <w:lastRenderedPageBreak/>
              <w:t>（三）电子信息制造产业培育工程</w:t>
            </w:r>
          </w:p>
          <w:p w14:paraId="07B79B91" w14:textId="77777777" w:rsidR="00EE55DB" w:rsidRDefault="00000000">
            <w:pPr>
              <w:pStyle w:val="21"/>
              <w:ind w:firstLine="480"/>
              <w:rPr>
                <w:rFonts w:cs="黑体"/>
              </w:rPr>
            </w:pPr>
            <w:r>
              <w:rPr>
                <w:rFonts w:cs="黑体" w:hint="eastAsia"/>
              </w:rPr>
              <w:t>着力引进汽车零部件、机器人微电机、智能电表等一批配套企业，致力扶持中车智能交通产业园。以银河表计为龙头，拓展国内外市场，推进中城通达新能源物流车、银河表计智能化电表生产线等项目建设，培育县域经济增长新动力，打造全省知名的电子信息产业基地。到</w:t>
            </w:r>
            <w:r>
              <w:rPr>
                <w:rFonts w:cs="黑体"/>
              </w:rPr>
              <w:t>2025</w:t>
            </w:r>
            <w:r>
              <w:rPr>
                <w:rFonts w:cs="黑体" w:hint="eastAsia"/>
              </w:rPr>
              <w:t>年底，电子信息制造产业及相关营业收入突破</w:t>
            </w:r>
            <w:r>
              <w:rPr>
                <w:rFonts w:cs="黑体"/>
              </w:rPr>
              <w:t>100</w:t>
            </w:r>
            <w:r>
              <w:rPr>
                <w:rFonts w:cs="黑体" w:hint="eastAsia"/>
              </w:rPr>
              <w:t>亿元。</w:t>
            </w:r>
          </w:p>
          <w:p w14:paraId="29D7B74F" w14:textId="77777777" w:rsidR="00EE55DB" w:rsidRDefault="00000000">
            <w:pPr>
              <w:pStyle w:val="21"/>
              <w:ind w:firstLine="482"/>
              <w:rPr>
                <w:rFonts w:cs="黑体"/>
                <w:b/>
                <w:bCs/>
              </w:rPr>
            </w:pPr>
            <w:r>
              <w:rPr>
                <w:rFonts w:cs="黑体" w:hint="eastAsia"/>
                <w:b/>
                <w:bCs/>
              </w:rPr>
              <w:t>（五）软件服务业培育工程</w:t>
            </w:r>
          </w:p>
          <w:p w14:paraId="53A01CED" w14:textId="77777777" w:rsidR="00EE55DB" w:rsidRDefault="00000000">
            <w:pPr>
              <w:pStyle w:val="21"/>
              <w:ind w:firstLine="480"/>
              <w:rPr>
                <w:rFonts w:cs="黑体"/>
              </w:rPr>
            </w:pPr>
            <w:r>
              <w:rPr>
                <w:rFonts w:cs="黑体" w:hint="eastAsia"/>
              </w:rPr>
              <w:t>加快研发基础软件、应用软件、工业软件等软件产品，强化高端软件服务供给能力，大力发展信息系统集成，提高信息技术咨询应用、开发设计等增值服务。</w:t>
            </w:r>
          </w:p>
          <w:p w14:paraId="40829806" w14:textId="77777777" w:rsidR="00EE55DB" w:rsidRDefault="00000000">
            <w:pPr>
              <w:pStyle w:val="21"/>
              <w:ind w:firstLine="482"/>
              <w:rPr>
                <w:rFonts w:cs="黑体"/>
                <w:b/>
                <w:bCs/>
              </w:rPr>
            </w:pPr>
            <w:r>
              <w:rPr>
                <w:rFonts w:cs="黑体" w:hint="eastAsia"/>
                <w:b/>
                <w:bCs/>
              </w:rPr>
              <w:t>（六）区块链产业培育工程</w:t>
            </w:r>
          </w:p>
          <w:p w14:paraId="6D0EF58B" w14:textId="77777777" w:rsidR="00EE55DB" w:rsidRDefault="00000000">
            <w:pPr>
              <w:pStyle w:val="21"/>
              <w:ind w:firstLine="480"/>
              <w:rPr>
                <w:rFonts w:cs="黑体"/>
              </w:rPr>
            </w:pPr>
            <w:r>
              <w:rPr>
                <w:rFonts w:cs="黑体" w:hint="eastAsia"/>
              </w:rPr>
              <w:t>推动吴城候鸟小镇项目、</w:t>
            </w:r>
            <w:proofErr w:type="gramStart"/>
            <w:r>
              <w:rPr>
                <w:rFonts w:cs="黑体" w:hint="eastAsia"/>
              </w:rPr>
              <w:t>中华农禅第一</w:t>
            </w:r>
            <w:proofErr w:type="gramEnd"/>
            <w:r>
              <w:rPr>
                <w:rFonts w:cs="黑体" w:hint="eastAsia"/>
              </w:rPr>
              <w:t>山等区块链产业园试点，推进区块链技术在金融、教育、医疗、农业、社区、公共服务等领域的应用，加强与</w:t>
            </w:r>
            <w:proofErr w:type="gramStart"/>
            <w:r>
              <w:rPr>
                <w:rFonts w:cs="黑体" w:hint="eastAsia"/>
              </w:rPr>
              <w:t>国内区</w:t>
            </w:r>
            <w:proofErr w:type="gramEnd"/>
            <w:r>
              <w:rPr>
                <w:rFonts w:cs="黑体" w:hint="eastAsia"/>
              </w:rPr>
              <w:t>块链领先企业合作。到</w:t>
            </w:r>
            <w:r>
              <w:rPr>
                <w:rFonts w:cs="黑体"/>
              </w:rPr>
              <w:t>2025</w:t>
            </w:r>
            <w:r>
              <w:rPr>
                <w:rFonts w:cs="黑体" w:hint="eastAsia"/>
              </w:rPr>
              <w:t>年底，打造若干公共服务领域的区块链应用场景。</w:t>
            </w:r>
          </w:p>
        </w:tc>
      </w:tr>
    </w:tbl>
    <w:p w14:paraId="7158537B" w14:textId="77777777" w:rsidR="00EE55DB" w:rsidRDefault="00000000">
      <w:pPr>
        <w:ind w:firstLine="640"/>
        <w:rPr>
          <w:rFonts w:ascii="仿宋_GB2312" w:eastAsia="仿宋_GB2312" w:hAnsi="仿宋_GB2312" w:cs="仿宋_GB2312"/>
          <w:bCs/>
          <w:szCs w:val="32"/>
        </w:rPr>
      </w:pPr>
      <w:r>
        <w:rPr>
          <w:rFonts w:ascii="仿宋_GB2312" w:eastAsia="仿宋_GB2312" w:hAnsi="仿宋_GB2312" w:cs="仿宋_GB2312" w:hint="eastAsia"/>
          <w:b/>
          <w:bCs/>
          <w:szCs w:val="32"/>
        </w:rPr>
        <w:lastRenderedPageBreak/>
        <w:t>推进产业数字化。</w:t>
      </w:r>
      <w:r>
        <w:rPr>
          <w:rFonts w:ascii="仿宋_GB2312" w:eastAsia="仿宋_GB2312" w:hAnsi="仿宋_GB2312" w:cs="仿宋_GB2312" w:hint="eastAsia"/>
          <w:bCs/>
          <w:szCs w:val="32"/>
        </w:rPr>
        <w:t>深化“互联网</w:t>
      </w:r>
      <w:r>
        <w:rPr>
          <w:rFonts w:ascii="仿宋_GB2312" w:eastAsia="仿宋_GB2312" w:hAnsi="仿宋_GB2312" w:cs="仿宋_GB2312"/>
          <w:bCs/>
          <w:szCs w:val="32"/>
        </w:rPr>
        <w:t>+</w:t>
      </w:r>
      <w:r>
        <w:rPr>
          <w:rFonts w:ascii="仿宋_GB2312" w:eastAsia="仿宋_GB2312" w:hAnsi="仿宋_GB2312" w:cs="仿宋_GB2312" w:hint="eastAsia"/>
          <w:bCs/>
          <w:szCs w:val="32"/>
        </w:rPr>
        <w:t>制造业”，大力推进物联网、大数据、人工智能、区块链等数字技术与制造技术深度融合应用，建设一批智能制造单元、智能生产线、数字化车间、智能工厂，推动永修有机硅、绿色建材、电子信息和装备等制造业加速向数字化、网络化、智能化转型。积极推进电子商务进农村示范县项目，将我县打造成电子商务产业强县。加快实施“互联网</w:t>
      </w:r>
      <w:r>
        <w:rPr>
          <w:rFonts w:ascii="仿宋_GB2312" w:eastAsia="仿宋_GB2312" w:hAnsi="仿宋_GB2312" w:cs="仿宋_GB2312"/>
          <w:bCs/>
          <w:szCs w:val="32"/>
        </w:rPr>
        <w:t>+</w:t>
      </w:r>
      <w:r>
        <w:rPr>
          <w:rFonts w:ascii="仿宋_GB2312" w:eastAsia="仿宋_GB2312" w:hAnsi="仿宋_GB2312" w:cs="仿宋_GB2312" w:hint="eastAsia"/>
          <w:bCs/>
          <w:szCs w:val="32"/>
        </w:rPr>
        <w:t>”现代农业行动，加快推动大数据、云计算、物联网、移动互联、遥感等数字技术在农业中应用，加快发展设施农业、精准农业和智慧农业。推进服务业与数字技术深度融合，推动传统商贸企业实现数字化升级，建立电子商务产业集聚区，大力推进新零售、跨境电子</w:t>
      </w:r>
      <w:r>
        <w:rPr>
          <w:rFonts w:ascii="仿宋_GB2312" w:eastAsia="仿宋_GB2312" w:hAnsi="仿宋_GB2312" w:cs="仿宋_GB2312" w:hint="eastAsia"/>
          <w:bCs/>
          <w:szCs w:val="32"/>
        </w:rPr>
        <w:lastRenderedPageBreak/>
        <w:t>商务新业态发展。深化新一代信息技术在各类产业园区、孵化基地、小微园区中的应用，提升园区管理数字化水平和公共服务能力。依托</w:t>
      </w:r>
      <w:proofErr w:type="gramStart"/>
      <w:r>
        <w:rPr>
          <w:rFonts w:ascii="仿宋_GB2312" w:eastAsia="仿宋_GB2312" w:hAnsi="仿宋_GB2312" w:cs="仿宋_GB2312" w:hint="eastAsia"/>
          <w:bCs/>
          <w:szCs w:val="32"/>
        </w:rPr>
        <w:t>魅</w:t>
      </w:r>
      <w:proofErr w:type="gramEnd"/>
      <w:r>
        <w:rPr>
          <w:rFonts w:ascii="仿宋_GB2312" w:eastAsia="仿宋_GB2312" w:hAnsi="仿宋_GB2312" w:cs="仿宋_GB2312" w:hint="eastAsia"/>
          <w:bCs/>
          <w:szCs w:val="32"/>
        </w:rPr>
        <w:t>丝</w:t>
      </w:r>
      <w:proofErr w:type="gramStart"/>
      <w:r>
        <w:rPr>
          <w:rFonts w:ascii="仿宋_GB2312" w:eastAsia="仿宋_GB2312" w:hAnsi="仿宋_GB2312" w:cs="仿宋_GB2312" w:hint="eastAsia"/>
          <w:bCs/>
          <w:szCs w:val="32"/>
        </w:rPr>
        <w:t>蔻</w:t>
      </w:r>
      <w:proofErr w:type="gramEnd"/>
      <w:r>
        <w:rPr>
          <w:rFonts w:ascii="仿宋_GB2312" w:eastAsia="仿宋_GB2312" w:hAnsi="仿宋_GB2312" w:cs="仿宋_GB2312" w:hint="eastAsia"/>
          <w:bCs/>
          <w:szCs w:val="32"/>
        </w:rPr>
        <w:t>、拜尔、</w:t>
      </w:r>
      <w:proofErr w:type="gramStart"/>
      <w:r>
        <w:rPr>
          <w:rFonts w:ascii="仿宋_GB2312" w:eastAsia="仿宋_GB2312" w:hAnsi="仿宋_GB2312" w:cs="仿宋_GB2312" w:hint="eastAsia"/>
          <w:bCs/>
          <w:szCs w:val="32"/>
        </w:rPr>
        <w:t>亮朵等电商产业</w:t>
      </w:r>
      <w:proofErr w:type="gramEnd"/>
      <w:r>
        <w:rPr>
          <w:rFonts w:ascii="仿宋_GB2312" w:eastAsia="仿宋_GB2312" w:hAnsi="仿宋_GB2312" w:cs="仿宋_GB2312" w:hint="eastAsia"/>
          <w:bCs/>
          <w:szCs w:val="32"/>
        </w:rPr>
        <w:t>园项目，推动电子商务服务体系建设及平台建设，积极培育“网红经济”“流量经济”。力争到</w:t>
      </w:r>
      <w:r>
        <w:rPr>
          <w:rFonts w:ascii="仿宋_GB2312" w:eastAsia="仿宋_GB2312" w:hAnsi="仿宋_GB2312" w:cs="仿宋_GB2312"/>
          <w:bCs/>
          <w:szCs w:val="32"/>
        </w:rPr>
        <w:t>2025</w:t>
      </w:r>
      <w:r>
        <w:rPr>
          <w:rFonts w:ascii="仿宋_GB2312" w:eastAsia="仿宋_GB2312" w:hAnsi="仿宋_GB2312" w:cs="仿宋_GB2312" w:hint="eastAsia"/>
          <w:bCs/>
          <w:szCs w:val="32"/>
        </w:rPr>
        <w:t>年引进大数据、电子商务、物联网、</w:t>
      </w:r>
      <w:r>
        <w:rPr>
          <w:rFonts w:ascii="仿宋_GB2312" w:eastAsia="仿宋_GB2312" w:hAnsi="仿宋_GB2312" w:cs="仿宋_GB2312"/>
          <w:bCs/>
          <w:szCs w:val="32"/>
        </w:rPr>
        <w:t>5G</w:t>
      </w:r>
      <w:r>
        <w:rPr>
          <w:rFonts w:ascii="仿宋_GB2312" w:eastAsia="仿宋_GB2312" w:hAnsi="仿宋_GB2312" w:cs="仿宋_GB2312" w:hint="eastAsia"/>
          <w:bCs/>
          <w:szCs w:val="32"/>
        </w:rPr>
        <w:t>、人工智能等数字产业项目</w:t>
      </w:r>
      <w:r>
        <w:rPr>
          <w:rFonts w:ascii="仿宋_GB2312" w:eastAsia="仿宋_GB2312" w:hAnsi="仿宋_GB2312" w:cs="仿宋_GB2312"/>
          <w:bCs/>
          <w:szCs w:val="32"/>
        </w:rPr>
        <w:t>20</w:t>
      </w:r>
      <w:r>
        <w:rPr>
          <w:rFonts w:ascii="仿宋_GB2312" w:eastAsia="仿宋_GB2312" w:hAnsi="仿宋_GB2312" w:cs="仿宋_GB2312" w:hint="eastAsia"/>
          <w:bCs/>
          <w:szCs w:val="32"/>
        </w:rPr>
        <w:t>家以上，打造</w:t>
      </w:r>
      <w:r>
        <w:rPr>
          <w:rFonts w:ascii="仿宋_GB2312" w:eastAsia="仿宋_GB2312" w:hAnsi="仿宋_GB2312" w:cs="仿宋_GB2312"/>
          <w:bCs/>
          <w:szCs w:val="32"/>
        </w:rPr>
        <w:t>100</w:t>
      </w:r>
      <w:r>
        <w:rPr>
          <w:rFonts w:ascii="仿宋_GB2312" w:eastAsia="仿宋_GB2312" w:hAnsi="仿宋_GB2312" w:cs="仿宋_GB2312" w:hint="eastAsia"/>
          <w:bCs/>
          <w:szCs w:val="32"/>
        </w:rPr>
        <w:t>亿级的数字化经济产业链。</w:t>
      </w: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3"/>
      </w:tblGrid>
      <w:tr w:rsidR="00EE55DB" w14:paraId="3E045471" w14:textId="77777777">
        <w:trPr>
          <w:jc w:val="center"/>
        </w:trPr>
        <w:tc>
          <w:tcPr>
            <w:tcW w:w="8283" w:type="dxa"/>
          </w:tcPr>
          <w:p w14:paraId="648784F3"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5  </w:t>
            </w:r>
            <w:r>
              <w:rPr>
                <w:rFonts w:cs="黑体" w:hint="eastAsia"/>
                <w:b/>
                <w:bCs/>
              </w:rPr>
              <w:t>产业数字化转型工程</w:t>
            </w:r>
          </w:p>
        </w:tc>
      </w:tr>
      <w:tr w:rsidR="00EE55DB" w14:paraId="2E6CC273" w14:textId="77777777">
        <w:trPr>
          <w:jc w:val="center"/>
        </w:trPr>
        <w:tc>
          <w:tcPr>
            <w:tcW w:w="8283" w:type="dxa"/>
          </w:tcPr>
          <w:p w14:paraId="472837AF" w14:textId="77777777" w:rsidR="00EE55DB" w:rsidRDefault="00000000">
            <w:pPr>
              <w:pStyle w:val="21"/>
              <w:ind w:firstLine="482"/>
              <w:rPr>
                <w:rFonts w:cs="黑体"/>
                <w:b/>
                <w:bCs/>
              </w:rPr>
            </w:pPr>
            <w:r>
              <w:rPr>
                <w:rFonts w:cs="黑体" w:hint="eastAsia"/>
                <w:b/>
                <w:bCs/>
              </w:rPr>
              <w:t>（一）智能制造升级工程</w:t>
            </w:r>
          </w:p>
          <w:p w14:paraId="6CED1D19" w14:textId="77777777" w:rsidR="00EE55DB" w:rsidRDefault="00000000">
            <w:pPr>
              <w:pStyle w:val="21"/>
              <w:ind w:firstLine="480"/>
              <w:rPr>
                <w:rFonts w:cs="黑体"/>
              </w:rPr>
            </w:pPr>
            <w:r>
              <w:rPr>
                <w:rFonts w:cs="黑体" w:hint="eastAsia"/>
              </w:rPr>
              <w:t>依托千亿级星火有机硅产业，引进一批高科技、低污染、安全可靠的上下游企业，实施智能制造升级工程，积极推广应用智能制造新模式，促进人工智能、大数据与制造业的深度融合，积极培育一批智能制造标杆企业，建设一批智能车间，引进一批装备制造企业，打造高水平智能制造产业园。到</w:t>
            </w:r>
            <w:r>
              <w:rPr>
                <w:rFonts w:cs="黑体"/>
              </w:rPr>
              <w:t>2025</w:t>
            </w:r>
            <w:r>
              <w:rPr>
                <w:rFonts w:cs="黑体" w:hint="eastAsia"/>
              </w:rPr>
              <w:t>年，培育国家智能制造示范企业</w:t>
            </w:r>
            <w:r>
              <w:rPr>
                <w:rFonts w:cs="黑体"/>
              </w:rPr>
              <w:t>2</w:t>
            </w:r>
            <w:r>
              <w:rPr>
                <w:rFonts w:cs="黑体" w:hint="eastAsia"/>
              </w:rPr>
              <w:t>户以上，省级智能制造示范企业达</w:t>
            </w:r>
            <w:r>
              <w:rPr>
                <w:rFonts w:cs="黑体"/>
              </w:rPr>
              <w:t>8</w:t>
            </w:r>
            <w:r>
              <w:rPr>
                <w:rFonts w:cs="黑体" w:hint="eastAsia"/>
              </w:rPr>
              <w:t>户以上；国家级“两化融合”贯</w:t>
            </w:r>
            <w:proofErr w:type="gramStart"/>
            <w:r>
              <w:rPr>
                <w:rFonts w:cs="黑体" w:hint="eastAsia"/>
              </w:rPr>
              <w:t>标企业</w:t>
            </w:r>
            <w:proofErr w:type="gramEnd"/>
            <w:r>
              <w:rPr>
                <w:rFonts w:cs="黑体"/>
              </w:rPr>
              <w:t>5</w:t>
            </w:r>
            <w:r>
              <w:rPr>
                <w:rFonts w:cs="黑体" w:hint="eastAsia"/>
              </w:rPr>
              <w:t>户以上，省级“两化融合”示范企业达</w:t>
            </w:r>
            <w:r>
              <w:rPr>
                <w:rFonts w:cs="黑体"/>
              </w:rPr>
              <w:t>10</w:t>
            </w:r>
            <w:r>
              <w:rPr>
                <w:rFonts w:cs="黑体" w:hint="eastAsia"/>
              </w:rPr>
              <w:t>户以上；规模以上工业企业全部上云。</w:t>
            </w:r>
          </w:p>
          <w:p w14:paraId="5F8230D5" w14:textId="77777777" w:rsidR="00EE55DB" w:rsidRDefault="00000000">
            <w:pPr>
              <w:pStyle w:val="21"/>
              <w:ind w:firstLine="482"/>
              <w:rPr>
                <w:rFonts w:cs="黑体"/>
                <w:b/>
                <w:bCs/>
              </w:rPr>
            </w:pPr>
            <w:r>
              <w:rPr>
                <w:rFonts w:cs="黑体" w:hint="eastAsia"/>
                <w:b/>
                <w:bCs/>
              </w:rPr>
              <w:t>（二）数字农业示范工程</w:t>
            </w:r>
          </w:p>
          <w:p w14:paraId="209832D3" w14:textId="77777777" w:rsidR="00EE55DB" w:rsidRDefault="00000000">
            <w:pPr>
              <w:pStyle w:val="21"/>
              <w:ind w:firstLine="480"/>
              <w:rPr>
                <w:rFonts w:cs="黑体"/>
              </w:rPr>
            </w:pPr>
            <w:r>
              <w:rPr>
                <w:rFonts w:cs="黑体" w:hint="eastAsia"/>
              </w:rPr>
              <w:t>发展数字田园、智慧</w:t>
            </w:r>
            <w:proofErr w:type="gramStart"/>
            <w:r>
              <w:rPr>
                <w:rFonts w:cs="黑体" w:hint="eastAsia"/>
              </w:rPr>
              <w:t>种殖</w:t>
            </w:r>
            <w:proofErr w:type="gramEnd"/>
            <w:r>
              <w:rPr>
                <w:rFonts w:cs="黑体" w:hint="eastAsia"/>
              </w:rPr>
              <w:t>、智能农机，开展农业物联网应用示范村和农业物联网应用示范基地建设，全面推进村级</w:t>
            </w:r>
            <w:proofErr w:type="gramStart"/>
            <w:r>
              <w:rPr>
                <w:rFonts w:cs="黑体" w:hint="eastAsia"/>
              </w:rPr>
              <w:t>益农信息</w:t>
            </w:r>
            <w:proofErr w:type="gramEnd"/>
            <w:r>
              <w:rPr>
                <w:rFonts w:cs="黑体" w:hint="eastAsia"/>
              </w:rPr>
              <w:t>社建设，加强智慧农业技术与装备研发，建设基于卫星遥感、航空无人机、田间观测一体化的农业遥感应用体系。推动云山国</w:t>
            </w:r>
            <w:proofErr w:type="gramStart"/>
            <w:r>
              <w:rPr>
                <w:rFonts w:cs="黑体" w:hint="eastAsia"/>
              </w:rPr>
              <w:t>家现代</w:t>
            </w:r>
            <w:proofErr w:type="gramEnd"/>
            <w:r>
              <w:rPr>
                <w:rFonts w:cs="黑体" w:hint="eastAsia"/>
              </w:rPr>
              <w:t>农业产业园建设项目、恒丰现代农业产业园项目、云山集团果林</w:t>
            </w:r>
            <w:proofErr w:type="gramStart"/>
            <w:r>
              <w:rPr>
                <w:rFonts w:cs="黑体" w:hint="eastAsia"/>
              </w:rPr>
              <w:t>公司罗殿农场</w:t>
            </w:r>
            <w:proofErr w:type="gramEnd"/>
            <w:r>
              <w:rPr>
                <w:rFonts w:cs="黑体" w:hint="eastAsia"/>
              </w:rPr>
              <w:t>现代农业示范园项目建设，到</w:t>
            </w:r>
            <w:r>
              <w:rPr>
                <w:rFonts w:cs="黑体"/>
              </w:rPr>
              <w:t>2025</w:t>
            </w:r>
            <w:r>
              <w:rPr>
                <w:rFonts w:cs="黑体" w:hint="eastAsia"/>
              </w:rPr>
              <w:t>年，建成服务全县“三农”的智慧农业服务体系。</w:t>
            </w:r>
          </w:p>
          <w:p w14:paraId="09E27B28" w14:textId="77777777" w:rsidR="00EE55DB" w:rsidRDefault="00000000">
            <w:pPr>
              <w:pStyle w:val="21"/>
              <w:ind w:firstLine="482"/>
              <w:rPr>
                <w:rFonts w:cs="黑体"/>
                <w:b/>
                <w:bCs/>
              </w:rPr>
            </w:pPr>
            <w:r>
              <w:rPr>
                <w:rFonts w:cs="黑体" w:hint="eastAsia"/>
                <w:b/>
                <w:bCs/>
              </w:rPr>
              <w:t>（三）智能物流工程</w:t>
            </w:r>
          </w:p>
          <w:p w14:paraId="509B7157" w14:textId="77777777" w:rsidR="00EE55DB" w:rsidRDefault="00000000">
            <w:pPr>
              <w:pStyle w:val="21"/>
              <w:ind w:firstLine="480"/>
              <w:rPr>
                <w:rFonts w:cs="黑体"/>
              </w:rPr>
            </w:pPr>
            <w:r>
              <w:rPr>
                <w:rFonts w:cs="黑体" w:hint="eastAsia"/>
              </w:rPr>
              <w:t>建设物流大数据中心、推动</w:t>
            </w:r>
            <w:proofErr w:type="gramStart"/>
            <w:r>
              <w:rPr>
                <w:rFonts w:cs="黑体" w:hint="eastAsia"/>
              </w:rPr>
              <w:t>跨运输</w:t>
            </w:r>
            <w:proofErr w:type="gramEnd"/>
            <w:r>
              <w:rPr>
                <w:rFonts w:cs="黑体" w:hint="eastAsia"/>
              </w:rPr>
              <w:t>方式、跨部门、跨区域信息共享。推进智慧物流、无人机物流等试点示范建设，加快构建智能仓储、智能物流建设，深化乡村邮政和快递网点普及，加快建成一批智慧物流配送中心。</w:t>
            </w:r>
          </w:p>
          <w:p w14:paraId="7657FF34" w14:textId="77777777" w:rsidR="00EE55DB" w:rsidRDefault="00000000">
            <w:pPr>
              <w:pStyle w:val="21"/>
              <w:ind w:firstLine="482"/>
              <w:rPr>
                <w:rFonts w:cs="黑体"/>
                <w:b/>
                <w:bCs/>
              </w:rPr>
            </w:pPr>
            <w:r>
              <w:rPr>
                <w:rFonts w:cs="黑体" w:hint="eastAsia"/>
                <w:b/>
                <w:bCs/>
              </w:rPr>
              <w:lastRenderedPageBreak/>
              <w:t>（四）智慧旅游工程</w:t>
            </w:r>
          </w:p>
          <w:p w14:paraId="28E65D9C" w14:textId="77777777" w:rsidR="00EE55DB" w:rsidRDefault="00000000">
            <w:pPr>
              <w:pStyle w:val="21"/>
              <w:ind w:firstLine="480"/>
              <w:rPr>
                <w:rFonts w:cs="黑体"/>
              </w:rPr>
            </w:pPr>
            <w:r>
              <w:rPr>
                <w:rFonts w:cs="黑体" w:hint="eastAsia"/>
              </w:rPr>
              <w:t>推动商业、文化、旅游公共资源整合共享和应用，完成“一部手机游永修”运营平台建设，推广智能化应用，实现景区数字化管理。到</w:t>
            </w:r>
            <w:r>
              <w:rPr>
                <w:rFonts w:cs="黑体"/>
              </w:rPr>
              <w:t>2025</w:t>
            </w:r>
            <w:r>
              <w:rPr>
                <w:rFonts w:cs="黑体" w:hint="eastAsia"/>
              </w:rPr>
              <w:t>年，力争创建</w:t>
            </w:r>
            <w:r>
              <w:rPr>
                <w:rFonts w:cs="黑体"/>
              </w:rPr>
              <w:t>3A</w:t>
            </w:r>
            <w:r>
              <w:rPr>
                <w:rFonts w:cs="黑体" w:hint="eastAsia"/>
              </w:rPr>
              <w:t>级乡村旅游示范点</w:t>
            </w:r>
            <w:r>
              <w:rPr>
                <w:rFonts w:cs="黑体"/>
              </w:rPr>
              <w:t>10</w:t>
            </w:r>
            <w:r>
              <w:rPr>
                <w:rFonts w:cs="黑体" w:hint="eastAsia"/>
              </w:rPr>
              <w:t>家、</w:t>
            </w:r>
            <w:r>
              <w:rPr>
                <w:rFonts w:cs="黑体"/>
              </w:rPr>
              <w:t>4A</w:t>
            </w:r>
            <w:r>
              <w:rPr>
                <w:rFonts w:cs="黑体" w:hint="eastAsia"/>
              </w:rPr>
              <w:t>级乡村旅游示范点</w:t>
            </w:r>
            <w:r>
              <w:rPr>
                <w:rFonts w:cs="黑体"/>
              </w:rPr>
              <w:t>3</w:t>
            </w:r>
            <w:r>
              <w:rPr>
                <w:rFonts w:cs="黑体" w:hint="eastAsia"/>
              </w:rPr>
              <w:t>家，实现全县所有乡镇乡村旅游点全覆盖。</w:t>
            </w:r>
          </w:p>
          <w:p w14:paraId="28A1FCEB" w14:textId="77777777" w:rsidR="00EE55DB" w:rsidRDefault="00000000">
            <w:pPr>
              <w:pStyle w:val="21"/>
              <w:ind w:firstLine="482"/>
              <w:rPr>
                <w:rFonts w:cs="黑体"/>
                <w:b/>
                <w:bCs/>
              </w:rPr>
            </w:pPr>
            <w:r>
              <w:rPr>
                <w:rFonts w:cs="黑体" w:hint="eastAsia"/>
                <w:b/>
                <w:bCs/>
              </w:rPr>
              <w:t>（五）电子商务工程</w:t>
            </w:r>
          </w:p>
          <w:p w14:paraId="697095A4" w14:textId="77777777" w:rsidR="00EE55DB" w:rsidRDefault="00000000">
            <w:pPr>
              <w:pStyle w:val="21"/>
              <w:ind w:firstLine="480"/>
              <w:rPr>
                <w:rFonts w:cs="黑体"/>
              </w:rPr>
            </w:pPr>
            <w:r>
              <w:rPr>
                <w:rFonts w:cs="黑体" w:hint="eastAsia"/>
              </w:rPr>
              <w:t>推动传统商贸企业、特色街区商</w:t>
            </w:r>
            <w:proofErr w:type="gramStart"/>
            <w:r>
              <w:rPr>
                <w:rFonts w:cs="黑体" w:hint="eastAsia"/>
              </w:rPr>
              <w:t>圈实现</w:t>
            </w:r>
            <w:proofErr w:type="gramEnd"/>
            <w:r>
              <w:rPr>
                <w:rFonts w:cs="黑体" w:hint="eastAsia"/>
              </w:rPr>
              <w:t>数字化升级，以拜尔电</w:t>
            </w:r>
            <w:proofErr w:type="gramStart"/>
            <w:r>
              <w:rPr>
                <w:rFonts w:cs="黑体" w:hint="eastAsia"/>
              </w:rPr>
              <w:t>商产业</w:t>
            </w:r>
            <w:proofErr w:type="gramEnd"/>
            <w:r>
              <w:rPr>
                <w:rFonts w:cs="黑体" w:hint="eastAsia"/>
              </w:rPr>
              <w:t>园、</w:t>
            </w:r>
            <w:proofErr w:type="gramStart"/>
            <w:r>
              <w:rPr>
                <w:rFonts w:cs="黑体" w:hint="eastAsia"/>
              </w:rPr>
              <w:t>亮朵智能</w:t>
            </w:r>
            <w:proofErr w:type="gramEnd"/>
            <w:r>
              <w:rPr>
                <w:rFonts w:cs="黑体" w:hint="eastAsia"/>
              </w:rPr>
              <w:t>家居、日用百货</w:t>
            </w:r>
            <w:proofErr w:type="gramStart"/>
            <w:r>
              <w:rPr>
                <w:rFonts w:cs="黑体" w:hint="eastAsia"/>
              </w:rPr>
              <w:t>数字电商产业</w:t>
            </w:r>
            <w:proofErr w:type="gramEnd"/>
            <w:r>
              <w:rPr>
                <w:rFonts w:cs="黑体" w:hint="eastAsia"/>
              </w:rPr>
              <w:t>园为载体，推进有机硅、绿色建材等优势领域电子商务应用。推进构建电子商务农村综合示范，利用互联网推动农产品出村进城。</w:t>
            </w:r>
          </w:p>
          <w:p w14:paraId="1F299F5A" w14:textId="77777777" w:rsidR="00EE55DB" w:rsidRDefault="00000000">
            <w:pPr>
              <w:pStyle w:val="21"/>
              <w:ind w:firstLine="482"/>
              <w:rPr>
                <w:rFonts w:cs="黑体"/>
                <w:b/>
                <w:bCs/>
              </w:rPr>
            </w:pPr>
            <w:r>
              <w:rPr>
                <w:rFonts w:cs="黑体" w:hint="eastAsia"/>
                <w:b/>
                <w:bCs/>
              </w:rPr>
              <w:t>（六）数字金融工程</w:t>
            </w:r>
          </w:p>
          <w:p w14:paraId="1AD31351" w14:textId="77777777" w:rsidR="00EE55DB" w:rsidRDefault="00000000">
            <w:pPr>
              <w:pStyle w:val="21"/>
              <w:ind w:firstLine="480"/>
              <w:rPr>
                <w:rFonts w:cs="黑体"/>
              </w:rPr>
            </w:pPr>
            <w:r>
              <w:rPr>
                <w:rFonts w:cs="黑体" w:hint="eastAsia"/>
              </w:rPr>
              <w:t>依托“财园信贷通”“科贷通”“惠农信贷”等融资平台，为各类金融机构和企业提供投融资等信息发布、金融资源对接等服务。</w:t>
            </w:r>
            <w:proofErr w:type="gramStart"/>
            <w:r>
              <w:rPr>
                <w:rFonts w:cs="黑体" w:hint="eastAsia"/>
              </w:rPr>
              <w:t>搭建银企交流</w:t>
            </w:r>
            <w:proofErr w:type="gramEnd"/>
            <w:r>
              <w:rPr>
                <w:rFonts w:cs="黑体" w:hint="eastAsia"/>
              </w:rPr>
              <w:t>平台，加深银企合作，积极支持引导我县优质企业上市。到</w:t>
            </w:r>
            <w:r>
              <w:rPr>
                <w:rFonts w:cs="黑体"/>
              </w:rPr>
              <w:t>2025</w:t>
            </w:r>
            <w:r>
              <w:rPr>
                <w:rFonts w:cs="黑体" w:hint="eastAsia"/>
              </w:rPr>
              <w:t>年，力争本土企业在主板（创业板、中小板、</w:t>
            </w:r>
            <w:proofErr w:type="gramStart"/>
            <w:r>
              <w:rPr>
                <w:rFonts w:cs="黑体" w:hint="eastAsia"/>
              </w:rPr>
              <w:t>科创板</w:t>
            </w:r>
            <w:proofErr w:type="gramEnd"/>
            <w:r>
              <w:rPr>
                <w:rFonts w:cs="黑体" w:hint="eastAsia"/>
              </w:rPr>
              <w:t>）或海外上市企业</w:t>
            </w:r>
            <w:r>
              <w:rPr>
                <w:rFonts w:cs="黑体"/>
              </w:rPr>
              <w:t>2</w:t>
            </w:r>
            <w:r>
              <w:rPr>
                <w:rFonts w:cs="黑体" w:hint="eastAsia"/>
              </w:rPr>
              <w:t>家，新三板挂牌</w:t>
            </w:r>
            <w:r>
              <w:rPr>
                <w:rFonts w:cs="黑体"/>
              </w:rPr>
              <w:t>5</w:t>
            </w:r>
            <w:r>
              <w:rPr>
                <w:rFonts w:cs="黑体" w:hint="eastAsia"/>
              </w:rPr>
              <w:t>家。</w:t>
            </w:r>
          </w:p>
          <w:p w14:paraId="2E98D92D" w14:textId="77777777" w:rsidR="00EE55DB" w:rsidRDefault="00000000">
            <w:pPr>
              <w:pStyle w:val="21"/>
              <w:ind w:firstLine="482"/>
              <w:rPr>
                <w:rFonts w:cs="黑体"/>
                <w:b/>
                <w:bCs/>
              </w:rPr>
            </w:pPr>
            <w:r>
              <w:rPr>
                <w:rFonts w:cs="黑体" w:hint="eastAsia"/>
                <w:b/>
                <w:bCs/>
              </w:rPr>
              <w:t>（七）自动化环境监测工程</w:t>
            </w:r>
          </w:p>
          <w:p w14:paraId="38D06984" w14:textId="77777777" w:rsidR="00EE55DB" w:rsidRDefault="00000000">
            <w:pPr>
              <w:pStyle w:val="21"/>
              <w:ind w:firstLine="480"/>
              <w:rPr>
                <w:rFonts w:cs="黑体"/>
              </w:rPr>
            </w:pPr>
            <w:r>
              <w:rPr>
                <w:rFonts w:cs="黑体" w:hint="eastAsia"/>
              </w:rPr>
              <w:t>打造星火园区环境监测中心为江西省实力领先检测平台，实现水和废水、环境空气和废气、土壤、噪声等多方面不少于</w:t>
            </w:r>
            <w:r>
              <w:rPr>
                <w:rFonts w:cs="黑体"/>
              </w:rPr>
              <w:t>100</w:t>
            </w:r>
            <w:r>
              <w:rPr>
                <w:rFonts w:cs="黑体" w:hint="eastAsia"/>
              </w:rPr>
              <w:t>个检测指标的检测标准。县城建设</w:t>
            </w:r>
            <w:r>
              <w:rPr>
                <w:rFonts w:cs="黑体"/>
              </w:rPr>
              <w:t>1</w:t>
            </w:r>
            <w:r>
              <w:rPr>
                <w:rFonts w:cs="黑体" w:hint="eastAsia"/>
              </w:rPr>
              <w:t>个大气监测站点并试运行，全县乡镇范围内建设</w:t>
            </w:r>
            <w:r>
              <w:rPr>
                <w:rFonts w:cs="黑体"/>
              </w:rPr>
              <w:t>16</w:t>
            </w:r>
            <w:r>
              <w:rPr>
                <w:rFonts w:cs="黑体" w:hint="eastAsia"/>
              </w:rPr>
              <w:t>个大气自动监测站点并试运行，督促全县大气环境质量改善。到</w:t>
            </w:r>
            <w:r>
              <w:rPr>
                <w:rFonts w:cs="黑体"/>
              </w:rPr>
              <w:t>2025</w:t>
            </w:r>
            <w:r>
              <w:rPr>
                <w:rFonts w:cs="黑体" w:hint="eastAsia"/>
              </w:rPr>
              <w:t>年底，县域生态环境各项指标优化值翻番。</w:t>
            </w:r>
          </w:p>
        </w:tc>
      </w:tr>
    </w:tbl>
    <w:p w14:paraId="1D6C72EC" w14:textId="77777777" w:rsidR="00EE55DB" w:rsidRDefault="00000000">
      <w:pPr>
        <w:pStyle w:val="2"/>
        <w:spacing w:before="156" w:after="156"/>
      </w:pPr>
      <w:bookmarkStart w:id="23" w:name="_Toc16008"/>
      <w:r>
        <w:rPr>
          <w:rFonts w:hint="eastAsia"/>
        </w:rPr>
        <w:lastRenderedPageBreak/>
        <w:t>第三节</w:t>
      </w:r>
      <w:r>
        <w:t xml:space="preserve"> </w:t>
      </w:r>
      <w:r>
        <w:rPr>
          <w:rFonts w:hint="eastAsia"/>
        </w:rPr>
        <w:t>擦亮永修全域旅游新名片</w:t>
      </w:r>
      <w:bookmarkEnd w:id="23"/>
    </w:p>
    <w:p w14:paraId="6481839A" w14:textId="77777777" w:rsidR="00EE55DB" w:rsidRDefault="00000000">
      <w:pPr>
        <w:spacing w:line="590" w:lineRule="exact"/>
        <w:ind w:firstLine="640"/>
        <w:contextualSpacing/>
        <w:rPr>
          <w:rFonts w:ascii="仿宋_GB2312" w:eastAsia="仿宋_GB2312" w:hAnsi="仿宋_GB2312" w:cs="仿宋_GB2312"/>
          <w:szCs w:val="32"/>
        </w:rPr>
      </w:pPr>
      <w:r>
        <w:rPr>
          <w:rFonts w:ascii="仿宋_GB2312" w:eastAsia="仿宋_GB2312" w:hAnsi="仿宋_GB2312" w:cs="仿宋_GB2312" w:hint="eastAsia"/>
          <w:szCs w:val="32"/>
        </w:rPr>
        <w:t>制定完善全县全域旅游发展规划，以成功创建的“江西旅游强县”为基础，以高质量建设吴城候鸟小镇和</w:t>
      </w:r>
      <w:proofErr w:type="gramStart"/>
      <w:r>
        <w:rPr>
          <w:rFonts w:ascii="仿宋_GB2312" w:eastAsia="仿宋_GB2312" w:hAnsi="仿宋_GB2312" w:cs="仿宋_GB2312" w:hint="eastAsia"/>
          <w:szCs w:val="32"/>
        </w:rPr>
        <w:t>环云居</w:t>
      </w:r>
      <w:proofErr w:type="gramEnd"/>
      <w:r>
        <w:rPr>
          <w:rFonts w:ascii="仿宋_GB2312" w:eastAsia="仿宋_GB2312" w:hAnsi="仿宋_GB2312" w:cs="仿宋_GB2312" w:hint="eastAsia"/>
          <w:szCs w:val="32"/>
        </w:rPr>
        <w:t>山旅游为重心，串连吴城、云山、西海等景区，打造旅游金三角，打通县城至云居山、县城至海昏侯墓遗址公园路网，整合资源，完善配套，提升品位，做好“山、水、镇”三篇文</w:t>
      </w:r>
      <w:r>
        <w:rPr>
          <w:rFonts w:ascii="仿宋_GB2312" w:eastAsia="仿宋_GB2312" w:hAnsi="仿宋_GB2312" w:cs="仿宋_GB2312" w:hint="eastAsia"/>
          <w:szCs w:val="32"/>
        </w:rPr>
        <w:lastRenderedPageBreak/>
        <w:t>章，推动永修“一日游”向“多日游”转变。以打造“永不落幕的国际观鸟胜地”为目标，紧扣“国家生态文明样板区，江西赣</w:t>
      </w:r>
      <w:proofErr w:type="gramStart"/>
      <w:r>
        <w:rPr>
          <w:rFonts w:ascii="仿宋_GB2312" w:eastAsia="仿宋_GB2312" w:hAnsi="仿宋_GB2312" w:cs="仿宋_GB2312" w:hint="eastAsia"/>
          <w:szCs w:val="32"/>
        </w:rPr>
        <w:t>鄱</w:t>
      </w:r>
      <w:proofErr w:type="gramEnd"/>
      <w:r>
        <w:rPr>
          <w:rFonts w:ascii="仿宋_GB2312" w:eastAsia="仿宋_GB2312" w:hAnsi="仿宋_GB2312" w:cs="仿宋_GB2312" w:hint="eastAsia"/>
          <w:szCs w:val="32"/>
        </w:rPr>
        <w:t>文化展示区”的功能定位，建设集国际观鸟、湿地观光、文化展示、休闲体验为一体的生态旅游综合体，创建国家</w:t>
      </w:r>
      <w:r>
        <w:rPr>
          <w:rFonts w:ascii="仿宋_GB2312" w:eastAsia="仿宋_GB2312" w:hAnsi="仿宋_GB2312" w:cs="仿宋_GB2312"/>
          <w:szCs w:val="32"/>
        </w:rPr>
        <w:t>5A</w:t>
      </w:r>
      <w:r>
        <w:rPr>
          <w:rFonts w:ascii="仿宋_GB2312" w:eastAsia="仿宋_GB2312" w:hAnsi="仿宋_GB2312" w:cs="仿宋_GB2312" w:hint="eastAsia"/>
          <w:szCs w:val="32"/>
        </w:rPr>
        <w:t>级景区和国家级旅游度假区。以打造“中华农禅第一山”为目标，加快推进</w:t>
      </w:r>
      <w:proofErr w:type="gramStart"/>
      <w:r>
        <w:rPr>
          <w:rFonts w:ascii="仿宋_GB2312" w:eastAsia="仿宋_GB2312" w:hAnsi="仿宋_GB2312" w:cs="仿宋_GB2312" w:hint="eastAsia"/>
          <w:szCs w:val="32"/>
        </w:rPr>
        <w:t>环云居</w:t>
      </w:r>
      <w:proofErr w:type="gramEnd"/>
      <w:r>
        <w:rPr>
          <w:rFonts w:ascii="仿宋_GB2312" w:eastAsia="仿宋_GB2312" w:hAnsi="仿宋_GB2312" w:cs="仿宋_GB2312" w:hint="eastAsia"/>
          <w:szCs w:val="32"/>
        </w:rPr>
        <w:t>山旅游开发。加快发展乡村旅游，继续办好凤凰山桃花节、艾城艾草文化节、江上登山赏花节、</w:t>
      </w:r>
      <w:proofErr w:type="gramStart"/>
      <w:r>
        <w:rPr>
          <w:rFonts w:ascii="仿宋_GB2312" w:eastAsia="仿宋_GB2312" w:hAnsi="仿宋_GB2312" w:cs="仿宋_GB2312" w:hint="eastAsia"/>
          <w:szCs w:val="32"/>
        </w:rPr>
        <w:t>虬津荷花</w:t>
      </w:r>
      <w:proofErr w:type="gramEnd"/>
      <w:r>
        <w:rPr>
          <w:rFonts w:ascii="仿宋_GB2312" w:eastAsia="仿宋_GB2312" w:hAnsi="仿宋_GB2312" w:cs="仿宋_GB2312" w:hint="eastAsia"/>
          <w:szCs w:val="32"/>
        </w:rPr>
        <w:t>节等节庆活动，着力培育一批具有永修特色的食品系列、工艺品系列、日用品系列等特色旅游商品。加快推进村组景观化工程，进一步提升深山蜂谷、凤凰山</w:t>
      </w:r>
      <w:proofErr w:type="gramStart"/>
      <w:r>
        <w:rPr>
          <w:rFonts w:ascii="仿宋_GB2312" w:eastAsia="仿宋_GB2312" w:hAnsi="仿宋_GB2312" w:cs="仿宋_GB2312" w:hint="eastAsia"/>
          <w:szCs w:val="32"/>
        </w:rPr>
        <w:t>桃花园</w:t>
      </w:r>
      <w:proofErr w:type="gramEnd"/>
      <w:r>
        <w:rPr>
          <w:rFonts w:ascii="仿宋_GB2312" w:eastAsia="仿宋_GB2312" w:hAnsi="仿宋_GB2312" w:cs="仿宋_GB2312" w:hint="eastAsia"/>
          <w:szCs w:val="32"/>
        </w:rPr>
        <w:t>、三溪</w:t>
      </w:r>
      <w:proofErr w:type="gramStart"/>
      <w:r>
        <w:rPr>
          <w:rFonts w:ascii="仿宋_GB2312" w:eastAsia="仿宋_GB2312" w:hAnsi="仿宋_GB2312" w:cs="仿宋_GB2312" w:hint="eastAsia"/>
          <w:szCs w:val="32"/>
        </w:rPr>
        <w:t>桥杨垅</w:t>
      </w:r>
      <w:proofErr w:type="gramEnd"/>
      <w:r>
        <w:rPr>
          <w:rFonts w:ascii="仿宋_GB2312" w:eastAsia="仿宋_GB2312" w:hAnsi="仿宋_GB2312" w:cs="仿宋_GB2312" w:hint="eastAsia"/>
          <w:szCs w:val="32"/>
        </w:rPr>
        <w:t>村等村组旅游点品质，实现全县所有乡镇</w:t>
      </w:r>
      <w:r>
        <w:rPr>
          <w:rFonts w:ascii="仿宋_GB2312" w:eastAsia="仿宋_GB2312" w:hAnsi="仿宋_GB2312" w:cs="仿宋_GB2312"/>
          <w:szCs w:val="32"/>
        </w:rPr>
        <w:t>A</w:t>
      </w:r>
      <w:r>
        <w:rPr>
          <w:rFonts w:ascii="仿宋_GB2312" w:eastAsia="仿宋_GB2312" w:hAnsi="仿宋_GB2312" w:cs="仿宋_GB2312" w:hint="eastAsia"/>
          <w:szCs w:val="32"/>
        </w:rPr>
        <w:t>级乡村旅游点全覆盖。进一步丰富旅游业态，</w:t>
      </w:r>
      <w:proofErr w:type="gramStart"/>
      <w:r>
        <w:rPr>
          <w:rFonts w:ascii="仿宋_GB2312" w:eastAsia="仿宋_GB2312" w:hAnsi="仿宋_GB2312" w:cs="仿宋_GB2312" w:hint="eastAsia"/>
          <w:szCs w:val="32"/>
        </w:rPr>
        <w:t>培育文旅融合</w:t>
      </w:r>
      <w:proofErr w:type="gramEnd"/>
      <w:r>
        <w:rPr>
          <w:rFonts w:ascii="仿宋_GB2312" w:eastAsia="仿宋_GB2312" w:hAnsi="仿宋_GB2312" w:cs="仿宋_GB2312" w:hint="eastAsia"/>
          <w:szCs w:val="32"/>
        </w:rPr>
        <w:t>、</w:t>
      </w:r>
      <w:proofErr w:type="gramStart"/>
      <w:r>
        <w:rPr>
          <w:rFonts w:ascii="仿宋_GB2312" w:eastAsia="仿宋_GB2312" w:hAnsi="仿宋_GB2312" w:cs="仿宋_GB2312" w:hint="eastAsia"/>
          <w:szCs w:val="32"/>
        </w:rPr>
        <w:t>工旅融合</w:t>
      </w:r>
      <w:proofErr w:type="gramEnd"/>
      <w:r>
        <w:rPr>
          <w:rFonts w:ascii="仿宋_GB2312" w:eastAsia="仿宋_GB2312" w:hAnsi="仿宋_GB2312" w:cs="仿宋_GB2312" w:hint="eastAsia"/>
          <w:szCs w:val="32"/>
        </w:rPr>
        <w:t>、商旅融合、</w:t>
      </w:r>
      <w:proofErr w:type="gramStart"/>
      <w:r>
        <w:rPr>
          <w:rFonts w:ascii="仿宋_GB2312" w:eastAsia="仿宋_GB2312" w:hAnsi="仿宋_GB2312" w:cs="仿宋_GB2312" w:hint="eastAsia"/>
          <w:szCs w:val="32"/>
        </w:rPr>
        <w:t>农旅融合</w:t>
      </w:r>
      <w:proofErr w:type="gramEnd"/>
      <w:r>
        <w:rPr>
          <w:rFonts w:ascii="仿宋_GB2312" w:eastAsia="仿宋_GB2312" w:hAnsi="仿宋_GB2312" w:cs="仿宋_GB2312" w:hint="eastAsia"/>
          <w:szCs w:val="32"/>
        </w:rPr>
        <w:t>等特色旅游热点，实施“互联网</w:t>
      </w:r>
      <w:r>
        <w:rPr>
          <w:rFonts w:ascii="仿宋_GB2312" w:eastAsia="仿宋_GB2312" w:hAnsi="仿宋_GB2312" w:cs="仿宋_GB2312"/>
          <w:szCs w:val="32"/>
        </w:rPr>
        <w:t>+</w:t>
      </w:r>
      <w:r>
        <w:rPr>
          <w:rFonts w:ascii="仿宋_GB2312" w:eastAsia="仿宋_GB2312" w:hAnsi="仿宋_GB2312" w:cs="仿宋_GB2312" w:hint="eastAsia"/>
          <w:szCs w:val="32"/>
        </w:rPr>
        <w:t>旅游”融合工程，完善旅游产业链，提升智慧旅游建设，加快完成“一部手机游永修”运营平台建设，推进永修景城融合、全域发展，打造成旅游、文化、教育、康养四业融合的旅游胜地，创建国家级全域旅游示范县。</w:t>
      </w: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4"/>
      </w:tblGrid>
      <w:tr w:rsidR="00EE55DB" w14:paraId="118D7C08" w14:textId="77777777">
        <w:trPr>
          <w:jc w:val="center"/>
        </w:trPr>
        <w:tc>
          <w:tcPr>
            <w:tcW w:w="8244" w:type="dxa"/>
          </w:tcPr>
          <w:p w14:paraId="57A289CE"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6  </w:t>
            </w:r>
            <w:r>
              <w:rPr>
                <w:rFonts w:cs="黑体" w:hint="eastAsia"/>
                <w:b/>
                <w:bCs/>
              </w:rPr>
              <w:t>全域旅游重大项目</w:t>
            </w:r>
          </w:p>
        </w:tc>
      </w:tr>
      <w:tr w:rsidR="00EE55DB" w14:paraId="51810180" w14:textId="77777777">
        <w:trPr>
          <w:jc w:val="center"/>
        </w:trPr>
        <w:tc>
          <w:tcPr>
            <w:tcW w:w="8244" w:type="dxa"/>
          </w:tcPr>
          <w:p w14:paraId="7BDBEA5D" w14:textId="77777777" w:rsidR="00EE55DB" w:rsidRDefault="00000000">
            <w:pPr>
              <w:pStyle w:val="21"/>
              <w:numPr>
                <w:ilvl w:val="255"/>
                <w:numId w:val="0"/>
              </w:numPr>
              <w:ind w:firstLine="482"/>
              <w:rPr>
                <w:rFonts w:cs="黑体"/>
                <w:b/>
                <w:bCs/>
              </w:rPr>
            </w:pPr>
            <w:r>
              <w:rPr>
                <w:rFonts w:cs="黑体" w:hint="eastAsia"/>
                <w:b/>
                <w:bCs/>
              </w:rPr>
              <w:t>（一）特色旅游小镇项目</w:t>
            </w:r>
          </w:p>
          <w:p w14:paraId="3EBAD91D" w14:textId="77777777" w:rsidR="00EE55DB" w:rsidRDefault="00000000">
            <w:pPr>
              <w:pStyle w:val="21"/>
              <w:numPr>
                <w:ilvl w:val="255"/>
                <w:numId w:val="0"/>
              </w:numPr>
              <w:ind w:firstLineChars="200" w:firstLine="480"/>
              <w:rPr>
                <w:rFonts w:cs="黑体"/>
              </w:rPr>
            </w:pPr>
            <w:r>
              <w:rPr>
                <w:rFonts w:cs="黑体" w:hint="eastAsia"/>
              </w:rPr>
              <w:t>老星火片区文创小镇项目以老星火片区为依托，全面建设以文</w:t>
            </w:r>
            <w:proofErr w:type="gramStart"/>
            <w:r>
              <w:rPr>
                <w:rFonts w:cs="黑体" w:hint="eastAsia"/>
              </w:rPr>
              <w:t>创为主</w:t>
            </w:r>
            <w:proofErr w:type="gramEnd"/>
            <w:r>
              <w:rPr>
                <w:rFonts w:cs="黑体" w:hint="eastAsia"/>
              </w:rPr>
              <w:t>的特色小镇。</w:t>
            </w:r>
          </w:p>
          <w:p w14:paraId="2127F398" w14:textId="77777777" w:rsidR="00EE55DB" w:rsidRDefault="00000000">
            <w:pPr>
              <w:pStyle w:val="21"/>
              <w:numPr>
                <w:ilvl w:val="255"/>
                <w:numId w:val="0"/>
              </w:numPr>
              <w:ind w:firstLineChars="200" w:firstLine="480"/>
              <w:rPr>
                <w:rFonts w:cs="黑体"/>
              </w:rPr>
            </w:pPr>
            <w:r>
              <w:rPr>
                <w:rFonts w:cs="黑体" w:hint="eastAsia"/>
              </w:rPr>
              <w:t>开展占地面积约为</w:t>
            </w:r>
            <w:r>
              <w:rPr>
                <w:rFonts w:cs="黑体"/>
              </w:rPr>
              <w:t>2000</w:t>
            </w:r>
            <w:r>
              <w:rPr>
                <w:rFonts w:cs="黑体" w:hint="eastAsia"/>
              </w:rPr>
              <w:t>亩、集商业、旅游、休闲、居住于一体的湖</w:t>
            </w:r>
            <w:proofErr w:type="gramStart"/>
            <w:r>
              <w:rPr>
                <w:rFonts w:cs="黑体" w:hint="eastAsia"/>
              </w:rPr>
              <w:t>东特色</w:t>
            </w:r>
            <w:proofErr w:type="gramEnd"/>
            <w:r>
              <w:rPr>
                <w:rFonts w:cs="黑体" w:hint="eastAsia"/>
              </w:rPr>
              <w:t>小镇项目建设。建设拟占地</w:t>
            </w:r>
            <w:r>
              <w:rPr>
                <w:rFonts w:cs="黑体"/>
              </w:rPr>
              <w:t>300</w:t>
            </w:r>
            <w:r>
              <w:rPr>
                <w:rFonts w:cs="黑体" w:hint="eastAsia"/>
              </w:rPr>
              <w:t>亩的江上特色民俗村项目，计划建设成为民俗特色村。。</w:t>
            </w:r>
          </w:p>
          <w:p w14:paraId="14B8E1B1" w14:textId="77777777" w:rsidR="00EE55DB" w:rsidRDefault="00000000">
            <w:pPr>
              <w:pStyle w:val="21"/>
              <w:numPr>
                <w:ilvl w:val="255"/>
                <w:numId w:val="0"/>
              </w:numPr>
              <w:ind w:firstLineChars="200" w:firstLine="480"/>
              <w:rPr>
                <w:rFonts w:cs="黑体"/>
              </w:rPr>
            </w:pPr>
            <w:r>
              <w:rPr>
                <w:rFonts w:cs="黑体" w:hint="eastAsia"/>
              </w:rPr>
              <w:t>云山集团农垦特色小镇建设项目承接云居山旅游发展张力及禅宗文化影</w:t>
            </w:r>
            <w:r>
              <w:rPr>
                <w:rFonts w:cs="黑体" w:hint="eastAsia"/>
              </w:rPr>
              <w:lastRenderedPageBreak/>
              <w:t>响力，依托资源、文化、产业基础优势，建设周田集镇区周边“果园花海”，建设一批具有思想内涵的园林、文化景观，改造提升环集镇公路、商业街、特色餐饮区，建设星级饭店、疗养中心、文化休闲广场，完善基础设施及旅游功能配套，打造成为现代农业和文化旅游相结合的农垦特色小镇。</w:t>
            </w:r>
          </w:p>
          <w:p w14:paraId="13B7041E" w14:textId="77777777" w:rsidR="00EE55DB" w:rsidRDefault="00000000">
            <w:pPr>
              <w:pStyle w:val="21"/>
              <w:numPr>
                <w:ilvl w:val="255"/>
                <w:numId w:val="0"/>
              </w:numPr>
              <w:ind w:firstLineChars="200" w:firstLine="480"/>
              <w:rPr>
                <w:rFonts w:cs="黑体"/>
              </w:rPr>
            </w:pPr>
            <w:r>
              <w:rPr>
                <w:rFonts w:cs="黑体" w:hint="eastAsia"/>
              </w:rPr>
              <w:t>云山集团燕山旅游风情小镇建设项目全面整合燕山各旅游景区、景点，优化资源配置，改造提升景区、景点主干道、游步道，建设餐饮、住宿、购物、休闲、娱乐等功能服务区，完善基础设施及旅游功能配套，提升集镇及景区、景点面貌，</w:t>
            </w:r>
            <w:proofErr w:type="gramStart"/>
            <w:r>
              <w:rPr>
                <w:rFonts w:cs="黑体" w:hint="eastAsia"/>
              </w:rPr>
              <w:t>打造集龙源</w:t>
            </w:r>
            <w:proofErr w:type="gramEnd"/>
            <w:r>
              <w:rPr>
                <w:rFonts w:cs="黑体" w:hint="eastAsia"/>
              </w:rPr>
              <w:t>峡、玫瑰园、深山蜂谷、庆云禅寺、燕山青茶业生态观光、娱乐休闲、文化体验、养生度假旅游为一体的旅游风情小镇。</w:t>
            </w:r>
          </w:p>
          <w:p w14:paraId="6F25AAF1" w14:textId="77777777" w:rsidR="00EE55DB" w:rsidRDefault="00000000">
            <w:pPr>
              <w:pStyle w:val="21"/>
              <w:numPr>
                <w:ilvl w:val="255"/>
                <w:numId w:val="0"/>
              </w:numPr>
              <w:ind w:firstLine="480"/>
              <w:rPr>
                <w:rFonts w:cs="黑体"/>
                <w:b/>
                <w:bCs/>
              </w:rPr>
            </w:pPr>
            <w:r>
              <w:rPr>
                <w:rFonts w:cs="黑体" w:hint="eastAsia"/>
              </w:rPr>
              <w:t>永修云山航空</w:t>
            </w:r>
            <w:proofErr w:type="gramStart"/>
            <w:r>
              <w:rPr>
                <w:rFonts w:cs="黑体" w:hint="eastAsia"/>
              </w:rPr>
              <w:t>文旅基地</w:t>
            </w:r>
            <w:proofErr w:type="gramEnd"/>
            <w:r>
              <w:rPr>
                <w:rFonts w:cs="黑体" w:hint="eastAsia"/>
              </w:rPr>
              <w:t>项目建设成为航空文化教育基地，开展航空文化旅游产业基地和园区配套工程建设。</w:t>
            </w:r>
          </w:p>
          <w:p w14:paraId="131BDAA9" w14:textId="77777777" w:rsidR="00EE55DB" w:rsidRDefault="00000000">
            <w:pPr>
              <w:pStyle w:val="21"/>
              <w:numPr>
                <w:ilvl w:val="255"/>
                <w:numId w:val="0"/>
              </w:numPr>
              <w:ind w:firstLine="482"/>
              <w:rPr>
                <w:rFonts w:cs="黑体"/>
                <w:b/>
                <w:bCs/>
              </w:rPr>
            </w:pPr>
            <w:r>
              <w:rPr>
                <w:rFonts w:cs="黑体" w:hint="eastAsia"/>
                <w:b/>
                <w:bCs/>
              </w:rPr>
              <w:t>（二）休闲养老旅游项目</w:t>
            </w:r>
          </w:p>
          <w:p w14:paraId="2EA049A8" w14:textId="77777777" w:rsidR="00EE55DB" w:rsidRDefault="00000000">
            <w:pPr>
              <w:pStyle w:val="21"/>
              <w:numPr>
                <w:ilvl w:val="255"/>
                <w:numId w:val="0"/>
              </w:numPr>
              <w:ind w:firstLine="480"/>
              <w:rPr>
                <w:rFonts w:cs="黑体"/>
              </w:rPr>
            </w:pPr>
            <w:r>
              <w:rPr>
                <w:rFonts w:cs="黑体" w:hint="eastAsia"/>
              </w:rPr>
              <w:t>开展永修县三溪桥</w:t>
            </w:r>
            <w:proofErr w:type="gramStart"/>
            <w:r>
              <w:rPr>
                <w:rFonts w:cs="黑体" w:hint="eastAsia"/>
              </w:rPr>
              <w:t>二附坝森林康养</w:t>
            </w:r>
            <w:proofErr w:type="gramEnd"/>
            <w:r>
              <w:rPr>
                <w:rFonts w:cs="黑体" w:hint="eastAsia"/>
              </w:rPr>
              <w:t>基地项目建设，依托三溪桥</w:t>
            </w:r>
            <w:proofErr w:type="gramStart"/>
            <w:r>
              <w:rPr>
                <w:rFonts w:cs="黑体" w:hint="eastAsia"/>
              </w:rPr>
              <w:t>二附坝</w:t>
            </w:r>
            <w:proofErr w:type="gramEnd"/>
            <w:r>
              <w:rPr>
                <w:rFonts w:cs="黑体" w:hint="eastAsia"/>
              </w:rPr>
              <w:t>的资源，建设以森林康养，休闲娱乐为一体的基地。完善永修县</w:t>
            </w:r>
            <w:proofErr w:type="gramStart"/>
            <w:r>
              <w:rPr>
                <w:rFonts w:cs="黑体" w:hint="eastAsia"/>
              </w:rPr>
              <w:t>美丽耕源建设项目</w:t>
            </w:r>
            <w:proofErr w:type="gramEnd"/>
            <w:r>
              <w:rPr>
                <w:rFonts w:cs="黑体" w:hint="eastAsia"/>
              </w:rPr>
              <w:t>、华天休闲示范园提升改造项目。</w:t>
            </w:r>
          </w:p>
          <w:p w14:paraId="563677B7" w14:textId="77777777" w:rsidR="00EE55DB" w:rsidRDefault="00000000">
            <w:pPr>
              <w:pStyle w:val="21"/>
              <w:numPr>
                <w:ilvl w:val="255"/>
                <w:numId w:val="0"/>
              </w:numPr>
              <w:ind w:firstLine="482"/>
              <w:rPr>
                <w:rFonts w:cs="黑体"/>
                <w:b/>
                <w:bCs/>
              </w:rPr>
            </w:pPr>
            <w:r>
              <w:rPr>
                <w:rFonts w:cs="黑体" w:hint="eastAsia"/>
                <w:b/>
                <w:bCs/>
              </w:rPr>
              <w:t>（三）乡村湿地旅游项目</w:t>
            </w:r>
          </w:p>
          <w:p w14:paraId="029B7E7A" w14:textId="77777777" w:rsidR="00EE55DB" w:rsidRDefault="00000000">
            <w:pPr>
              <w:pStyle w:val="21"/>
              <w:numPr>
                <w:ilvl w:val="255"/>
                <w:numId w:val="0"/>
              </w:numPr>
              <w:ind w:firstLineChars="200" w:firstLine="480"/>
              <w:rPr>
                <w:rFonts w:cs="黑体"/>
              </w:rPr>
            </w:pPr>
            <w:r>
              <w:rPr>
                <w:rFonts w:cs="黑体" w:hint="eastAsia"/>
              </w:rPr>
              <w:t>打造</w:t>
            </w:r>
            <w:r>
              <w:rPr>
                <w:rFonts w:cs="黑体"/>
              </w:rPr>
              <w:t>5A</w:t>
            </w:r>
            <w:r>
              <w:rPr>
                <w:rFonts w:cs="黑体" w:hint="eastAsia"/>
              </w:rPr>
              <w:t>级乡村旅游示范点，建设天泽生态</w:t>
            </w:r>
            <w:proofErr w:type="gramStart"/>
            <w:r>
              <w:rPr>
                <w:rFonts w:cs="黑体" w:hint="eastAsia"/>
              </w:rPr>
              <w:t>园文化</w:t>
            </w:r>
            <w:proofErr w:type="gramEnd"/>
            <w:r>
              <w:rPr>
                <w:rFonts w:cs="黑体" w:hint="eastAsia"/>
              </w:rPr>
              <w:t>旅游、</w:t>
            </w:r>
            <w:proofErr w:type="gramStart"/>
            <w:r>
              <w:rPr>
                <w:rFonts w:cs="黑体" w:hint="eastAsia"/>
              </w:rPr>
              <w:t>虬津镇</w:t>
            </w:r>
            <w:proofErr w:type="gramEnd"/>
            <w:r>
              <w:rPr>
                <w:rFonts w:cs="黑体" w:hint="eastAsia"/>
              </w:rPr>
              <w:t>荷天下乡村旅游点、三溪桥镇杨垅村旅游开发、三溪桥镇磨刀</w:t>
            </w:r>
            <w:proofErr w:type="gramStart"/>
            <w:r>
              <w:rPr>
                <w:rFonts w:cs="黑体" w:hint="eastAsia"/>
              </w:rPr>
              <w:t>李旅游</w:t>
            </w:r>
            <w:proofErr w:type="gramEnd"/>
            <w:r>
              <w:rPr>
                <w:rFonts w:cs="黑体" w:hint="eastAsia"/>
              </w:rPr>
              <w:t>小镇、恒丰龟山湖湿地公园等项目建设。培育</w:t>
            </w:r>
            <w:r>
              <w:rPr>
                <w:rFonts w:cs="黑体"/>
              </w:rPr>
              <w:t>800</w:t>
            </w:r>
            <w:r>
              <w:rPr>
                <w:rFonts w:cs="黑体" w:hint="eastAsia"/>
              </w:rPr>
              <w:t>亩太空水果莲、</w:t>
            </w:r>
            <w:r>
              <w:rPr>
                <w:rFonts w:cs="黑体"/>
              </w:rPr>
              <w:t>300</w:t>
            </w:r>
            <w:r>
              <w:rPr>
                <w:rFonts w:cs="黑体" w:hint="eastAsia"/>
              </w:rPr>
              <w:t>亩绿色有机果蔬园，修葺</w:t>
            </w:r>
            <w:r>
              <w:rPr>
                <w:rFonts w:cs="黑体"/>
              </w:rPr>
              <w:t>2000m</w:t>
            </w:r>
            <w:r>
              <w:rPr>
                <w:rFonts w:cs="黑体" w:hint="eastAsia"/>
              </w:rPr>
              <w:t>荷塘栈道，养殖</w:t>
            </w:r>
            <w:r>
              <w:rPr>
                <w:rFonts w:cs="黑体"/>
              </w:rPr>
              <w:t>200</w:t>
            </w:r>
            <w:r>
              <w:rPr>
                <w:rFonts w:cs="黑体" w:hint="eastAsia"/>
              </w:rPr>
              <w:t>亩龙虾鱼，实现乡村景区全面多元开发。</w:t>
            </w:r>
          </w:p>
          <w:p w14:paraId="224FBD61" w14:textId="77777777" w:rsidR="00EE55DB" w:rsidRDefault="00000000">
            <w:pPr>
              <w:pStyle w:val="21"/>
              <w:numPr>
                <w:ilvl w:val="0"/>
                <w:numId w:val="1"/>
              </w:numPr>
              <w:ind w:firstLine="482"/>
              <w:rPr>
                <w:rFonts w:cs="黑体"/>
                <w:b/>
                <w:bCs/>
              </w:rPr>
            </w:pPr>
            <w:r>
              <w:rPr>
                <w:rFonts w:cs="黑体" w:hint="eastAsia"/>
                <w:b/>
                <w:bCs/>
              </w:rPr>
              <w:t>旅游景区基础设施建设项目</w:t>
            </w:r>
          </w:p>
          <w:p w14:paraId="6820E869" w14:textId="77777777" w:rsidR="00EE55DB" w:rsidRDefault="00000000">
            <w:pPr>
              <w:pStyle w:val="21"/>
              <w:numPr>
                <w:ilvl w:val="255"/>
                <w:numId w:val="0"/>
              </w:numPr>
              <w:ind w:firstLineChars="200" w:firstLine="480"/>
              <w:rPr>
                <w:rFonts w:cs="黑体"/>
              </w:rPr>
            </w:pPr>
            <w:r>
              <w:rPr>
                <w:rFonts w:cs="黑体" w:hint="eastAsia"/>
              </w:rPr>
              <w:t>建设永修县城</w:t>
            </w:r>
            <w:proofErr w:type="gramStart"/>
            <w:r>
              <w:rPr>
                <w:rFonts w:cs="黑体" w:hint="eastAsia"/>
              </w:rPr>
              <w:t>市游客</w:t>
            </w:r>
            <w:proofErr w:type="gramEnd"/>
            <w:r>
              <w:rPr>
                <w:rFonts w:cs="黑体" w:hint="eastAsia"/>
              </w:rPr>
              <w:t>集散中心，包括停车场、旅游厕所、标识标牌等。合理规划、布局云居山游客集散中心建设项目，完善与游客承载量相适应的游客集散中心建设，聚合换乘、自驾车停车加油、信息咨询、票务、购物、餐饮、休憩等综合服务配套，统筹旅游公共服务产品供给。</w:t>
            </w:r>
          </w:p>
        </w:tc>
      </w:tr>
    </w:tbl>
    <w:p w14:paraId="5D2360EB" w14:textId="77777777" w:rsidR="00EE55DB" w:rsidRDefault="00000000">
      <w:pPr>
        <w:pStyle w:val="2"/>
        <w:spacing w:before="156" w:after="156"/>
      </w:pPr>
      <w:bookmarkStart w:id="24" w:name="_Toc21287"/>
      <w:r>
        <w:rPr>
          <w:rFonts w:hint="eastAsia"/>
        </w:rPr>
        <w:lastRenderedPageBreak/>
        <w:t>第四节</w:t>
      </w:r>
      <w:r>
        <w:t xml:space="preserve"> </w:t>
      </w:r>
      <w:r>
        <w:rPr>
          <w:rFonts w:hint="eastAsia"/>
        </w:rPr>
        <w:t>做大</w:t>
      </w:r>
      <w:proofErr w:type="gramStart"/>
      <w:r>
        <w:rPr>
          <w:rFonts w:hint="eastAsia"/>
        </w:rPr>
        <w:t>做优现代</w:t>
      </w:r>
      <w:proofErr w:type="gramEnd"/>
      <w:r>
        <w:rPr>
          <w:rFonts w:hint="eastAsia"/>
        </w:rPr>
        <w:t>服务业</w:t>
      </w:r>
      <w:bookmarkEnd w:id="24"/>
    </w:p>
    <w:p w14:paraId="3149F3E9" w14:textId="77777777" w:rsidR="00EE55DB" w:rsidRDefault="00000000">
      <w:pPr>
        <w:spacing w:line="590" w:lineRule="exact"/>
        <w:ind w:firstLine="640"/>
        <w:contextualSpacing/>
        <w:rPr>
          <w:rFonts w:ascii="仿宋_GB2312" w:eastAsia="仿宋_GB2312" w:hAnsi="仿宋_GB2312" w:cs="仿宋_GB2312"/>
          <w:color w:val="000000"/>
          <w:szCs w:val="32"/>
        </w:rPr>
      </w:pPr>
      <w:r>
        <w:rPr>
          <w:rFonts w:ascii="仿宋_GB2312" w:eastAsia="仿宋_GB2312" w:hAnsi="仿宋_GB2312" w:cs="仿宋_GB2312" w:hint="eastAsia"/>
          <w:b/>
          <w:bCs/>
          <w:szCs w:val="32"/>
        </w:rPr>
        <w:t>推进生产性服务业融合化发展。现代物流。</w:t>
      </w:r>
      <w:r>
        <w:rPr>
          <w:rFonts w:ascii="仿宋_GB2312" w:eastAsia="仿宋_GB2312" w:hAnsi="仿宋_GB2312" w:cs="仿宋_GB2312" w:hint="eastAsia"/>
          <w:color w:val="000000"/>
          <w:szCs w:val="32"/>
        </w:rPr>
        <w:t>以城市物流和工业物流为主攻方向，打造湖</w:t>
      </w:r>
      <w:proofErr w:type="gramStart"/>
      <w:r>
        <w:rPr>
          <w:rFonts w:ascii="仿宋_GB2312" w:eastAsia="仿宋_GB2312" w:hAnsi="仿宋_GB2312" w:cs="仿宋_GB2312" w:hint="eastAsia"/>
          <w:color w:val="000000"/>
          <w:szCs w:val="32"/>
        </w:rPr>
        <w:t>东商业</w:t>
      </w:r>
      <w:proofErr w:type="gramEnd"/>
      <w:r>
        <w:rPr>
          <w:rFonts w:ascii="仿宋_GB2312" w:eastAsia="仿宋_GB2312" w:hAnsi="仿宋_GB2312" w:cs="仿宋_GB2312" w:hint="eastAsia"/>
          <w:color w:val="000000"/>
          <w:szCs w:val="32"/>
        </w:rPr>
        <w:t>物流区域，大力发展</w:t>
      </w:r>
      <w:r>
        <w:rPr>
          <w:rFonts w:ascii="仿宋_GB2312" w:eastAsia="仿宋_GB2312" w:hAnsi="仿宋_GB2312" w:cs="仿宋_GB2312" w:hint="eastAsia"/>
          <w:color w:val="000000"/>
          <w:szCs w:val="32"/>
        </w:rPr>
        <w:lastRenderedPageBreak/>
        <w:t>以城市配送为主的商贸物流，策应南昌空港经济和</w:t>
      </w:r>
      <w:proofErr w:type="gramStart"/>
      <w:r>
        <w:rPr>
          <w:rFonts w:ascii="仿宋_GB2312" w:eastAsia="仿宋_GB2312" w:hAnsi="仿宋_GB2312" w:cs="仿宋_GB2312" w:hint="eastAsia"/>
          <w:color w:val="000000"/>
          <w:szCs w:val="32"/>
        </w:rPr>
        <w:t>昌九</w:t>
      </w:r>
      <w:proofErr w:type="gramEnd"/>
      <w:r>
        <w:rPr>
          <w:rFonts w:ascii="仿宋_GB2312" w:eastAsia="仿宋_GB2312" w:hAnsi="仿宋_GB2312" w:cs="仿宋_GB2312" w:hint="eastAsia"/>
          <w:color w:val="000000"/>
          <w:szCs w:val="32"/>
        </w:rPr>
        <w:t>经济带发展，打造马口临空物流区域，提供空港物流、农副产品物流、工业物流及工业原材料、产成品集散地，构建以城市生活物资和工业物资为主的物流配送体系。依托园区产业基础和区位交通优势，积极培育供应链管理、冷链物流、快递物流、电子商务物流、跨境物流、供应</w:t>
      </w:r>
      <w:proofErr w:type="gramStart"/>
      <w:r>
        <w:rPr>
          <w:rFonts w:ascii="仿宋_GB2312" w:eastAsia="仿宋_GB2312" w:hAnsi="仿宋_GB2312" w:cs="仿宋_GB2312" w:hint="eastAsia"/>
          <w:color w:val="000000"/>
          <w:szCs w:val="32"/>
        </w:rPr>
        <w:t>链金融</w:t>
      </w:r>
      <w:proofErr w:type="gramEnd"/>
      <w:r>
        <w:rPr>
          <w:rFonts w:ascii="仿宋_GB2312" w:eastAsia="仿宋_GB2312" w:hAnsi="仿宋_GB2312" w:cs="仿宋_GB2312" w:hint="eastAsia"/>
          <w:color w:val="000000"/>
          <w:szCs w:val="32"/>
        </w:rPr>
        <w:t>等物流新业态，上下延伸，做大做强物流产业链，加快建设县、乡、村综合物流体系建设，将永修建成为辐射昌九的九江南大门现代化区域性物流中心。</w:t>
      </w:r>
    </w:p>
    <w:p w14:paraId="7D1EF1A1"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绿色金融。</w:t>
      </w:r>
      <w:r>
        <w:rPr>
          <w:rFonts w:ascii="仿宋_GB2312" w:eastAsia="仿宋_GB2312" w:hAnsi="仿宋_GB2312" w:cs="仿宋_GB2312" w:hint="eastAsia"/>
          <w:szCs w:val="32"/>
        </w:rPr>
        <w:t>以赣江新区建设绿色金融改革创新试验区为契机，成立金融担保机构，推动供应链金融、科技金融、绿色金融、农业金融等新业态发展，注重培育引进金融资本等高端服务业，创新投融资模式，支撑赣江新区永修组团产业发展。</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6"/>
      </w:tblGrid>
      <w:tr w:rsidR="00EE55DB" w14:paraId="5F4E6907" w14:textId="77777777">
        <w:trPr>
          <w:jc w:val="center"/>
        </w:trPr>
        <w:tc>
          <w:tcPr>
            <w:tcW w:w="8316" w:type="dxa"/>
          </w:tcPr>
          <w:p w14:paraId="2728B257"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7  </w:t>
            </w:r>
            <w:r>
              <w:rPr>
                <w:rFonts w:cs="黑体" w:hint="eastAsia"/>
                <w:b/>
                <w:bCs/>
              </w:rPr>
              <w:t>生产性服务业发展导向</w:t>
            </w:r>
          </w:p>
        </w:tc>
      </w:tr>
      <w:tr w:rsidR="00EE55DB" w14:paraId="6445AD34" w14:textId="77777777">
        <w:trPr>
          <w:jc w:val="center"/>
        </w:trPr>
        <w:tc>
          <w:tcPr>
            <w:tcW w:w="8316" w:type="dxa"/>
          </w:tcPr>
          <w:p w14:paraId="5E201EF0" w14:textId="77777777" w:rsidR="00EE55DB" w:rsidRDefault="00000000">
            <w:pPr>
              <w:numPr>
                <w:ilvl w:val="0"/>
                <w:numId w:val="2"/>
              </w:numPr>
              <w:ind w:firstLine="482"/>
              <w:rPr>
                <w:rFonts w:ascii="宋体" w:eastAsia="宋体" w:hAnsi="宋体" w:cs="黑体"/>
                <w:b/>
                <w:bCs/>
                <w:sz w:val="24"/>
              </w:rPr>
            </w:pPr>
            <w:r>
              <w:rPr>
                <w:rFonts w:ascii="宋体" w:eastAsia="宋体" w:hAnsi="宋体" w:cs="黑体" w:hint="eastAsia"/>
                <w:b/>
                <w:bCs/>
                <w:sz w:val="24"/>
              </w:rPr>
              <w:t>现代物流</w:t>
            </w:r>
          </w:p>
          <w:p w14:paraId="114FBE86" w14:textId="77777777" w:rsidR="00EE55DB" w:rsidRDefault="00000000">
            <w:pPr>
              <w:numPr>
                <w:ilvl w:val="255"/>
                <w:numId w:val="0"/>
              </w:numPr>
              <w:ind w:firstLine="480"/>
              <w:rPr>
                <w:rFonts w:ascii="宋体" w:eastAsia="宋体" w:hAnsi="宋体" w:cs="黑体"/>
                <w:sz w:val="24"/>
              </w:rPr>
            </w:pPr>
            <w:r>
              <w:rPr>
                <w:rFonts w:ascii="宋体" w:eastAsia="宋体" w:hAnsi="宋体" w:cs="黑体" w:hint="eastAsia"/>
                <w:sz w:val="24"/>
              </w:rPr>
              <w:t>以赣江新区为主阵地，加快招引重点物流企业在永修设立区域总部、采购中心、分拨中心、配送中心，适时启动物流产业园项目建设。力争到</w:t>
            </w:r>
            <w:r>
              <w:rPr>
                <w:rFonts w:ascii="宋体" w:eastAsia="宋体" w:hAnsi="宋体" w:cs="黑体"/>
                <w:sz w:val="24"/>
              </w:rPr>
              <w:t>2023</w:t>
            </w:r>
            <w:r>
              <w:rPr>
                <w:rFonts w:ascii="宋体" w:eastAsia="宋体" w:hAnsi="宋体" w:cs="黑体" w:hint="eastAsia"/>
                <w:sz w:val="24"/>
              </w:rPr>
              <w:t>年，引进现代物流项目</w:t>
            </w:r>
            <w:r>
              <w:rPr>
                <w:rFonts w:ascii="宋体" w:eastAsia="宋体" w:hAnsi="宋体" w:cs="黑体"/>
                <w:sz w:val="24"/>
              </w:rPr>
              <w:t>2</w:t>
            </w:r>
            <w:r>
              <w:rPr>
                <w:rFonts w:ascii="宋体" w:eastAsia="宋体" w:hAnsi="宋体" w:cs="黑体" w:hint="eastAsia"/>
                <w:sz w:val="24"/>
              </w:rPr>
              <w:t>个以上；到</w:t>
            </w:r>
            <w:r>
              <w:rPr>
                <w:rFonts w:ascii="宋体" w:eastAsia="宋体" w:hAnsi="宋体" w:cs="黑体"/>
                <w:sz w:val="24"/>
              </w:rPr>
              <w:t>2025</w:t>
            </w:r>
            <w:r>
              <w:rPr>
                <w:rFonts w:ascii="宋体" w:eastAsia="宋体" w:hAnsi="宋体" w:cs="黑体" w:hint="eastAsia"/>
                <w:sz w:val="24"/>
              </w:rPr>
              <w:t>年打造成功一批</w:t>
            </w:r>
            <w:r>
              <w:rPr>
                <w:rFonts w:ascii="宋体" w:eastAsia="宋体" w:hAnsi="宋体" w:cs="黑体"/>
                <w:sz w:val="24"/>
              </w:rPr>
              <w:t>3A</w:t>
            </w:r>
            <w:r>
              <w:rPr>
                <w:rFonts w:ascii="宋体" w:eastAsia="宋体" w:hAnsi="宋体" w:cs="黑体" w:hint="eastAsia"/>
                <w:sz w:val="24"/>
              </w:rPr>
              <w:t>级以上物流企业。</w:t>
            </w:r>
          </w:p>
          <w:p w14:paraId="3B4CCC48" w14:textId="77777777" w:rsidR="00EE55DB" w:rsidRDefault="00000000">
            <w:pPr>
              <w:numPr>
                <w:ilvl w:val="0"/>
                <w:numId w:val="2"/>
              </w:numPr>
              <w:spacing w:line="240" w:lineRule="auto"/>
              <w:ind w:firstLineChars="0" w:firstLine="643"/>
              <w:rPr>
                <w:rFonts w:ascii="宋体" w:eastAsia="宋体" w:hAnsi="宋体" w:cs="黑体"/>
                <w:b/>
                <w:bCs/>
                <w:sz w:val="24"/>
              </w:rPr>
            </w:pPr>
            <w:r>
              <w:rPr>
                <w:rFonts w:ascii="宋体" w:eastAsia="宋体" w:hAnsi="宋体" w:cs="黑体" w:hint="eastAsia"/>
                <w:b/>
                <w:bCs/>
                <w:sz w:val="24"/>
              </w:rPr>
              <w:t>金融服务</w:t>
            </w:r>
          </w:p>
          <w:p w14:paraId="0C45C971" w14:textId="77777777" w:rsidR="00EE55DB" w:rsidRDefault="00000000">
            <w:pPr>
              <w:numPr>
                <w:ilvl w:val="255"/>
                <w:numId w:val="0"/>
              </w:numPr>
              <w:ind w:firstLineChars="200" w:firstLine="480"/>
              <w:rPr>
                <w:rFonts w:ascii="宋体" w:eastAsia="宋体" w:hAnsi="宋体" w:cs="黑体"/>
                <w:sz w:val="24"/>
              </w:rPr>
            </w:pPr>
            <w:r>
              <w:rPr>
                <w:rFonts w:ascii="宋体" w:eastAsia="宋体" w:hAnsi="宋体" w:cs="黑体" w:hint="eastAsia"/>
                <w:sz w:val="24"/>
              </w:rPr>
              <w:t>推动绿色产业和绿色经济快速健康发展，加快绿色金融中心建设，鼓励金融机构增加有效信贷投入，引导保险机构做大做强，推动保费收入稳定增长。注重培育引进金融资本等高端服务业，创新投融资模式，全力实施“预见独角兽计划”，深挖培育优质企业，支撑赣江新区永修组团产业发展。力争到</w:t>
            </w:r>
            <w:r>
              <w:rPr>
                <w:rFonts w:ascii="宋体" w:eastAsia="宋体" w:hAnsi="宋体" w:cs="黑体"/>
                <w:sz w:val="24"/>
              </w:rPr>
              <w:t>2023</w:t>
            </w:r>
            <w:r>
              <w:rPr>
                <w:rFonts w:ascii="宋体" w:eastAsia="宋体" w:hAnsi="宋体" w:cs="黑体" w:hint="eastAsia"/>
                <w:sz w:val="24"/>
              </w:rPr>
              <w:t>全县绿色项目累计达到</w:t>
            </w:r>
            <w:r>
              <w:rPr>
                <w:rFonts w:ascii="宋体" w:eastAsia="宋体" w:hAnsi="宋体" w:cs="黑体"/>
                <w:sz w:val="24"/>
              </w:rPr>
              <w:t>40</w:t>
            </w:r>
            <w:r>
              <w:rPr>
                <w:rFonts w:ascii="宋体" w:eastAsia="宋体" w:hAnsi="宋体" w:cs="黑体" w:hint="eastAsia"/>
                <w:sz w:val="24"/>
              </w:rPr>
              <w:t>个，绿色信贷余额达到</w:t>
            </w:r>
            <w:r>
              <w:rPr>
                <w:rFonts w:ascii="宋体" w:eastAsia="宋体" w:hAnsi="宋体" w:cs="黑体"/>
                <w:sz w:val="24"/>
              </w:rPr>
              <w:t>15</w:t>
            </w:r>
            <w:r>
              <w:rPr>
                <w:rFonts w:ascii="宋体" w:eastAsia="宋体" w:hAnsi="宋体" w:cs="黑体" w:hint="eastAsia"/>
                <w:sz w:val="24"/>
              </w:rPr>
              <w:t>亿元，</w:t>
            </w:r>
            <w:proofErr w:type="gramStart"/>
            <w:r>
              <w:rPr>
                <w:rFonts w:ascii="宋体" w:eastAsia="宋体" w:hAnsi="宋体" w:cs="黑体" w:hint="eastAsia"/>
                <w:sz w:val="24"/>
              </w:rPr>
              <w:t>年存贷款</w:t>
            </w:r>
            <w:proofErr w:type="gramEnd"/>
            <w:r>
              <w:rPr>
                <w:rFonts w:ascii="宋体" w:eastAsia="宋体" w:hAnsi="宋体" w:cs="黑体" w:hint="eastAsia"/>
                <w:sz w:val="24"/>
              </w:rPr>
              <w:t>余额分别突破</w:t>
            </w:r>
            <w:r>
              <w:rPr>
                <w:rFonts w:ascii="宋体" w:eastAsia="宋体" w:hAnsi="宋体" w:cs="黑体"/>
                <w:sz w:val="24"/>
              </w:rPr>
              <w:t>300</w:t>
            </w:r>
            <w:r>
              <w:rPr>
                <w:rFonts w:ascii="宋体" w:eastAsia="宋体" w:hAnsi="宋体" w:cs="黑体" w:hint="eastAsia"/>
                <w:sz w:val="24"/>
              </w:rPr>
              <w:t>亿和</w:t>
            </w:r>
            <w:r>
              <w:rPr>
                <w:rFonts w:ascii="宋体" w:eastAsia="宋体" w:hAnsi="宋体" w:cs="黑体"/>
                <w:sz w:val="24"/>
              </w:rPr>
              <w:t>200</w:t>
            </w:r>
            <w:r>
              <w:rPr>
                <w:rFonts w:ascii="宋体" w:eastAsia="宋体" w:hAnsi="宋体" w:cs="黑体" w:hint="eastAsia"/>
                <w:sz w:val="24"/>
              </w:rPr>
              <w:t>亿元；引导保险机构做大做强，推动保费收入稳定增长，年</w:t>
            </w:r>
            <w:r>
              <w:rPr>
                <w:rFonts w:ascii="宋体" w:eastAsia="宋体" w:hAnsi="宋体" w:cs="黑体" w:hint="eastAsia"/>
                <w:sz w:val="24"/>
              </w:rPr>
              <w:lastRenderedPageBreak/>
              <w:t>平均增长率保持</w:t>
            </w:r>
            <w:r>
              <w:rPr>
                <w:rFonts w:ascii="宋体" w:eastAsia="宋体" w:hAnsi="宋体" w:cs="黑体"/>
                <w:sz w:val="24"/>
              </w:rPr>
              <w:t>8%</w:t>
            </w:r>
            <w:r>
              <w:rPr>
                <w:rFonts w:ascii="宋体" w:eastAsia="宋体" w:hAnsi="宋体" w:cs="黑体" w:hint="eastAsia"/>
                <w:sz w:val="24"/>
              </w:rPr>
              <w:t>以上，到</w:t>
            </w:r>
            <w:r>
              <w:rPr>
                <w:rFonts w:ascii="宋体" w:eastAsia="宋体" w:hAnsi="宋体" w:cs="黑体"/>
                <w:sz w:val="24"/>
              </w:rPr>
              <w:t>2023</w:t>
            </w:r>
            <w:r>
              <w:rPr>
                <w:rFonts w:ascii="宋体" w:eastAsia="宋体" w:hAnsi="宋体" w:cs="黑体" w:hint="eastAsia"/>
                <w:sz w:val="24"/>
              </w:rPr>
              <w:t>年保费余额突破</w:t>
            </w:r>
            <w:r>
              <w:rPr>
                <w:rFonts w:ascii="宋体" w:eastAsia="宋体" w:hAnsi="宋体" w:cs="黑体"/>
                <w:sz w:val="24"/>
              </w:rPr>
              <w:t>4.5</w:t>
            </w:r>
            <w:r>
              <w:rPr>
                <w:rFonts w:ascii="宋体" w:eastAsia="宋体" w:hAnsi="宋体" w:cs="黑体" w:hint="eastAsia"/>
                <w:sz w:val="24"/>
              </w:rPr>
              <w:t>亿元，</w:t>
            </w:r>
            <w:proofErr w:type="gramStart"/>
            <w:r>
              <w:rPr>
                <w:rFonts w:ascii="宋体" w:eastAsia="宋体" w:hAnsi="宋体" w:cs="黑体" w:hint="eastAsia"/>
                <w:sz w:val="24"/>
              </w:rPr>
              <w:t>全县股</w:t>
            </w:r>
            <w:proofErr w:type="gramEnd"/>
            <w:r>
              <w:rPr>
                <w:rFonts w:ascii="宋体" w:eastAsia="宋体" w:hAnsi="宋体" w:cs="黑体" w:hint="eastAsia"/>
                <w:sz w:val="24"/>
              </w:rPr>
              <w:t>改、挂牌企业达到</w:t>
            </w:r>
            <w:r>
              <w:rPr>
                <w:rFonts w:ascii="宋体" w:eastAsia="宋体" w:hAnsi="宋体" w:cs="黑体"/>
                <w:sz w:val="24"/>
              </w:rPr>
              <w:t>10</w:t>
            </w:r>
            <w:r>
              <w:rPr>
                <w:rFonts w:ascii="宋体" w:eastAsia="宋体" w:hAnsi="宋体" w:cs="黑体" w:hint="eastAsia"/>
                <w:sz w:val="24"/>
              </w:rPr>
              <w:t>家，新三板上市</w:t>
            </w:r>
            <w:r>
              <w:rPr>
                <w:rFonts w:ascii="宋体" w:eastAsia="宋体" w:hAnsi="宋体" w:cs="黑体"/>
                <w:sz w:val="24"/>
              </w:rPr>
              <w:t>1</w:t>
            </w:r>
            <w:r>
              <w:rPr>
                <w:rFonts w:ascii="宋体" w:eastAsia="宋体" w:hAnsi="宋体" w:cs="黑体" w:hint="eastAsia"/>
                <w:sz w:val="24"/>
              </w:rPr>
              <w:t>家，主板上市</w:t>
            </w:r>
            <w:r>
              <w:rPr>
                <w:rFonts w:ascii="宋体" w:eastAsia="宋体" w:hAnsi="宋体" w:cs="黑体"/>
                <w:sz w:val="24"/>
              </w:rPr>
              <w:t>1</w:t>
            </w:r>
            <w:r>
              <w:rPr>
                <w:rFonts w:ascii="宋体" w:eastAsia="宋体" w:hAnsi="宋体" w:cs="黑体" w:hint="eastAsia"/>
                <w:sz w:val="24"/>
              </w:rPr>
              <w:t>家，直接融资规模突破</w:t>
            </w:r>
            <w:r>
              <w:rPr>
                <w:rFonts w:ascii="宋体" w:eastAsia="宋体" w:hAnsi="宋体" w:cs="黑体"/>
                <w:sz w:val="24"/>
              </w:rPr>
              <w:t>50</w:t>
            </w:r>
            <w:r>
              <w:rPr>
                <w:rFonts w:ascii="宋体" w:eastAsia="宋体" w:hAnsi="宋体" w:cs="黑体" w:hint="eastAsia"/>
                <w:sz w:val="24"/>
              </w:rPr>
              <w:t>亿元。到</w:t>
            </w:r>
            <w:r>
              <w:rPr>
                <w:rFonts w:ascii="宋体" w:eastAsia="宋体" w:hAnsi="宋体" w:cs="黑体"/>
                <w:sz w:val="24"/>
              </w:rPr>
              <w:t>2025</w:t>
            </w:r>
            <w:r>
              <w:rPr>
                <w:rFonts w:ascii="宋体" w:eastAsia="宋体" w:hAnsi="宋体" w:cs="黑体" w:hint="eastAsia"/>
                <w:sz w:val="24"/>
              </w:rPr>
              <w:t>年，全面实现绿色产业快速稳健发展。</w:t>
            </w:r>
          </w:p>
          <w:p w14:paraId="6C4D9B03" w14:textId="77777777" w:rsidR="00EE55DB" w:rsidRDefault="00000000">
            <w:pPr>
              <w:numPr>
                <w:ilvl w:val="255"/>
                <w:numId w:val="0"/>
              </w:numPr>
              <w:spacing w:line="240" w:lineRule="auto"/>
              <w:ind w:firstLineChars="200" w:firstLine="482"/>
              <w:rPr>
                <w:rFonts w:ascii="宋体" w:eastAsia="宋体" w:hAnsi="宋体" w:cs="黑体"/>
                <w:b/>
                <w:bCs/>
                <w:sz w:val="24"/>
              </w:rPr>
            </w:pPr>
            <w:r>
              <w:rPr>
                <w:rFonts w:ascii="宋体" w:eastAsia="宋体" w:hAnsi="宋体" w:cs="黑体" w:hint="eastAsia"/>
                <w:b/>
                <w:bCs/>
                <w:sz w:val="24"/>
              </w:rPr>
              <w:t>（三）电子商务</w:t>
            </w:r>
          </w:p>
          <w:p w14:paraId="7840AD4F" w14:textId="77777777" w:rsidR="00EE55DB" w:rsidRDefault="00000000">
            <w:pPr>
              <w:numPr>
                <w:ilvl w:val="255"/>
                <w:numId w:val="0"/>
              </w:numPr>
              <w:ind w:firstLineChars="200" w:firstLine="480"/>
            </w:pPr>
            <w:r>
              <w:rPr>
                <w:rFonts w:ascii="宋体" w:eastAsia="宋体" w:hAnsi="宋体" w:cs="黑体" w:hint="eastAsia"/>
                <w:sz w:val="24"/>
              </w:rPr>
              <w:t>依托已签约落户的电商企业，积极引进培育跨境电商龙头企业，积极扶持电子商务服务提供商（专业平台）、实体专业市场的配套网站（配套平台）、独立品牌宣传网站（品牌平台）等电子商务服务体系建设及平台建设，为永修的各类商贸客户提供产品展示、信息交流、贸易配对、国际推广、市场拓展等专业化的电子商务服务，打造“电商</w:t>
            </w:r>
            <w:r>
              <w:rPr>
                <w:rFonts w:ascii="宋体" w:eastAsia="宋体" w:hAnsi="宋体" w:cs="黑体"/>
                <w:sz w:val="24"/>
              </w:rPr>
              <w:t>+</w:t>
            </w:r>
            <w:r>
              <w:rPr>
                <w:rFonts w:ascii="宋体" w:eastAsia="宋体" w:hAnsi="宋体" w:cs="黑体" w:hint="eastAsia"/>
                <w:sz w:val="24"/>
              </w:rPr>
              <w:t>直播”为新业态的产业集群。积极推动“电子商务进农村”，加快完善农村电子商务平台，引导电子商务与会展、旅游、文化等等领域融合发展。</w:t>
            </w:r>
          </w:p>
        </w:tc>
      </w:tr>
    </w:tbl>
    <w:p w14:paraId="60128752" w14:textId="77777777" w:rsidR="00EE55DB" w:rsidRDefault="00000000">
      <w:pPr>
        <w:spacing w:line="590" w:lineRule="exact"/>
        <w:ind w:firstLine="640"/>
        <w:contextualSpacing/>
      </w:pPr>
      <w:r>
        <w:rPr>
          <w:rFonts w:ascii="仿宋_GB2312" w:eastAsia="仿宋_GB2312" w:hAnsi="仿宋_GB2312" w:cs="仿宋_GB2312" w:hint="eastAsia"/>
          <w:b/>
          <w:bCs/>
        </w:rPr>
        <w:lastRenderedPageBreak/>
        <w:t>推动生活性服务业品质化发展。</w:t>
      </w:r>
      <w:r>
        <w:rPr>
          <w:rFonts w:ascii="仿宋_GB2312" w:eastAsia="仿宋_GB2312" w:hAnsi="仿宋_GB2312" w:cs="仿宋_GB2312" w:hint="eastAsia"/>
          <w:b/>
          <w:bCs/>
          <w:szCs w:val="32"/>
        </w:rPr>
        <w:t>商贸服务。</w:t>
      </w:r>
      <w:r>
        <w:rPr>
          <w:rFonts w:ascii="仿宋_GB2312" w:eastAsia="仿宋_GB2312" w:hAnsi="仿宋_GB2312" w:cs="仿宋_GB2312" w:hint="eastAsia"/>
          <w:szCs w:val="32"/>
        </w:rPr>
        <w:t>深入对接大南昌都市圈及赣江新区直管区，促进商贸生活转型升级，实施传统商贸和特色商圈提升工程，加快打造一批高品质新地标。有序布局夜经济，积极培育具有本地特色的夜间经济，在湖东区、城南区、老城区建设涵盖购物、餐饮、文化、休闲等具有情怀及规模的夜间经济示范区，形成规划合理、设施完善、业态多元、管理规范的夜间经济发展格局。</w:t>
      </w:r>
    </w:p>
    <w:p w14:paraId="41DE300D"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健康养老。</w:t>
      </w:r>
      <w:r>
        <w:rPr>
          <w:rFonts w:ascii="仿宋_GB2312" w:eastAsia="仿宋_GB2312" w:hAnsi="仿宋_GB2312" w:cs="仿宋_GB2312" w:hint="eastAsia"/>
          <w:color w:val="000000"/>
          <w:szCs w:val="32"/>
        </w:rPr>
        <w:t>积极探索公建民营和“医养结合”健康养老新模式，创新居家健康养老、个性化健康管理、生活照护、养老机构信息化</w:t>
      </w:r>
      <w:r>
        <w:rPr>
          <w:rFonts w:ascii="仿宋_GB2312" w:eastAsia="仿宋_GB2312" w:hAnsi="仿宋_GB2312" w:cs="仿宋_GB2312" w:hint="eastAsia"/>
          <w:szCs w:val="32"/>
        </w:rPr>
        <w:t>服务等健康养老服务。探索建立养老</w:t>
      </w:r>
      <w:r>
        <w:rPr>
          <w:rFonts w:ascii="仿宋_GB2312" w:eastAsia="仿宋_GB2312" w:hAnsi="仿宋_GB2312" w:cs="仿宋_GB2312"/>
          <w:szCs w:val="32"/>
        </w:rPr>
        <w:t>+</w:t>
      </w:r>
      <w:r>
        <w:rPr>
          <w:rFonts w:ascii="仿宋_GB2312" w:eastAsia="仿宋_GB2312" w:hAnsi="仿宋_GB2312" w:cs="仿宋_GB2312" w:hint="eastAsia"/>
          <w:szCs w:val="32"/>
        </w:rPr>
        <w:t>旅游、养老</w:t>
      </w:r>
      <w:r>
        <w:rPr>
          <w:rFonts w:ascii="仿宋_GB2312" w:eastAsia="仿宋_GB2312" w:hAnsi="仿宋_GB2312" w:cs="仿宋_GB2312"/>
          <w:szCs w:val="32"/>
        </w:rPr>
        <w:t>+</w:t>
      </w:r>
      <w:proofErr w:type="gramStart"/>
      <w:r>
        <w:rPr>
          <w:rFonts w:ascii="仿宋_GB2312" w:eastAsia="仿宋_GB2312" w:hAnsi="仿宋_GB2312" w:cs="仿宋_GB2312" w:hint="eastAsia"/>
          <w:szCs w:val="32"/>
        </w:rPr>
        <w:t>康养等</w:t>
      </w:r>
      <w:proofErr w:type="gramEnd"/>
      <w:r>
        <w:rPr>
          <w:rFonts w:ascii="仿宋_GB2312" w:eastAsia="仿宋_GB2312" w:hAnsi="仿宋_GB2312" w:cs="仿宋_GB2312" w:hint="eastAsia"/>
          <w:szCs w:val="32"/>
        </w:rPr>
        <w:t>养老新模式新业态，推动乡村振兴、康养疗养、休闲旅游融合发展，</w:t>
      </w:r>
      <w:r>
        <w:rPr>
          <w:rFonts w:ascii="仿宋_GB2312" w:eastAsia="仿宋_GB2312" w:hAnsi="仿宋_GB2312" w:cs="仿宋_GB2312" w:hint="eastAsia"/>
          <w:color w:val="000000"/>
          <w:szCs w:val="32"/>
        </w:rPr>
        <w:t>实现生态效益、社会效益、经济效益全面提升，助力永修打造“江西康养样板城市”。</w:t>
      </w:r>
    </w:p>
    <w:p w14:paraId="03E645B5" w14:textId="77777777" w:rsidR="00EE55DB" w:rsidRDefault="00EE55DB">
      <w:pPr>
        <w:pStyle w:val="a0"/>
        <w:ind w:firstLineChars="0" w:firstLine="0"/>
      </w:pP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2"/>
      </w:tblGrid>
      <w:tr w:rsidR="00EE55DB" w14:paraId="6D4EE098" w14:textId="77777777">
        <w:trPr>
          <w:jc w:val="center"/>
        </w:trPr>
        <w:tc>
          <w:tcPr>
            <w:tcW w:w="8372" w:type="dxa"/>
          </w:tcPr>
          <w:p w14:paraId="340CE235" w14:textId="77777777" w:rsidR="00EE55DB" w:rsidRDefault="00000000">
            <w:pPr>
              <w:pStyle w:val="21"/>
              <w:ind w:firstLine="482"/>
              <w:jc w:val="center"/>
              <w:rPr>
                <w:rFonts w:cs="黑体"/>
              </w:rPr>
            </w:pPr>
            <w:r>
              <w:rPr>
                <w:rFonts w:cs="黑体" w:hint="eastAsia"/>
                <w:b/>
                <w:bCs/>
              </w:rPr>
              <w:lastRenderedPageBreak/>
              <w:t>专栏</w:t>
            </w:r>
            <w:r>
              <w:rPr>
                <w:rFonts w:cs="黑体"/>
                <w:b/>
                <w:bCs/>
              </w:rPr>
              <w:t xml:space="preserve">8  </w:t>
            </w:r>
            <w:r>
              <w:rPr>
                <w:rFonts w:cs="黑体" w:hint="eastAsia"/>
                <w:b/>
                <w:bCs/>
              </w:rPr>
              <w:t>生活性服务业发展导向</w:t>
            </w:r>
          </w:p>
        </w:tc>
      </w:tr>
      <w:tr w:rsidR="00EE55DB" w14:paraId="5C9A5DFB" w14:textId="77777777">
        <w:trPr>
          <w:jc w:val="center"/>
        </w:trPr>
        <w:tc>
          <w:tcPr>
            <w:tcW w:w="8372" w:type="dxa"/>
          </w:tcPr>
          <w:p w14:paraId="060B2327" w14:textId="77777777" w:rsidR="00EE55DB" w:rsidRDefault="00000000">
            <w:pPr>
              <w:pStyle w:val="21"/>
              <w:ind w:firstLine="482"/>
              <w:rPr>
                <w:rFonts w:cs="黑体"/>
                <w:b/>
                <w:bCs/>
              </w:rPr>
            </w:pPr>
            <w:r>
              <w:rPr>
                <w:rFonts w:cs="黑体" w:hint="eastAsia"/>
                <w:b/>
                <w:bCs/>
              </w:rPr>
              <w:t>（一）商贸服务业</w:t>
            </w:r>
          </w:p>
          <w:p w14:paraId="7450536D" w14:textId="77777777" w:rsidR="00EE55DB" w:rsidRDefault="00000000">
            <w:pPr>
              <w:pStyle w:val="21"/>
              <w:ind w:firstLine="480"/>
              <w:rPr>
                <w:rFonts w:cs="黑体"/>
              </w:rPr>
            </w:pPr>
            <w:r>
              <w:rPr>
                <w:rFonts w:cs="黑体" w:hint="eastAsia"/>
              </w:rPr>
              <w:t>加快建设辐射全县的城市商圈，打造产业特色明显、业</w:t>
            </w:r>
            <w:proofErr w:type="gramStart"/>
            <w:r>
              <w:rPr>
                <w:rFonts w:cs="黑体" w:hint="eastAsia"/>
              </w:rPr>
              <w:t>态创新</w:t>
            </w:r>
            <w:proofErr w:type="gramEnd"/>
            <w:r>
              <w:rPr>
                <w:rFonts w:cs="黑体" w:hint="eastAsia"/>
              </w:rPr>
              <w:t>持续、服务配套全面的商业片区，推动商务数字化、网络化和智能化发展，加快企业上云，推动线上线下双向融合，加快培育和引进一批综合性电商、</w:t>
            </w:r>
            <w:proofErr w:type="gramStart"/>
            <w:r>
              <w:rPr>
                <w:rFonts w:cs="黑体" w:hint="eastAsia"/>
              </w:rPr>
              <w:t>第三方电商</w:t>
            </w:r>
            <w:proofErr w:type="gramEnd"/>
            <w:r>
              <w:rPr>
                <w:rFonts w:cs="黑体" w:hint="eastAsia"/>
              </w:rPr>
              <w:t>、垂直电商平台，普及移动电子商务</w:t>
            </w:r>
            <w:r>
              <w:rPr>
                <w:rFonts w:cs="黑体"/>
              </w:rPr>
              <w:t>,</w:t>
            </w:r>
            <w:r>
              <w:rPr>
                <w:rFonts w:cs="黑体" w:hint="eastAsia"/>
              </w:rPr>
              <w:t>引进无人超市等新兴业态，完善商务商贸发展生态系统，构建商贸发展新优势。</w:t>
            </w:r>
          </w:p>
          <w:p w14:paraId="489D68A5" w14:textId="77777777" w:rsidR="00EE55DB" w:rsidRDefault="00000000">
            <w:pPr>
              <w:pStyle w:val="21"/>
              <w:ind w:firstLine="482"/>
              <w:rPr>
                <w:rFonts w:cs="黑体"/>
                <w:b/>
                <w:bCs/>
              </w:rPr>
            </w:pPr>
            <w:r>
              <w:rPr>
                <w:rFonts w:cs="黑体" w:hint="eastAsia"/>
                <w:b/>
                <w:bCs/>
              </w:rPr>
              <w:t>（二）健康养老</w:t>
            </w:r>
          </w:p>
          <w:p w14:paraId="59C45915" w14:textId="77777777" w:rsidR="00EE55DB" w:rsidRDefault="00000000">
            <w:pPr>
              <w:pStyle w:val="21"/>
              <w:ind w:firstLine="480"/>
              <w:rPr>
                <w:rFonts w:ascii="仿宋_GB2312" w:eastAsia="仿宋_GB2312" w:hAnsi="仿宋_GB2312" w:cs="仿宋_GB2312"/>
                <w:sz w:val="32"/>
                <w:szCs w:val="32"/>
              </w:rPr>
            </w:pPr>
            <w:r>
              <w:rPr>
                <w:rFonts w:cs="黑体" w:hint="eastAsia"/>
              </w:rPr>
              <w:t>积极探索“医养结合”健康养老新模式，推进老年公寓、</w:t>
            </w:r>
            <w:proofErr w:type="gramStart"/>
            <w:r>
              <w:rPr>
                <w:rFonts w:cs="黑体" w:hint="eastAsia"/>
              </w:rPr>
              <w:t>医</w:t>
            </w:r>
            <w:proofErr w:type="gramEnd"/>
            <w:r>
              <w:rPr>
                <w:rFonts w:cs="黑体" w:hint="eastAsia"/>
              </w:rPr>
              <w:t>养中心、光荣敬老院等一批养老服务基础设施建设，新建一批颐养之家，鼓励社会资金以独资、合资、合作、联营、参股等方式发展养老服务业。</w:t>
            </w:r>
          </w:p>
        </w:tc>
      </w:tr>
    </w:tbl>
    <w:p w14:paraId="291460D8" w14:textId="77777777" w:rsidR="00EE55DB" w:rsidRDefault="00000000">
      <w:pPr>
        <w:pStyle w:val="2"/>
        <w:spacing w:before="156" w:after="156"/>
      </w:pPr>
      <w:bookmarkStart w:id="25" w:name="_Toc6896"/>
      <w:r>
        <w:rPr>
          <w:rFonts w:hint="eastAsia"/>
        </w:rPr>
        <w:t>第五节</w:t>
      </w:r>
      <w:r>
        <w:t xml:space="preserve"> </w:t>
      </w:r>
      <w:r>
        <w:rPr>
          <w:rFonts w:hint="eastAsia"/>
        </w:rPr>
        <w:t>打造高水平现代化产业发展平台</w:t>
      </w:r>
      <w:bookmarkEnd w:id="25"/>
    </w:p>
    <w:p w14:paraId="0DD3FF36"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推动园区提质扩容。</w:t>
      </w:r>
      <w:r>
        <w:rPr>
          <w:rFonts w:ascii="仿宋_GB2312" w:eastAsia="仿宋_GB2312" w:hAnsi="仿宋_GB2312" w:cs="仿宋_GB2312" w:hint="eastAsia"/>
          <w:szCs w:val="32"/>
        </w:rPr>
        <w:t>完善园区基础设施建设，合理优化园区规划布局，加快建成一批标准厂房，打造一批示范企业，清理一批闲置企业，建成现代化优质园区。深入实施集群式项目</w:t>
      </w:r>
      <w:proofErr w:type="gramStart"/>
      <w:r>
        <w:rPr>
          <w:rFonts w:ascii="仿宋_GB2312" w:eastAsia="仿宋_GB2312" w:hAnsi="仿宋_GB2312" w:cs="仿宋_GB2312" w:hint="eastAsia"/>
          <w:szCs w:val="32"/>
        </w:rPr>
        <w:t>满园扩园行动</w:t>
      </w:r>
      <w:proofErr w:type="gramEnd"/>
      <w:r>
        <w:rPr>
          <w:rFonts w:ascii="仿宋_GB2312" w:eastAsia="仿宋_GB2312" w:hAnsi="仿宋_GB2312" w:cs="仿宋_GB2312" w:hint="eastAsia"/>
          <w:szCs w:val="32"/>
        </w:rPr>
        <w:t>，开展新</w:t>
      </w:r>
      <w:proofErr w:type="gramStart"/>
      <w:r>
        <w:rPr>
          <w:rFonts w:ascii="仿宋_GB2312" w:eastAsia="仿宋_GB2312" w:hAnsi="仿宋_GB2312" w:cs="仿宋_GB2312" w:hint="eastAsia"/>
          <w:szCs w:val="32"/>
        </w:rPr>
        <w:t>一轮调区扩区</w:t>
      </w:r>
      <w:proofErr w:type="gramEnd"/>
      <w:r>
        <w:rPr>
          <w:rFonts w:ascii="仿宋_GB2312" w:eastAsia="仿宋_GB2312" w:hAnsi="仿宋_GB2312" w:cs="仿宋_GB2312" w:hint="eastAsia"/>
          <w:szCs w:val="32"/>
        </w:rPr>
        <w:t>。按照“一区三园”空间格局，打造升级版新“星火工业园”、新“马口产业园”和单独成园的恒丰工业新区。加大园区基础设施建设投入及生产生活配套功能完善，扎实推进“五化”园区建设，实施“节地增效”行动，推进“标准地”建设，强化“亩产论英雄”导向，积极推进“腾笼换鸟”，做</w:t>
      </w:r>
      <w:proofErr w:type="gramStart"/>
      <w:r>
        <w:rPr>
          <w:rFonts w:ascii="仿宋_GB2312" w:eastAsia="仿宋_GB2312" w:hAnsi="仿宋_GB2312" w:cs="仿宋_GB2312" w:hint="eastAsia"/>
          <w:szCs w:val="32"/>
        </w:rPr>
        <w:t>强产业</w:t>
      </w:r>
      <w:proofErr w:type="gramEnd"/>
      <w:r>
        <w:rPr>
          <w:rFonts w:ascii="仿宋_GB2312" w:eastAsia="仿宋_GB2312" w:hAnsi="仿宋_GB2312" w:cs="仿宋_GB2312" w:hint="eastAsia"/>
          <w:szCs w:val="32"/>
        </w:rPr>
        <w:t>发展“主战场”。</w:t>
      </w:r>
    </w:p>
    <w:p w14:paraId="18F26BB3"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优化园区体制机制。</w:t>
      </w:r>
      <w:r>
        <w:rPr>
          <w:rFonts w:ascii="仿宋_GB2312" w:eastAsia="仿宋_GB2312" w:hAnsi="仿宋_GB2312" w:cs="仿宋_GB2312" w:hint="eastAsia"/>
          <w:szCs w:val="32"/>
        </w:rPr>
        <w:t>加快推进园区综合服务体制机制改革，推动园区向创新型、生态型、专业型、服务型、贡献型方向发展。创办园区中介服务机构，为入园企业提供</w:t>
      </w:r>
      <w:proofErr w:type="gramStart"/>
      <w:r>
        <w:rPr>
          <w:rFonts w:ascii="仿宋_GB2312" w:eastAsia="仿宋_GB2312" w:hAnsi="仿宋_GB2312" w:cs="仿宋_GB2312" w:hint="eastAsia"/>
          <w:szCs w:val="32"/>
        </w:rPr>
        <w:t>环安评</w:t>
      </w:r>
      <w:proofErr w:type="gramEnd"/>
      <w:r>
        <w:rPr>
          <w:rFonts w:ascii="仿宋_GB2312" w:eastAsia="仿宋_GB2312" w:hAnsi="仿宋_GB2312" w:cs="仿宋_GB2312" w:hint="eastAsia"/>
          <w:szCs w:val="32"/>
        </w:rPr>
        <w:t>、</w:t>
      </w:r>
      <w:r>
        <w:rPr>
          <w:rFonts w:ascii="仿宋_GB2312" w:eastAsia="仿宋_GB2312" w:hAnsi="仿宋_GB2312" w:cs="仿宋_GB2312" w:hint="eastAsia"/>
          <w:szCs w:val="32"/>
        </w:rPr>
        <w:lastRenderedPageBreak/>
        <w:t>金融、研究、设计、法律等方面的服务，真正做到“企业办事不出园区”。加强开发区与行政区统筹协调，赋予开发区更大的改革创新自主权。加快开发区建设、管理、运营市场化改革，全面推行“园区平台</w:t>
      </w:r>
      <w:r>
        <w:rPr>
          <w:rFonts w:ascii="仿宋_GB2312" w:eastAsia="仿宋_GB2312" w:hAnsi="仿宋_GB2312" w:cs="仿宋_GB2312"/>
          <w:szCs w:val="32"/>
        </w:rPr>
        <w:t>+</w:t>
      </w:r>
      <w:r>
        <w:rPr>
          <w:rFonts w:ascii="仿宋_GB2312" w:eastAsia="仿宋_GB2312" w:hAnsi="仿宋_GB2312" w:cs="仿宋_GB2312" w:hint="eastAsia"/>
          <w:szCs w:val="32"/>
        </w:rPr>
        <w:t>特色产业</w:t>
      </w:r>
      <w:r>
        <w:rPr>
          <w:rFonts w:ascii="仿宋_GB2312" w:eastAsia="仿宋_GB2312" w:hAnsi="仿宋_GB2312" w:cs="仿宋_GB2312"/>
          <w:szCs w:val="32"/>
        </w:rPr>
        <w:t>+</w:t>
      </w:r>
      <w:r>
        <w:rPr>
          <w:rFonts w:ascii="仿宋_GB2312" w:eastAsia="仿宋_GB2312" w:hAnsi="仿宋_GB2312" w:cs="仿宋_GB2312" w:hint="eastAsia"/>
          <w:szCs w:val="32"/>
        </w:rPr>
        <w:t>标准厂房”建设模式，大力推进以全员聘任制和绩效工资制为核心的人事薪酬制度改革。</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6"/>
      </w:tblGrid>
      <w:tr w:rsidR="00EE55DB" w14:paraId="3A8F7938" w14:textId="77777777">
        <w:trPr>
          <w:jc w:val="center"/>
        </w:trPr>
        <w:tc>
          <w:tcPr>
            <w:tcW w:w="8416" w:type="dxa"/>
          </w:tcPr>
          <w:p w14:paraId="271A6488"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9  </w:t>
            </w:r>
            <w:r>
              <w:rPr>
                <w:rFonts w:cs="黑体" w:hint="eastAsia"/>
                <w:b/>
                <w:bCs/>
              </w:rPr>
              <w:t>现代化产业平台建设重点项目</w:t>
            </w:r>
          </w:p>
        </w:tc>
      </w:tr>
      <w:tr w:rsidR="00EE55DB" w14:paraId="776AC72E" w14:textId="77777777">
        <w:trPr>
          <w:jc w:val="center"/>
        </w:trPr>
        <w:tc>
          <w:tcPr>
            <w:tcW w:w="8416" w:type="dxa"/>
          </w:tcPr>
          <w:p w14:paraId="2D2A1B95" w14:textId="77777777" w:rsidR="00EE55DB" w:rsidRDefault="00000000">
            <w:pPr>
              <w:pStyle w:val="21"/>
              <w:ind w:firstLine="482"/>
              <w:rPr>
                <w:rFonts w:cs="黑体"/>
                <w:b/>
                <w:bCs/>
              </w:rPr>
            </w:pPr>
            <w:r>
              <w:rPr>
                <w:rFonts w:cs="黑体" w:hint="eastAsia"/>
                <w:b/>
                <w:bCs/>
              </w:rPr>
              <w:t>（一）厂房建设项目</w:t>
            </w:r>
          </w:p>
          <w:p w14:paraId="4370EC7C" w14:textId="77777777" w:rsidR="00EE55DB" w:rsidRDefault="00000000">
            <w:pPr>
              <w:pStyle w:val="21"/>
              <w:ind w:firstLine="480"/>
              <w:rPr>
                <w:rFonts w:cs="黑体"/>
              </w:rPr>
            </w:pPr>
            <w:r>
              <w:rPr>
                <w:rFonts w:cs="黑体" w:hint="eastAsia"/>
              </w:rPr>
              <w:t>重点建设马口产业园</w:t>
            </w:r>
            <w:r>
              <w:rPr>
                <w:rFonts w:cs="黑体"/>
              </w:rPr>
              <w:t>30</w:t>
            </w:r>
            <w:r>
              <w:rPr>
                <w:rFonts w:cs="黑体" w:hint="eastAsia"/>
              </w:rPr>
              <w:t>万㎡标准厂房项目、云山工业园</w:t>
            </w:r>
            <w:r>
              <w:rPr>
                <w:rFonts w:cs="黑体"/>
              </w:rPr>
              <w:t>12</w:t>
            </w:r>
            <w:r>
              <w:rPr>
                <w:rFonts w:cs="黑体" w:hint="eastAsia"/>
              </w:rPr>
              <w:t>万㎡标准厂房项目、恒</w:t>
            </w:r>
            <w:proofErr w:type="gramStart"/>
            <w:r>
              <w:rPr>
                <w:rFonts w:cs="黑体" w:hint="eastAsia"/>
              </w:rPr>
              <w:t>丰产业</w:t>
            </w:r>
            <w:proofErr w:type="gramEnd"/>
            <w:r>
              <w:rPr>
                <w:rFonts w:cs="黑体" w:hint="eastAsia"/>
              </w:rPr>
              <w:t>园</w:t>
            </w:r>
            <w:r>
              <w:rPr>
                <w:rFonts w:cs="黑体"/>
              </w:rPr>
              <w:t>20</w:t>
            </w:r>
            <w:r>
              <w:rPr>
                <w:rFonts w:cs="黑体" w:hint="eastAsia"/>
              </w:rPr>
              <w:t>万㎡标准厂房项目。</w:t>
            </w:r>
          </w:p>
          <w:p w14:paraId="5E2D2437" w14:textId="77777777" w:rsidR="00EE55DB" w:rsidRDefault="00000000">
            <w:pPr>
              <w:pStyle w:val="21"/>
              <w:ind w:firstLine="482"/>
              <w:rPr>
                <w:rFonts w:cs="黑体"/>
                <w:b/>
                <w:bCs/>
              </w:rPr>
            </w:pPr>
            <w:r>
              <w:rPr>
                <w:rFonts w:cs="黑体" w:hint="eastAsia"/>
                <w:b/>
                <w:bCs/>
              </w:rPr>
              <w:t>（二）新区建设项目</w:t>
            </w:r>
          </w:p>
          <w:p w14:paraId="04D343A7" w14:textId="77777777" w:rsidR="00EE55DB" w:rsidRDefault="00000000">
            <w:pPr>
              <w:pStyle w:val="21"/>
              <w:ind w:firstLine="480"/>
              <w:rPr>
                <w:rFonts w:cs="黑体"/>
              </w:rPr>
            </w:pPr>
            <w:r>
              <w:rPr>
                <w:rFonts w:cs="黑体" w:hint="eastAsia"/>
              </w:rPr>
              <w:t>重点建设恒丰工业新区起步区土地征迁项目、恒丰工业新区起步区路网及土方平整工程项目。</w:t>
            </w:r>
          </w:p>
          <w:p w14:paraId="37D6FFD6" w14:textId="77777777" w:rsidR="00EE55DB" w:rsidRDefault="00000000">
            <w:pPr>
              <w:pStyle w:val="21"/>
              <w:ind w:firstLine="482"/>
              <w:rPr>
                <w:rFonts w:cs="黑体"/>
                <w:b/>
                <w:bCs/>
              </w:rPr>
            </w:pPr>
            <w:r>
              <w:rPr>
                <w:rFonts w:cs="黑体" w:hint="eastAsia"/>
                <w:b/>
                <w:bCs/>
              </w:rPr>
              <w:t>（三）提质扩容项目</w:t>
            </w:r>
          </w:p>
          <w:p w14:paraId="4E2187FD" w14:textId="77777777" w:rsidR="00EE55DB" w:rsidRDefault="00000000">
            <w:pPr>
              <w:pStyle w:val="21"/>
              <w:ind w:firstLine="480"/>
              <w:rPr>
                <w:rFonts w:cs="黑体"/>
              </w:rPr>
            </w:pPr>
            <w:r>
              <w:rPr>
                <w:rFonts w:cs="黑体" w:hint="eastAsia"/>
              </w:rPr>
              <w:t>重点建设星火工业园品质提升工程项目、城南工业园品质提升工程项目、马口工业园品质提升工程项目、云山工业园品质提升工程项目、星火园区集中供热项目、马口产业园三四板块路网建设及土方平整工程项目。</w:t>
            </w:r>
          </w:p>
        </w:tc>
      </w:tr>
    </w:tbl>
    <w:p w14:paraId="56681A7C" w14:textId="77777777" w:rsidR="00EE55DB" w:rsidRDefault="00000000">
      <w:pPr>
        <w:ind w:firstLine="640"/>
      </w:pPr>
      <w:r>
        <w:br w:type="page"/>
      </w:r>
    </w:p>
    <w:p w14:paraId="72CCDABD" w14:textId="77777777" w:rsidR="00EE55DB" w:rsidRDefault="00000000">
      <w:pPr>
        <w:pStyle w:val="1"/>
        <w:spacing w:before="156" w:after="156"/>
        <w:rPr>
          <w:szCs w:val="36"/>
        </w:rPr>
      </w:pPr>
      <w:bookmarkStart w:id="26" w:name="_Toc5719"/>
      <w:r>
        <w:rPr>
          <w:rFonts w:hint="eastAsia"/>
          <w:szCs w:val="36"/>
        </w:rPr>
        <w:lastRenderedPageBreak/>
        <w:t>第四章</w:t>
      </w:r>
      <w:r>
        <w:rPr>
          <w:szCs w:val="36"/>
        </w:rPr>
        <w:t xml:space="preserve"> </w:t>
      </w:r>
      <w:r>
        <w:rPr>
          <w:rFonts w:hint="eastAsia"/>
          <w:szCs w:val="36"/>
        </w:rPr>
        <w:t>坚定实施扩大内需战略，主动融入发展新格局</w:t>
      </w:r>
      <w:bookmarkEnd w:id="26"/>
    </w:p>
    <w:p w14:paraId="37F080BE"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坚持扩大规模与提升效益并重相结合的原则，以江西内陆开放型经济试验区建设为契机，积极融入区域重大发展战略，建立区域合作新机制，持续释放县域消费潜力，全面拓宽永修开放发展新空间。</w:t>
      </w:r>
    </w:p>
    <w:p w14:paraId="2087CB12" w14:textId="77777777" w:rsidR="00EE55DB" w:rsidRDefault="00000000">
      <w:pPr>
        <w:pStyle w:val="2"/>
        <w:spacing w:before="156" w:after="156"/>
        <w:rPr>
          <w:rFonts w:ascii="楷体" w:cs="楷体"/>
          <w:szCs w:val="32"/>
        </w:rPr>
      </w:pPr>
      <w:bookmarkStart w:id="27" w:name="_Toc16591"/>
      <w:r>
        <w:rPr>
          <w:rFonts w:ascii="楷体" w:hAnsi="楷体" w:cs="楷体" w:hint="eastAsia"/>
          <w:szCs w:val="32"/>
        </w:rPr>
        <w:t>第一节</w:t>
      </w:r>
      <w:r>
        <w:rPr>
          <w:rFonts w:ascii="楷体" w:hAnsi="楷体" w:cs="楷体"/>
          <w:szCs w:val="32"/>
        </w:rPr>
        <w:t xml:space="preserve"> </w:t>
      </w:r>
      <w:r>
        <w:rPr>
          <w:rFonts w:ascii="楷体" w:hAnsi="楷体" w:cs="楷体" w:hint="eastAsia"/>
          <w:szCs w:val="32"/>
        </w:rPr>
        <w:t>积极对接融入国家战略</w:t>
      </w:r>
      <w:bookmarkEnd w:id="27"/>
    </w:p>
    <w:p w14:paraId="14864769" w14:textId="77777777" w:rsidR="00EE55DB" w:rsidRDefault="00000000">
      <w:pPr>
        <w:ind w:firstLine="643"/>
        <w:rPr>
          <w:rFonts w:ascii="仿宋_GB2312" w:eastAsia="仿宋_GB2312" w:hAnsi="仿宋_GB2312" w:cs="仿宋_GB2312"/>
          <w:szCs w:val="32"/>
        </w:rPr>
      </w:pPr>
      <w:r>
        <w:rPr>
          <w:rFonts w:hint="eastAsia"/>
          <w:b/>
          <w:bCs/>
        </w:rPr>
        <w:t>全面对接区域合作大格局。</w:t>
      </w:r>
      <w:r>
        <w:rPr>
          <w:rFonts w:ascii="仿宋_GB2312" w:eastAsia="仿宋_GB2312" w:hAnsi="仿宋_GB2312" w:cs="仿宋_GB2312" w:hint="eastAsia"/>
          <w:szCs w:val="32"/>
        </w:rPr>
        <w:t>积极参与长江经济带发展、中部地区崛起，主动</w:t>
      </w:r>
      <w:proofErr w:type="gramStart"/>
      <w:r>
        <w:rPr>
          <w:rFonts w:ascii="仿宋_GB2312" w:eastAsia="仿宋_GB2312" w:hAnsi="仿宋_GB2312" w:cs="仿宋_GB2312" w:hint="eastAsia"/>
          <w:szCs w:val="32"/>
        </w:rPr>
        <w:t>对接长</w:t>
      </w:r>
      <w:proofErr w:type="gramEnd"/>
      <w:r>
        <w:rPr>
          <w:rFonts w:ascii="仿宋_GB2312" w:eastAsia="仿宋_GB2312" w:hAnsi="仿宋_GB2312" w:cs="仿宋_GB2312" w:hint="eastAsia"/>
          <w:szCs w:val="32"/>
        </w:rPr>
        <w:t>三角一体化、粤港澳大湾区建设、武汉都市圈、大南昌都市圈建设，构建开放大通道，在旅游、产业、文化、生态、教育、卫生等领域深化跨区域合作交流，创新园区共建、园区托管、异地孵化、飞地经济等合作模式，探索与沿海地区建立产业协作利益分享、异地流转项目利益共享机制。组织引导龙头企业积极开拓“一带一路”沿线地区的市场，支持企业在沿线地区建设国际营销网络和售后服务体系，提升对外贸易水平。</w:t>
      </w:r>
    </w:p>
    <w:p w14:paraId="7E6E40C3" w14:textId="77777777" w:rsidR="00EE55DB" w:rsidRDefault="00000000">
      <w:pPr>
        <w:ind w:firstLine="643"/>
        <w:rPr>
          <w:rFonts w:ascii="仿宋_GB2312" w:eastAsia="仿宋_GB2312" w:hAnsi="仿宋_GB2312" w:cs="仿宋_GB2312"/>
          <w:szCs w:val="32"/>
        </w:rPr>
      </w:pPr>
      <w:r>
        <w:rPr>
          <w:rFonts w:hint="eastAsia"/>
          <w:b/>
          <w:bCs/>
        </w:rPr>
        <w:t>主动融入赣江新区一体化。</w:t>
      </w:r>
      <w:r>
        <w:rPr>
          <w:rFonts w:ascii="仿宋_GB2312" w:eastAsia="仿宋_GB2312" w:hAnsi="仿宋_GB2312" w:cs="仿宋_GB2312" w:hint="eastAsia"/>
          <w:szCs w:val="32"/>
        </w:rPr>
        <w:t>永修组团以“制造基地、‘双创’平台、物流枢纽、城市中心、生态腹地”自身定位，主动对接赣江新区建设，在城市建设与产业发展统筹推进、生态环境联防联治、基础设施互联互通、市场要素对接对流、公共服务共建共享等领域深入推进，积极探索区域合作新机</w:t>
      </w:r>
      <w:r>
        <w:rPr>
          <w:rFonts w:ascii="仿宋_GB2312" w:eastAsia="仿宋_GB2312" w:hAnsi="仿宋_GB2312" w:cs="仿宋_GB2312" w:hint="eastAsia"/>
          <w:szCs w:val="32"/>
        </w:rPr>
        <w:lastRenderedPageBreak/>
        <w:t>制体制，优化开放合作交流工作机制。</w:t>
      </w:r>
    </w:p>
    <w:p w14:paraId="66B76CD4" w14:textId="77777777" w:rsidR="00EE55DB" w:rsidRDefault="00000000">
      <w:pPr>
        <w:pStyle w:val="2"/>
        <w:spacing w:before="156" w:after="156"/>
        <w:rPr>
          <w:rFonts w:ascii="楷体" w:cs="楷体"/>
        </w:rPr>
      </w:pPr>
      <w:bookmarkStart w:id="28" w:name="_Toc27787"/>
      <w:r>
        <w:rPr>
          <w:rFonts w:ascii="楷体" w:hAnsi="楷体" w:cs="楷体" w:hint="eastAsia"/>
        </w:rPr>
        <w:t>第二节</w:t>
      </w:r>
      <w:r>
        <w:rPr>
          <w:rFonts w:ascii="楷体" w:hAnsi="楷体" w:cs="楷体"/>
        </w:rPr>
        <w:t xml:space="preserve"> </w:t>
      </w:r>
      <w:r>
        <w:rPr>
          <w:rFonts w:ascii="楷体" w:hAnsi="楷体" w:cs="楷体" w:hint="eastAsia"/>
        </w:rPr>
        <w:t>全力拓展有效投资空间</w:t>
      </w:r>
      <w:bookmarkEnd w:id="28"/>
    </w:p>
    <w:p w14:paraId="25D6E1C0" w14:textId="77777777" w:rsidR="00EE55DB" w:rsidRDefault="00000000">
      <w:pPr>
        <w:ind w:firstLine="643"/>
        <w:rPr>
          <w:rFonts w:ascii="仿宋_GB2312" w:eastAsia="仿宋_GB2312" w:hAnsi="仿宋_GB2312" w:cs="仿宋_GB2312"/>
          <w:szCs w:val="32"/>
        </w:rPr>
      </w:pPr>
      <w:r>
        <w:rPr>
          <w:rFonts w:hint="eastAsia"/>
          <w:b/>
          <w:bCs/>
        </w:rPr>
        <w:t>合理引导资本流向。</w:t>
      </w:r>
      <w:r>
        <w:rPr>
          <w:rFonts w:ascii="仿宋_GB2312" w:eastAsia="仿宋_GB2312" w:hAnsi="仿宋_GB2312" w:cs="仿宋_GB2312" w:hint="eastAsia"/>
          <w:szCs w:val="32"/>
        </w:rPr>
        <w:t>依靠基础设施网络，瞄准公共服务、环境卫生、产业培育、农村建设等领域，加快引导资本流入。持续加大社会保障、公共卫生、就业创业、生态环保、防灾减灾、物资储备等民生和社会领域投入</w:t>
      </w:r>
      <w:r>
        <w:rPr>
          <w:rFonts w:ascii="仿宋_GB2312" w:eastAsia="仿宋_GB2312" w:hAnsi="仿宋_GB2312" w:cs="仿宋_GB2312"/>
          <w:szCs w:val="32"/>
        </w:rPr>
        <w:t>,</w:t>
      </w:r>
      <w:r>
        <w:rPr>
          <w:rFonts w:ascii="仿宋_GB2312" w:eastAsia="仿宋_GB2312" w:hAnsi="仿宋_GB2312" w:cs="仿宋_GB2312" w:hint="eastAsia"/>
          <w:szCs w:val="32"/>
        </w:rPr>
        <w:t>加快补齐民生服务短板。着力扩大实体经济投资，支持传统产业改造升级</w:t>
      </w:r>
      <w:r>
        <w:rPr>
          <w:rFonts w:ascii="仿宋_GB2312" w:eastAsia="仿宋_GB2312" w:hAnsi="仿宋_GB2312" w:cs="仿宋_GB2312"/>
          <w:szCs w:val="32"/>
        </w:rPr>
        <w:t>,</w:t>
      </w:r>
      <w:r>
        <w:rPr>
          <w:rFonts w:ascii="仿宋_GB2312" w:eastAsia="仿宋_GB2312" w:hAnsi="仿宋_GB2312" w:cs="仿宋_GB2312" w:hint="eastAsia"/>
          <w:szCs w:val="32"/>
        </w:rPr>
        <w:t>扩大对服务业新业态、新模式的投资，支持企业设备更新和技术改造投资，推进现代服务业快速发展。持续加大电子信息、新能源新材料、智能制造、绿色旅游、大健康等新技术新产业领域投资力度。进一步加大农业农村有效投资规模，着力补上农村基础设施短板。</w:t>
      </w:r>
    </w:p>
    <w:p w14:paraId="3F9F4955" w14:textId="77777777" w:rsidR="00EE55DB" w:rsidRDefault="00000000">
      <w:pPr>
        <w:ind w:firstLine="643"/>
        <w:rPr>
          <w:rFonts w:ascii="仿宋_GB2312" w:eastAsia="仿宋_GB2312" w:hAnsi="仿宋_GB2312" w:cs="仿宋_GB2312"/>
          <w:szCs w:val="32"/>
        </w:rPr>
      </w:pPr>
      <w:r>
        <w:rPr>
          <w:rFonts w:hint="eastAsia"/>
          <w:b/>
          <w:bCs/>
        </w:rPr>
        <w:t>建立健全投资内</w:t>
      </w:r>
      <w:proofErr w:type="gramStart"/>
      <w:r>
        <w:rPr>
          <w:rFonts w:hint="eastAsia"/>
          <w:b/>
          <w:bCs/>
        </w:rPr>
        <w:t>生增长</w:t>
      </w:r>
      <w:proofErr w:type="gramEnd"/>
      <w:r>
        <w:rPr>
          <w:rFonts w:hint="eastAsia"/>
          <w:b/>
          <w:bCs/>
        </w:rPr>
        <w:t>机制。</w:t>
      </w:r>
      <w:r>
        <w:rPr>
          <w:rFonts w:ascii="仿宋_GB2312" w:eastAsia="仿宋_GB2312" w:hAnsi="仿宋_GB2312" w:cs="仿宋_GB2312" w:hint="eastAsia"/>
          <w:szCs w:val="32"/>
        </w:rPr>
        <w:t>推动政府投资由财政拨款向财政投资转型，完善投资决策、管理与监督机制。推进国有控股平台整合，提升资本市场化运作水平，力争打造资产规模千亿的“巨无霸”平台。加快建立企业投资市场主导、融资渠道丰富畅通、政府服务灵活高效、监管适度科学的新型企业投资管理体制。创新政府投融资方式，完善政府和社会资本合作模式，引导和鼓励民间投资进入基础设施和公共服务领城，进一步激发民间投资活力，形成市场主导的投资内生型增长机制。</w:t>
      </w:r>
    </w:p>
    <w:p w14:paraId="5CCD1FC3" w14:textId="77777777" w:rsidR="00EE55DB" w:rsidRDefault="00000000">
      <w:pPr>
        <w:pStyle w:val="2"/>
        <w:spacing w:before="156" w:after="156"/>
        <w:rPr>
          <w:rFonts w:ascii="楷体" w:cs="楷体"/>
        </w:rPr>
      </w:pPr>
      <w:bookmarkStart w:id="29" w:name="_Toc9308"/>
      <w:r>
        <w:rPr>
          <w:rFonts w:ascii="楷体" w:hAnsi="楷体" w:cs="楷体" w:hint="eastAsia"/>
        </w:rPr>
        <w:lastRenderedPageBreak/>
        <w:t>第三节</w:t>
      </w:r>
      <w:r>
        <w:rPr>
          <w:rFonts w:ascii="楷体" w:hAnsi="楷体" w:cs="楷体"/>
        </w:rPr>
        <w:t xml:space="preserve"> </w:t>
      </w:r>
      <w:r>
        <w:rPr>
          <w:rFonts w:ascii="楷体" w:hAnsi="楷体" w:cs="楷体" w:hint="eastAsia"/>
        </w:rPr>
        <w:t>持续释放消费潜力</w:t>
      </w:r>
      <w:bookmarkEnd w:id="29"/>
    </w:p>
    <w:p w14:paraId="44486C88" w14:textId="77777777" w:rsidR="00EE55DB" w:rsidRDefault="00000000">
      <w:pPr>
        <w:ind w:firstLine="643"/>
        <w:rPr>
          <w:b/>
          <w:bCs/>
        </w:rPr>
      </w:pPr>
      <w:r>
        <w:rPr>
          <w:rFonts w:hint="eastAsia"/>
          <w:b/>
          <w:bCs/>
        </w:rPr>
        <w:t>提升消费供给质量。</w:t>
      </w:r>
      <w:r>
        <w:rPr>
          <w:rFonts w:ascii="仿宋_GB2312" w:eastAsia="仿宋_GB2312" w:hAnsi="仿宋_GB2312" w:cs="仿宋_GB2312" w:hint="eastAsia"/>
          <w:szCs w:val="32"/>
        </w:rPr>
        <w:t>大力实施质量提升工程，推进消费品由普通产品向优质产品领域拓展，建立覆盖产品全生命周期的质量管理体系。完善质量监督管理体系，健全产业和服务业标准体系，推进服务业标准准入制试点，以标准化引领质量提升，深入实施消费品农业增品种、提品质、创品牌战略，全面开展品牌宣传推广行动，积极利用网络平台开展永修特色农产品品牌活动，打响永修农产品品牌知名度和美誉度。</w:t>
      </w:r>
    </w:p>
    <w:p w14:paraId="29787E71" w14:textId="77777777" w:rsidR="00EE55DB" w:rsidRDefault="00000000">
      <w:pPr>
        <w:ind w:firstLine="643"/>
        <w:rPr>
          <w:rFonts w:ascii="仿宋_GB2312" w:eastAsia="仿宋_GB2312" w:hAnsi="仿宋_GB2312" w:cs="仿宋_GB2312"/>
          <w:szCs w:val="32"/>
        </w:rPr>
      </w:pPr>
      <w:r>
        <w:rPr>
          <w:rFonts w:hint="eastAsia"/>
          <w:b/>
          <w:bCs/>
        </w:rPr>
        <w:t>激发消费需求。</w:t>
      </w:r>
      <w:r>
        <w:rPr>
          <w:rFonts w:ascii="仿宋_GB2312" w:eastAsia="仿宋_GB2312" w:hAnsi="仿宋_GB2312" w:cs="仿宋_GB2312" w:hint="eastAsia"/>
          <w:szCs w:val="32"/>
        </w:rPr>
        <w:t>加快推进特色街区改造提档，实施重点商圈品质提升行动，引进一批优质特色品牌联动，扩大城市时尚消费的辐射力、影响力。鼓励商贸流通企业渠道下沉乡村，引导优质商品和服务向农村延伸，挖掘农村消费潜力，促进消费更新迭代。完善城乡商业网点布局，构建高效配送网络体系，降低流通成本。建立健全有利于促进消费的城市管理等配套政策体系，规范发展“地摊经济”。扩大城市时尚消费的辐射力和影响力，引导社会力量扩容旅游、文化、体育、健康、托育、养老、家政等服务消费领域。强化消费者权益保护，</w:t>
      </w:r>
      <w:proofErr w:type="gramStart"/>
      <w:r>
        <w:rPr>
          <w:rFonts w:ascii="仿宋_GB2312" w:eastAsia="仿宋_GB2312" w:hAnsi="仿宋_GB2312" w:cs="仿宋_GB2312" w:hint="eastAsia"/>
          <w:szCs w:val="32"/>
        </w:rPr>
        <w:t>畅通维</w:t>
      </w:r>
      <w:proofErr w:type="gramEnd"/>
      <w:r>
        <w:rPr>
          <w:rFonts w:ascii="仿宋_GB2312" w:eastAsia="仿宋_GB2312" w:hAnsi="仿宋_GB2312" w:cs="仿宋_GB2312" w:hint="eastAsia"/>
          <w:szCs w:val="32"/>
        </w:rPr>
        <w:t>权渠道，健全特定消费领域规章制度，加强消费领域信用建设，完善快捷消费纠纷调解援助机制，健全个人信息保护、消费后评价等制度。</w:t>
      </w:r>
    </w:p>
    <w:p w14:paraId="0E977126" w14:textId="77777777" w:rsidR="00EE55DB" w:rsidRDefault="00EE55DB">
      <w:pPr>
        <w:pStyle w:val="a0"/>
        <w:ind w:firstLine="640"/>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0"/>
      </w:tblGrid>
      <w:tr w:rsidR="00EE55DB" w14:paraId="3C3BDB4C" w14:textId="77777777">
        <w:trPr>
          <w:jc w:val="center"/>
        </w:trPr>
        <w:tc>
          <w:tcPr>
            <w:tcW w:w="8300" w:type="dxa"/>
          </w:tcPr>
          <w:p w14:paraId="62DC65D7" w14:textId="77777777" w:rsidR="00EE55DB" w:rsidRDefault="00000000">
            <w:pPr>
              <w:pStyle w:val="21"/>
              <w:ind w:firstLineChars="0" w:firstLine="0"/>
              <w:jc w:val="center"/>
              <w:rPr>
                <w:rFonts w:cs="黑体"/>
              </w:rPr>
            </w:pPr>
            <w:r>
              <w:rPr>
                <w:rFonts w:cs="黑体" w:hint="eastAsia"/>
                <w:b/>
                <w:bCs/>
              </w:rPr>
              <w:lastRenderedPageBreak/>
              <w:t>专栏</w:t>
            </w:r>
            <w:r>
              <w:rPr>
                <w:rFonts w:cs="黑体"/>
                <w:b/>
                <w:bCs/>
              </w:rPr>
              <w:t xml:space="preserve">10  </w:t>
            </w:r>
            <w:r>
              <w:rPr>
                <w:rFonts w:cs="黑体" w:hint="eastAsia"/>
                <w:b/>
                <w:bCs/>
              </w:rPr>
              <w:t>促进商品消费升级行动</w:t>
            </w:r>
          </w:p>
        </w:tc>
      </w:tr>
      <w:tr w:rsidR="00EE55DB" w14:paraId="5968CDFF" w14:textId="77777777">
        <w:trPr>
          <w:jc w:val="center"/>
        </w:trPr>
        <w:tc>
          <w:tcPr>
            <w:tcW w:w="8300" w:type="dxa"/>
          </w:tcPr>
          <w:p w14:paraId="5F58C58E" w14:textId="77777777" w:rsidR="00EE55DB" w:rsidRDefault="00000000">
            <w:pPr>
              <w:pStyle w:val="21"/>
              <w:ind w:firstLine="482"/>
              <w:rPr>
                <w:rFonts w:cs="黑体"/>
                <w:b/>
                <w:bCs/>
              </w:rPr>
            </w:pPr>
            <w:r>
              <w:rPr>
                <w:rFonts w:cs="黑体" w:hint="eastAsia"/>
                <w:b/>
                <w:bCs/>
              </w:rPr>
              <w:t>（一）商品质量保障行动</w:t>
            </w:r>
          </w:p>
          <w:p w14:paraId="6B9FB558" w14:textId="77777777" w:rsidR="00EE55DB" w:rsidRDefault="00000000">
            <w:pPr>
              <w:pStyle w:val="21"/>
              <w:ind w:firstLine="480"/>
              <w:rPr>
                <w:rFonts w:cs="黑体"/>
              </w:rPr>
            </w:pPr>
            <w:r>
              <w:rPr>
                <w:rFonts w:cs="黑体" w:hint="eastAsia"/>
              </w:rPr>
              <w:t>提升永修本地商品品质，增加优质农产品供给力度，不断满足永修人民对消费品质提升的需求，实现“永修生产”成为优质的代名词。</w:t>
            </w:r>
          </w:p>
          <w:p w14:paraId="68FCEC39" w14:textId="77777777" w:rsidR="00EE55DB" w:rsidRDefault="00000000">
            <w:pPr>
              <w:pStyle w:val="21"/>
              <w:ind w:firstLine="482"/>
              <w:rPr>
                <w:rFonts w:cs="黑体"/>
                <w:b/>
                <w:bCs/>
              </w:rPr>
            </w:pPr>
            <w:r>
              <w:rPr>
                <w:rFonts w:cs="黑体" w:hint="eastAsia"/>
                <w:b/>
                <w:bCs/>
              </w:rPr>
              <w:t>（二）消费市场提升行动</w:t>
            </w:r>
            <w:r>
              <w:rPr>
                <w:rFonts w:cs="黑体"/>
                <w:b/>
                <w:bCs/>
              </w:rPr>
              <w:t xml:space="preserve"> </w:t>
            </w:r>
          </w:p>
          <w:p w14:paraId="49FF3F44" w14:textId="77777777" w:rsidR="00EE55DB" w:rsidRDefault="00000000">
            <w:pPr>
              <w:pStyle w:val="21"/>
              <w:ind w:firstLine="480"/>
              <w:rPr>
                <w:rFonts w:cs="黑体"/>
              </w:rPr>
            </w:pPr>
            <w:r>
              <w:rPr>
                <w:rFonts w:cs="黑体" w:hint="eastAsia"/>
              </w:rPr>
              <w:t>建设特色商业街区，打造集旅游、休闲、消费等一体化园区，繁荣社区便民消费圈，推动市场交易升级。提高消费环境建设，进一步加大生产卫生和消费环境干净整洁，促进消费市场繁荣振兴。</w:t>
            </w:r>
          </w:p>
          <w:p w14:paraId="602AF782" w14:textId="77777777" w:rsidR="00EE55DB" w:rsidRDefault="00000000">
            <w:pPr>
              <w:pStyle w:val="21"/>
              <w:ind w:firstLine="482"/>
              <w:rPr>
                <w:rFonts w:cs="黑体"/>
                <w:b/>
                <w:bCs/>
              </w:rPr>
            </w:pPr>
            <w:r>
              <w:rPr>
                <w:rFonts w:cs="黑体" w:hint="eastAsia"/>
                <w:b/>
                <w:bCs/>
              </w:rPr>
              <w:t>（三）消费场景塑造行动</w:t>
            </w:r>
            <w:r>
              <w:rPr>
                <w:rFonts w:cs="黑体"/>
                <w:b/>
                <w:bCs/>
              </w:rPr>
              <w:t xml:space="preserve">  </w:t>
            </w:r>
          </w:p>
          <w:p w14:paraId="6B660DF7" w14:textId="77777777" w:rsidR="00EE55DB" w:rsidRDefault="00000000">
            <w:pPr>
              <w:pStyle w:val="21"/>
              <w:ind w:firstLine="480"/>
              <w:rPr>
                <w:rFonts w:cs="黑体"/>
              </w:rPr>
            </w:pPr>
            <w:r>
              <w:rPr>
                <w:rFonts w:cs="黑体" w:hint="eastAsia"/>
              </w:rPr>
              <w:t>做大做活商旅文体融合，打造风情小镇、农垦小镇、特色民俗村、生态文化园等主题活动，吸引县外人群来永修旅游，扩大本地客源，激发当地消费潜力，形成强大消费量。</w:t>
            </w:r>
          </w:p>
          <w:p w14:paraId="4532B178" w14:textId="77777777" w:rsidR="00EE55DB" w:rsidRDefault="00000000">
            <w:pPr>
              <w:pStyle w:val="21"/>
              <w:ind w:firstLine="482"/>
              <w:rPr>
                <w:rFonts w:cs="黑体"/>
              </w:rPr>
            </w:pPr>
            <w:r>
              <w:rPr>
                <w:rFonts w:cs="黑体" w:hint="eastAsia"/>
                <w:b/>
                <w:bCs/>
              </w:rPr>
              <w:t>（四）农村消费升级行动</w:t>
            </w:r>
            <w:r>
              <w:rPr>
                <w:rFonts w:cs="黑体"/>
                <w:b/>
                <w:bCs/>
              </w:rPr>
              <w:t xml:space="preserve">  </w:t>
            </w:r>
          </w:p>
          <w:p w14:paraId="44CF226F" w14:textId="77777777" w:rsidR="00EE55DB" w:rsidRDefault="00000000">
            <w:pPr>
              <w:pStyle w:val="21"/>
              <w:ind w:firstLine="480"/>
              <w:rPr>
                <w:rFonts w:cs="黑体"/>
              </w:rPr>
            </w:pPr>
            <w:r>
              <w:rPr>
                <w:rFonts w:cs="黑体" w:hint="eastAsia"/>
              </w:rPr>
              <w:t>开展汽车、家电下乡等转型行动，采取企业让利、政府补贴方式激发农村消费潜力。促进农产品消费线上线下融合发展，扩大“永修香米”“永修蜜桔”、油茶艾</w:t>
            </w:r>
            <w:proofErr w:type="gramStart"/>
            <w:r>
              <w:rPr>
                <w:rFonts w:cs="黑体" w:hint="eastAsia"/>
              </w:rPr>
              <w:t>叶等电商</w:t>
            </w:r>
            <w:proofErr w:type="gramEnd"/>
            <w:r>
              <w:rPr>
                <w:rFonts w:cs="黑体" w:hint="eastAsia"/>
              </w:rPr>
              <w:t>平台销售渠道，提升永修农产品知名度。</w:t>
            </w:r>
          </w:p>
        </w:tc>
      </w:tr>
    </w:tbl>
    <w:p w14:paraId="24B38907" w14:textId="77777777" w:rsidR="00EE55DB" w:rsidRDefault="00000000">
      <w:pPr>
        <w:pStyle w:val="2"/>
        <w:spacing w:before="156" w:after="156"/>
      </w:pPr>
      <w:bookmarkStart w:id="30" w:name="_Toc22159"/>
      <w:r>
        <w:rPr>
          <w:rFonts w:hint="eastAsia"/>
        </w:rPr>
        <w:t>第四节</w:t>
      </w:r>
      <w:r>
        <w:t xml:space="preserve"> </w:t>
      </w:r>
      <w:r>
        <w:rPr>
          <w:rFonts w:hint="eastAsia"/>
        </w:rPr>
        <w:t>全面融入国内国际双循环体系</w:t>
      </w:r>
      <w:bookmarkEnd w:id="30"/>
    </w:p>
    <w:p w14:paraId="169C9FC5"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积极探索有利于促进构建全国新发展格局的有效路径，畅通生产、分配、流通、消费各环节，促进经济良性循环。畅通产业要素循环，主动承接沿海发达地区产业转移，加快从中低端产业为主向中高端产业为主转变，提升产业创新力和竞争力；畅通市场要素循环，加快从有形市场为主向线上线下市场为主转变，促进内需和外需、进口和出口、引进外资和对外投资协调发展；畅通人才要素循环，加快从依靠中低端人才为主向中高端人才为主转变，优化人才结构；</w:t>
      </w:r>
      <w:proofErr w:type="gramStart"/>
      <w:r>
        <w:rPr>
          <w:rFonts w:ascii="仿宋_GB2312" w:eastAsia="仿宋_GB2312" w:hAnsi="仿宋_GB2312" w:cs="仿宋_GB2312" w:hint="eastAsia"/>
          <w:szCs w:val="32"/>
        </w:rPr>
        <w:t>畅通技术</w:t>
      </w:r>
      <w:proofErr w:type="gramEnd"/>
      <w:r>
        <w:rPr>
          <w:rFonts w:ascii="仿宋_GB2312" w:eastAsia="仿宋_GB2312" w:hAnsi="仿宋_GB2312" w:cs="仿宋_GB2312" w:hint="eastAsia"/>
          <w:szCs w:val="32"/>
        </w:rPr>
        <w:t>要素循环，加快从技术引进应用为主向自主研发运用为</w:t>
      </w:r>
      <w:r>
        <w:rPr>
          <w:rFonts w:ascii="仿宋_GB2312" w:eastAsia="仿宋_GB2312" w:hAnsi="仿宋_GB2312" w:cs="仿宋_GB2312" w:hint="eastAsia"/>
          <w:szCs w:val="32"/>
        </w:rPr>
        <w:lastRenderedPageBreak/>
        <w:t>主转变；畅通资本要素循环，加快从主要依靠间接融资向多元化融资方式转变。持续深化供给侧结构性改革，提高供需适配性，着力释放投资消费潜力。</w:t>
      </w:r>
    </w:p>
    <w:p w14:paraId="11AA1452" w14:textId="77777777" w:rsidR="00EE55DB" w:rsidRDefault="00000000">
      <w:pPr>
        <w:ind w:firstLine="640"/>
      </w:pPr>
      <w:r>
        <w:br w:type="page"/>
      </w:r>
    </w:p>
    <w:p w14:paraId="44DA59C4" w14:textId="77777777" w:rsidR="00EE55DB" w:rsidRDefault="00000000">
      <w:pPr>
        <w:pStyle w:val="1"/>
        <w:spacing w:before="156" w:after="156"/>
      </w:pPr>
      <w:bookmarkStart w:id="31" w:name="_Toc21232"/>
      <w:r>
        <w:rPr>
          <w:rFonts w:hint="eastAsia"/>
          <w:szCs w:val="36"/>
        </w:rPr>
        <w:lastRenderedPageBreak/>
        <w:t>第五章</w:t>
      </w:r>
      <w:r>
        <w:rPr>
          <w:szCs w:val="36"/>
        </w:rPr>
        <w:t xml:space="preserve"> </w:t>
      </w:r>
      <w:r>
        <w:rPr>
          <w:rFonts w:hint="eastAsia"/>
          <w:szCs w:val="36"/>
        </w:rPr>
        <w:t>推进改革开放</w:t>
      </w:r>
      <w:proofErr w:type="gramStart"/>
      <w:r>
        <w:rPr>
          <w:rFonts w:hint="eastAsia"/>
          <w:szCs w:val="36"/>
        </w:rPr>
        <w:t>走深走实</w:t>
      </w:r>
      <w:proofErr w:type="gramEnd"/>
      <w:r>
        <w:rPr>
          <w:rFonts w:hint="eastAsia"/>
          <w:szCs w:val="36"/>
        </w:rPr>
        <w:t>，全力打造营商环境新高地</w:t>
      </w:r>
      <w:bookmarkEnd w:id="31"/>
    </w:p>
    <w:p w14:paraId="07B29517"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坚定不移继续推进“放管服”改革，推动有效市场和有为政府更好结合，以重点领域和关键环节改革为突破口，全力打造“四最”营商环境，整体协同推进改革开放，以改革红利塑造发展优势，增加发展内生动力。</w:t>
      </w:r>
    </w:p>
    <w:p w14:paraId="690E4182" w14:textId="77777777" w:rsidR="00EE55DB" w:rsidRDefault="00000000">
      <w:pPr>
        <w:pStyle w:val="2"/>
        <w:spacing w:before="156" w:after="156"/>
        <w:rPr>
          <w:rFonts w:ascii="楷体" w:cs="楷体"/>
        </w:rPr>
      </w:pPr>
      <w:bookmarkStart w:id="32" w:name="_Toc1294"/>
      <w:r>
        <w:rPr>
          <w:rFonts w:ascii="楷体" w:hAnsi="楷体" w:cs="楷体" w:hint="eastAsia"/>
        </w:rPr>
        <w:t>第一节</w:t>
      </w:r>
      <w:r>
        <w:rPr>
          <w:rFonts w:ascii="楷体" w:hAnsi="楷体" w:cs="楷体"/>
        </w:rPr>
        <w:t xml:space="preserve"> </w:t>
      </w:r>
      <w:r>
        <w:rPr>
          <w:rFonts w:ascii="楷体" w:hAnsi="楷体" w:cs="楷体" w:hint="eastAsia"/>
        </w:rPr>
        <w:t>激发各类市场主体活力</w:t>
      </w:r>
      <w:bookmarkEnd w:id="32"/>
    </w:p>
    <w:p w14:paraId="62F4143B"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深化国资国企改革。</w:t>
      </w:r>
      <w:r>
        <w:rPr>
          <w:rFonts w:ascii="仿宋_GB2312" w:eastAsia="仿宋_GB2312" w:hAnsi="仿宋_GB2312" w:cs="仿宋_GB2312" w:hint="eastAsia"/>
          <w:szCs w:val="32"/>
        </w:rPr>
        <w:t>激发投资集团、云山企业集团、恒丰企业集团等国有企业活力，维护国有资本安全，提高国有资本运营效率。加快国有经济布局优化和结构调整，更好地发挥国有企业在畅通产业循环、市场循环、经济社会循环等方面的引领带动作用，培育一批新经济新动能领域成长型企业。健全企业国有资产监管制度，支持国企带动民营企业、中小企业协同发展，推动国有资本向重要行业和关键领域集中。加快国有企业战略重组，进一步健全完善现代企业制度。加快完善国有企业法人治理结构，分层分类推进混合所有制改革，注重党的领导和公司治理完善相统一。</w:t>
      </w:r>
    </w:p>
    <w:p w14:paraId="48B90CE0"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支持非公有制经济高质量发展。</w:t>
      </w:r>
      <w:r>
        <w:rPr>
          <w:rFonts w:ascii="仿宋_GB2312" w:eastAsia="仿宋_GB2312" w:hAnsi="仿宋_GB2312" w:cs="仿宋_GB2312" w:hint="eastAsia"/>
        </w:rPr>
        <w:t>破除制约公有制经济发展的各类障碍和隐形壁垒，在要素获取、准入许可、经营运行、政府采购和招标投标等方面对各类所有制企业依法平等对待。支持符合条件的民营企业可获得项目控制权。完善涉</w:t>
      </w:r>
      <w:r>
        <w:rPr>
          <w:rFonts w:ascii="仿宋_GB2312" w:eastAsia="仿宋_GB2312" w:hAnsi="仿宋_GB2312" w:cs="仿宋_GB2312" w:hint="eastAsia"/>
        </w:rPr>
        <w:lastRenderedPageBreak/>
        <w:t>企业政策制定和执行机制，健全执法</w:t>
      </w:r>
      <w:proofErr w:type="gramStart"/>
      <w:r>
        <w:rPr>
          <w:rFonts w:ascii="仿宋_GB2312" w:eastAsia="仿宋_GB2312" w:hAnsi="仿宋_GB2312" w:cs="仿宋_GB2312" w:hint="eastAsia"/>
        </w:rPr>
        <w:t>司法对</w:t>
      </w:r>
      <w:proofErr w:type="gramEnd"/>
      <w:r>
        <w:rPr>
          <w:rFonts w:ascii="仿宋_GB2312" w:eastAsia="仿宋_GB2312" w:hAnsi="仿宋_GB2312" w:cs="仿宋_GB2312" w:hint="eastAsia"/>
        </w:rPr>
        <w:t>民营企业的平等保护机制，优化民营企业融资增</w:t>
      </w:r>
      <w:proofErr w:type="gramStart"/>
      <w:r>
        <w:rPr>
          <w:rFonts w:ascii="仿宋_GB2312" w:eastAsia="仿宋_GB2312" w:hAnsi="仿宋_GB2312" w:cs="仿宋_GB2312" w:hint="eastAsia"/>
        </w:rPr>
        <w:t>信支持</w:t>
      </w:r>
      <w:proofErr w:type="gramEnd"/>
      <w:r>
        <w:rPr>
          <w:rFonts w:ascii="仿宋_GB2312" w:eastAsia="仿宋_GB2312" w:hAnsi="仿宋_GB2312" w:cs="仿宋_GB2312" w:hint="eastAsia"/>
        </w:rPr>
        <w:t>体系，落实好民营企业和国有企业在贷款方面的公平政策。支持优质民营企业上市和并购重组，更加精准化解民营企业流动性风险。加大中小</w:t>
      </w:r>
      <w:proofErr w:type="gramStart"/>
      <w:r>
        <w:rPr>
          <w:rFonts w:ascii="仿宋_GB2312" w:eastAsia="仿宋_GB2312" w:hAnsi="仿宋_GB2312" w:cs="仿宋_GB2312" w:hint="eastAsia"/>
        </w:rPr>
        <w:t>微企业</w:t>
      </w:r>
      <w:proofErr w:type="gramEnd"/>
      <w:r>
        <w:rPr>
          <w:rFonts w:ascii="仿宋_GB2312" w:eastAsia="仿宋_GB2312" w:hAnsi="仿宋_GB2312" w:cs="仿宋_GB2312" w:hint="eastAsia"/>
        </w:rPr>
        <w:t>和个体工商户税费、信贷等政策优惠力度。建立健全民营企业救助</w:t>
      </w:r>
      <w:proofErr w:type="gramStart"/>
      <w:r>
        <w:rPr>
          <w:rFonts w:ascii="仿宋_GB2312" w:eastAsia="仿宋_GB2312" w:hAnsi="仿宋_GB2312" w:cs="仿宋_GB2312" w:hint="eastAsia"/>
        </w:rPr>
        <w:t>纾</w:t>
      </w:r>
      <w:proofErr w:type="gramEnd"/>
      <w:r>
        <w:rPr>
          <w:rFonts w:ascii="仿宋_GB2312" w:eastAsia="仿宋_GB2312" w:hAnsi="仿宋_GB2312" w:cs="仿宋_GB2312" w:hint="eastAsia"/>
        </w:rPr>
        <w:t>困机制，帮助民营企业债务风险。</w:t>
      </w:r>
    </w:p>
    <w:p w14:paraId="7E2FC75C"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推进新型市场主体健康有序发展。</w:t>
      </w:r>
      <w:r>
        <w:rPr>
          <w:rFonts w:ascii="仿宋_GB2312" w:eastAsia="仿宋_GB2312" w:hAnsi="仿宋_GB2312" w:cs="仿宋_GB2312" w:hint="eastAsia"/>
        </w:rPr>
        <w:t>加大对电子商务等新型市场主体的政策引导、支持和保障力度。进一步简化互联网平台企业设立手续，放宽电子商务类平台住所登记条件。清理和规范制约新型市场主体健康发展的行政许可、资质资格等事项，优化完善准入条件，审批流程和服务，加快平台经济参与者合</w:t>
      </w:r>
      <w:proofErr w:type="gramStart"/>
      <w:r>
        <w:rPr>
          <w:rFonts w:ascii="仿宋_GB2312" w:eastAsia="仿宋_GB2312" w:hAnsi="仿宋_GB2312" w:cs="仿宋_GB2312" w:hint="eastAsia"/>
        </w:rPr>
        <w:t>规化</w:t>
      </w:r>
      <w:proofErr w:type="gramEnd"/>
      <w:r>
        <w:rPr>
          <w:rFonts w:ascii="仿宋_GB2312" w:eastAsia="仿宋_GB2312" w:hAnsi="仿宋_GB2312" w:cs="仿宋_GB2312" w:hint="eastAsia"/>
        </w:rPr>
        <w:t>进程。创新监管理念和方式，落实和完善包容监管要求，探索适应新业态特点、有利于公平竞争的监管办法。建立</w:t>
      </w:r>
      <w:proofErr w:type="gramStart"/>
      <w:r>
        <w:rPr>
          <w:rFonts w:ascii="仿宋_GB2312" w:eastAsia="仿宋_GB2312" w:hAnsi="仿宋_GB2312" w:cs="仿宋_GB2312" w:hint="eastAsia"/>
        </w:rPr>
        <w:t>健全跨</w:t>
      </w:r>
      <w:proofErr w:type="gramEnd"/>
      <w:r>
        <w:rPr>
          <w:rFonts w:ascii="仿宋_GB2312" w:eastAsia="仿宋_GB2312" w:hAnsi="仿宋_GB2312" w:cs="仿宋_GB2312" w:hint="eastAsia"/>
        </w:rPr>
        <w:t>部门协同监管机制，</w:t>
      </w:r>
      <w:proofErr w:type="gramStart"/>
      <w:r>
        <w:rPr>
          <w:rFonts w:ascii="仿宋_GB2312" w:eastAsia="仿宋_GB2312" w:hAnsi="仿宋_GB2312" w:cs="仿宋_GB2312" w:hint="eastAsia"/>
        </w:rPr>
        <w:t>构建多元</w:t>
      </w:r>
      <w:proofErr w:type="gramEnd"/>
      <w:r>
        <w:rPr>
          <w:rFonts w:ascii="仿宋_GB2312" w:eastAsia="仿宋_GB2312" w:hAnsi="仿宋_GB2312" w:cs="仿宋_GB2312" w:hint="eastAsia"/>
        </w:rPr>
        <w:t>共治的监管格局。</w:t>
      </w:r>
    </w:p>
    <w:p w14:paraId="0A001A66" w14:textId="77777777" w:rsidR="00EE55DB" w:rsidRDefault="00000000">
      <w:pPr>
        <w:pStyle w:val="2"/>
        <w:spacing w:before="156" w:after="156"/>
        <w:rPr>
          <w:rFonts w:ascii="楷体" w:cs="楷体"/>
        </w:rPr>
      </w:pPr>
      <w:bookmarkStart w:id="33" w:name="_Toc6242"/>
      <w:r>
        <w:rPr>
          <w:rFonts w:ascii="楷体" w:hAnsi="楷体" w:cs="楷体" w:hint="eastAsia"/>
        </w:rPr>
        <w:t>第二节</w:t>
      </w:r>
      <w:r>
        <w:rPr>
          <w:rFonts w:ascii="楷体" w:hAnsi="楷体" w:cs="楷体"/>
        </w:rPr>
        <w:t xml:space="preserve"> </w:t>
      </w:r>
      <w:r>
        <w:rPr>
          <w:rFonts w:ascii="楷体" w:hAnsi="楷体" w:cs="楷体" w:hint="eastAsia"/>
        </w:rPr>
        <w:t>推动要素市场化改革</w:t>
      </w:r>
      <w:bookmarkEnd w:id="33"/>
    </w:p>
    <w:p w14:paraId="410165D7"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依法保障市场公平竞争。</w:t>
      </w:r>
      <w:r>
        <w:rPr>
          <w:rFonts w:ascii="仿宋_GB2312" w:eastAsia="仿宋_GB2312" w:hAnsi="仿宋_GB2312" w:cs="仿宋_GB2312" w:hint="eastAsia"/>
        </w:rPr>
        <w:t>坚持以市场化改革为方向，建立完善公平开放透明的市场规则，完善主要由市场决定价格的机制，加快建立统一开放竞争有序的市场体系。</w:t>
      </w:r>
      <w:proofErr w:type="gramStart"/>
      <w:r>
        <w:rPr>
          <w:rFonts w:ascii="仿宋_GB2312" w:eastAsia="仿宋_GB2312" w:hAnsi="仿宋_GB2312" w:cs="仿宋_GB2312" w:hint="eastAsia"/>
        </w:rPr>
        <w:t>深化商</w:t>
      </w:r>
      <w:proofErr w:type="gramEnd"/>
      <w:r>
        <w:rPr>
          <w:rFonts w:ascii="仿宋_GB2312" w:eastAsia="仿宋_GB2312" w:hAnsi="仿宋_GB2312" w:cs="仿宋_GB2312" w:hint="eastAsia"/>
        </w:rPr>
        <w:t>事制度改革，实行统一的市场准入制度，探索对外商投资实行准入前国民待遇加负面清单的管理模式。实行统一的市场监管，清理和废除妨碍市场统一和公平竞争的优惠政策、补贴</w:t>
      </w:r>
      <w:r>
        <w:rPr>
          <w:rFonts w:ascii="仿宋_GB2312" w:eastAsia="仿宋_GB2312" w:hAnsi="仿宋_GB2312" w:cs="仿宋_GB2312" w:hint="eastAsia"/>
        </w:rPr>
        <w:lastRenderedPageBreak/>
        <w:t>措施和规章制度，反对垄断和不正当竞争。全面放开竞争性环节价格，完善价格信息发布制度，健全市场价格实时监测预警体系，加大反价格垄断、反价格欺诈执法力度。</w:t>
      </w:r>
    </w:p>
    <w:p w14:paraId="6DACB814"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建设高标准市场体系。</w:t>
      </w:r>
      <w:r>
        <w:rPr>
          <w:rFonts w:ascii="仿宋_GB2312" w:eastAsia="仿宋_GB2312" w:hAnsi="仿宋_GB2312" w:cs="仿宋_GB2312" w:hint="eastAsia"/>
        </w:rPr>
        <w:t>打破生产要素流动壁垒，扩大要素市场化配置范围，社会土地、劳动力、技术、数据等市场化配置改革，加快培育技术和数据要素市场，建设统一开放、竞争有序的市场体系。健全以公平为原则的产权保护制度，依法有效保护各种所有制经济组织和公民财产权。完善自然资源有偿使用、农村集体产权确权、财产征收征用等制度，建立健全产权流转交易平台体系。完善产权纠纷多元化化解机制。健全更加严格的知识产权保护制度，实施知识产权侵权惩罚性赔偿制度，加大新业态、新领域知识产权保护力度。</w:t>
      </w:r>
    </w:p>
    <w:p w14:paraId="161EC257" w14:textId="77777777" w:rsidR="00EE55DB" w:rsidRDefault="00000000">
      <w:pPr>
        <w:pStyle w:val="2"/>
        <w:spacing w:before="156" w:after="156"/>
        <w:rPr>
          <w:rFonts w:ascii="楷体" w:cs="楷体"/>
        </w:rPr>
      </w:pPr>
      <w:bookmarkStart w:id="34" w:name="_Toc17166"/>
      <w:r>
        <w:rPr>
          <w:rFonts w:ascii="楷体" w:hAnsi="楷体" w:cs="楷体" w:hint="eastAsia"/>
        </w:rPr>
        <w:t>第三节</w:t>
      </w:r>
      <w:r>
        <w:rPr>
          <w:rFonts w:ascii="楷体" w:hAnsi="楷体" w:cs="楷体"/>
        </w:rPr>
        <w:t xml:space="preserve"> </w:t>
      </w:r>
      <w:r>
        <w:rPr>
          <w:rFonts w:ascii="楷体" w:hAnsi="楷体" w:cs="楷体" w:hint="eastAsia"/>
        </w:rPr>
        <w:t>进一步优化营商环境</w:t>
      </w:r>
      <w:bookmarkEnd w:id="34"/>
    </w:p>
    <w:p w14:paraId="35124CD0"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加快政府职能转变。</w:t>
      </w:r>
      <w:r>
        <w:rPr>
          <w:rFonts w:ascii="仿宋_GB2312" w:eastAsia="仿宋_GB2312" w:hAnsi="仿宋_GB2312" w:cs="仿宋_GB2312" w:hint="eastAsia"/>
        </w:rPr>
        <w:t>深入推进“五型”政府建设，全面提高政府服务效能。优化行政管理和服务方式，全面实施政府权责清单制度，加强和改进政务公开，健全信息实施推送和对外发布制度。继续深化“放管服”改革，</w:t>
      </w:r>
      <w:proofErr w:type="gramStart"/>
      <w:r>
        <w:rPr>
          <w:rFonts w:ascii="仿宋_GB2312" w:eastAsia="仿宋_GB2312" w:hAnsi="仿宋_GB2312" w:cs="仿宋_GB2312" w:hint="eastAsia"/>
        </w:rPr>
        <w:t>精减</w:t>
      </w:r>
      <w:proofErr w:type="gramEnd"/>
      <w:r>
        <w:rPr>
          <w:rFonts w:ascii="仿宋_GB2312" w:eastAsia="仿宋_GB2312" w:hAnsi="仿宋_GB2312" w:cs="仿宋_GB2312" w:hint="eastAsia"/>
        </w:rPr>
        <w:t>准入审批手续，深化投资审批制度改革，积极融入完善全省一体化在线政务服务平台功能，</w:t>
      </w:r>
      <w:proofErr w:type="gramStart"/>
      <w:r>
        <w:rPr>
          <w:rFonts w:ascii="仿宋_GB2312" w:eastAsia="仿宋_GB2312" w:hAnsi="仿宋_GB2312" w:cs="仿宋_GB2312" w:hint="eastAsia"/>
        </w:rPr>
        <w:t>加大赣服通</w:t>
      </w:r>
      <w:proofErr w:type="gramEnd"/>
      <w:r>
        <w:rPr>
          <w:rFonts w:ascii="仿宋_GB2312" w:eastAsia="仿宋_GB2312" w:hAnsi="仿宋_GB2312" w:cs="仿宋_GB2312" w:hint="eastAsia"/>
        </w:rPr>
        <w:t>、</w:t>
      </w:r>
      <w:proofErr w:type="gramStart"/>
      <w:r>
        <w:rPr>
          <w:rFonts w:ascii="仿宋_GB2312" w:eastAsia="仿宋_GB2312" w:hAnsi="仿宋_GB2312" w:cs="仿宋_GB2312" w:hint="eastAsia"/>
        </w:rPr>
        <w:t>赣政通推广</w:t>
      </w:r>
      <w:proofErr w:type="gramEnd"/>
      <w:r>
        <w:rPr>
          <w:rFonts w:ascii="仿宋_GB2312" w:eastAsia="仿宋_GB2312" w:hAnsi="仿宋_GB2312" w:cs="仿宋_GB2312" w:hint="eastAsia"/>
        </w:rPr>
        <w:t>使用建设，</w:t>
      </w:r>
      <w:r>
        <w:rPr>
          <w:rFonts w:ascii="仿宋_GB2312" w:eastAsia="仿宋_GB2312" w:hAnsi="仿宋_GB2312" w:cs="仿宋_GB2312" w:hint="eastAsia"/>
          <w:szCs w:val="32"/>
        </w:rPr>
        <w:t>统筹建设“</w:t>
      </w:r>
      <w:r>
        <w:rPr>
          <w:rFonts w:ascii="仿宋_GB2312" w:eastAsia="仿宋_GB2312" w:hAnsi="仿宋_GB2312" w:cs="仿宋_GB2312"/>
          <w:szCs w:val="32"/>
        </w:rPr>
        <w:t>12345</w:t>
      </w:r>
      <w:r>
        <w:rPr>
          <w:rFonts w:ascii="仿宋_GB2312" w:eastAsia="仿宋_GB2312" w:hAnsi="仿宋_GB2312" w:cs="仿宋_GB2312" w:hint="eastAsia"/>
          <w:szCs w:val="32"/>
        </w:rPr>
        <w:t>”政务服务热线平台和政务服务“好差评”制度</w:t>
      </w:r>
      <w:r>
        <w:rPr>
          <w:rFonts w:ascii="仿宋_GB2312" w:eastAsia="仿宋_GB2312" w:hAnsi="仿宋_GB2312" w:cs="仿宋_GB2312" w:hint="eastAsia"/>
        </w:rPr>
        <w:t>。推进“数字政府”建设，实施全程电子化登记和电子营业执照管理，建立“一口受理、同步审批”的“一站式”</w:t>
      </w:r>
      <w:r>
        <w:rPr>
          <w:rFonts w:ascii="仿宋_GB2312" w:eastAsia="仿宋_GB2312" w:hAnsi="仿宋_GB2312" w:cs="仿宋_GB2312" w:hint="eastAsia"/>
        </w:rPr>
        <w:lastRenderedPageBreak/>
        <w:t>高效服务模式。推进产业资本运营体系改革，以更高标准满足产业项目全生命周期资本需求。支持符合条件的企业发行债券，合理整合政府性融资担保资源。</w:t>
      </w:r>
    </w:p>
    <w:p w14:paraId="1A198CCD"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构建亲清政商关系。</w:t>
      </w:r>
      <w:r>
        <w:rPr>
          <w:rFonts w:ascii="仿宋_GB2312" w:eastAsia="仿宋_GB2312" w:hAnsi="仿宋_GB2312" w:cs="仿宋_GB2312" w:hint="eastAsia"/>
        </w:rPr>
        <w:t>加快推进政府信息公开，提高政府在重大投资项目、政府采购、产业引导基金分配、财政补贴等领域的透明度。建立制度化、常态化政企沟通渠道，健全企业家参与涉</w:t>
      </w:r>
      <w:proofErr w:type="gramStart"/>
      <w:r>
        <w:rPr>
          <w:rFonts w:ascii="仿宋_GB2312" w:eastAsia="仿宋_GB2312" w:hAnsi="仿宋_GB2312" w:cs="仿宋_GB2312" w:hint="eastAsia"/>
        </w:rPr>
        <w:t>企政策</w:t>
      </w:r>
      <w:proofErr w:type="gramEnd"/>
      <w:r>
        <w:rPr>
          <w:rFonts w:ascii="仿宋_GB2312" w:eastAsia="仿宋_GB2312" w:hAnsi="仿宋_GB2312" w:cs="仿宋_GB2312" w:hint="eastAsia"/>
        </w:rPr>
        <w:t>制定机制，完善企业诉求收集、处理、反馈制度，全面提升政务服务质量。健全重大政策事前评估和事后评价制度，畅通参与政策制定渠道，建立健全责任追究制度，切实解决政府管理缺位、不作为和乱作为的问题。营造公平竞争市场监管环境，严格落实企业信息公示、经营异常名录、严重违法企业名单等制度，实现“双随机、</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公开”</w:t>
      </w:r>
      <w:proofErr w:type="gramStart"/>
      <w:r>
        <w:rPr>
          <w:rFonts w:ascii="仿宋_GB2312" w:eastAsia="仿宋_GB2312" w:hAnsi="仿宋_GB2312" w:cs="仿宋_GB2312" w:hint="eastAsia"/>
        </w:rPr>
        <w:t>监管全</w:t>
      </w:r>
      <w:proofErr w:type="gramEnd"/>
      <w:r>
        <w:rPr>
          <w:rFonts w:ascii="仿宋_GB2312" w:eastAsia="仿宋_GB2312" w:hAnsi="仿宋_GB2312" w:cs="仿宋_GB2312" w:hint="eastAsia"/>
        </w:rPr>
        <w:t>覆盖、常态化，加大网络市场监管力度，</w:t>
      </w:r>
      <w:proofErr w:type="gramStart"/>
      <w:r>
        <w:rPr>
          <w:rFonts w:ascii="仿宋_GB2312" w:eastAsia="仿宋_GB2312" w:hAnsi="仿宋_GB2312" w:cs="仿宋_GB2312" w:hint="eastAsia"/>
        </w:rPr>
        <w:t>强化线</w:t>
      </w:r>
      <w:proofErr w:type="gramEnd"/>
      <w:r>
        <w:rPr>
          <w:rFonts w:ascii="仿宋_GB2312" w:eastAsia="仿宋_GB2312" w:hAnsi="仿宋_GB2312" w:cs="仿宋_GB2312" w:hint="eastAsia"/>
        </w:rPr>
        <w:t>上线下一体化监管。</w:t>
      </w:r>
    </w:p>
    <w:p w14:paraId="613B41A7" w14:textId="77777777" w:rsidR="00EE55DB" w:rsidRDefault="00000000">
      <w:pPr>
        <w:pStyle w:val="21"/>
        <w:ind w:firstLine="640"/>
        <w:rPr>
          <w:rFonts w:ascii="仿宋_GB2312" w:eastAsia="仿宋_GB2312" w:hAnsi="仿宋_GB2312" w:cs="仿宋_GB2312"/>
          <w:sz w:val="32"/>
        </w:rPr>
      </w:pPr>
      <w:r>
        <w:rPr>
          <w:rFonts w:ascii="仿宋_GB2312" w:eastAsia="仿宋_GB2312" w:hAnsi="仿宋_GB2312" w:cs="仿宋_GB2312" w:hint="eastAsia"/>
          <w:b/>
          <w:bCs/>
          <w:sz w:val="32"/>
        </w:rPr>
        <w:t>进一步降低企业成本。</w:t>
      </w:r>
      <w:r>
        <w:rPr>
          <w:rFonts w:ascii="仿宋_GB2312" w:eastAsia="仿宋_GB2312" w:hAnsi="仿宋_GB2312" w:cs="仿宋_GB2312" w:hint="eastAsia"/>
          <w:sz w:val="32"/>
          <w:szCs w:val="32"/>
        </w:rPr>
        <w:t>对</w:t>
      </w:r>
      <w:proofErr w:type="gramStart"/>
      <w:r>
        <w:rPr>
          <w:rFonts w:ascii="仿宋_GB2312" w:eastAsia="仿宋_GB2312" w:hAnsi="仿宋_GB2312" w:cs="仿宋_GB2312" w:hint="eastAsia"/>
          <w:sz w:val="32"/>
          <w:szCs w:val="32"/>
        </w:rPr>
        <w:t>标国际</w:t>
      </w:r>
      <w:proofErr w:type="gramEnd"/>
      <w:r>
        <w:rPr>
          <w:rFonts w:ascii="仿宋_GB2312" w:eastAsia="仿宋_GB2312" w:hAnsi="仿宋_GB2312" w:cs="仿宋_GB2312" w:hint="eastAsia"/>
          <w:sz w:val="32"/>
          <w:szCs w:val="32"/>
        </w:rPr>
        <w:t>一流，打造“四最”营商环境，推动“降成本优环境”各项政策措施落到实处，千方百计降低企业用工、融资、物流等方面成本。</w:t>
      </w:r>
      <w:r>
        <w:rPr>
          <w:rFonts w:ascii="仿宋_GB2312" w:eastAsia="仿宋_GB2312" w:hAnsi="仿宋_GB2312" w:cs="仿宋_GB2312" w:hint="eastAsia"/>
          <w:sz w:val="32"/>
        </w:rPr>
        <w:t>进一步减轻企业水费负担，</w:t>
      </w:r>
      <w:proofErr w:type="gramStart"/>
      <w:r>
        <w:rPr>
          <w:rFonts w:ascii="仿宋_GB2312" w:eastAsia="仿宋_GB2312" w:hAnsi="仿宋_GB2312" w:cs="仿宋_GB2312" w:hint="eastAsia"/>
          <w:sz w:val="32"/>
        </w:rPr>
        <w:t>探索水</w:t>
      </w:r>
      <w:proofErr w:type="gramEnd"/>
      <w:r>
        <w:rPr>
          <w:rFonts w:ascii="仿宋_GB2312" w:eastAsia="仿宋_GB2312" w:hAnsi="仿宋_GB2312" w:cs="仿宋_GB2312" w:hint="eastAsia"/>
          <w:sz w:val="32"/>
        </w:rPr>
        <w:t>电气接入项目“零上门、零审批、零投资”服务，整顿规范水电气输</w:t>
      </w:r>
      <w:proofErr w:type="gramStart"/>
      <w:r>
        <w:rPr>
          <w:rFonts w:ascii="仿宋_GB2312" w:eastAsia="仿宋_GB2312" w:hAnsi="仿宋_GB2312" w:cs="仿宋_GB2312" w:hint="eastAsia"/>
          <w:sz w:val="32"/>
        </w:rPr>
        <w:t>配企业</w:t>
      </w:r>
      <w:proofErr w:type="gramEnd"/>
      <w:r>
        <w:rPr>
          <w:rFonts w:ascii="仿宋_GB2312" w:eastAsia="仿宋_GB2312" w:hAnsi="仿宋_GB2312" w:cs="仿宋_GB2312" w:hint="eastAsia"/>
          <w:sz w:val="32"/>
        </w:rPr>
        <w:t>收费行为，严格落实国家、省市减税降费政策。加大金融对实体经济支持力度，扩大企业债券发行规模，规范金融机构融资服务收费制度，加快政府性融资担保体系建设。构建公共服务政绩评估机制，</w:t>
      </w:r>
      <w:r>
        <w:rPr>
          <w:rFonts w:ascii="仿宋_GB2312" w:eastAsia="仿宋_GB2312" w:hAnsi="仿宋_GB2312" w:cs="仿宋_GB2312" w:hint="eastAsia"/>
          <w:sz w:val="32"/>
        </w:rPr>
        <w:lastRenderedPageBreak/>
        <w:t>引入多元化的评估主体进行定期评估，深化行业协会、商会和中介机构改革。</w:t>
      </w:r>
    </w:p>
    <w:p w14:paraId="395291D0" w14:textId="77777777" w:rsidR="00EE55DB" w:rsidRDefault="00000000">
      <w:pPr>
        <w:pStyle w:val="2"/>
        <w:spacing w:before="156" w:after="156"/>
        <w:rPr>
          <w:rFonts w:ascii="楷体" w:cs="楷体"/>
        </w:rPr>
      </w:pPr>
      <w:bookmarkStart w:id="35" w:name="_Toc12285"/>
      <w:r>
        <w:rPr>
          <w:rFonts w:ascii="楷体" w:hAnsi="楷体" w:cs="楷体" w:hint="eastAsia"/>
        </w:rPr>
        <w:t>第四节</w:t>
      </w:r>
      <w:r>
        <w:rPr>
          <w:rFonts w:ascii="楷体" w:hAnsi="楷体" w:cs="楷体"/>
        </w:rPr>
        <w:t xml:space="preserve"> </w:t>
      </w:r>
      <w:r>
        <w:rPr>
          <w:rFonts w:ascii="楷体" w:hAnsi="楷体" w:cs="楷体" w:hint="eastAsia"/>
        </w:rPr>
        <w:t>坚持“引进来”和“走出去”</w:t>
      </w:r>
      <w:bookmarkEnd w:id="35"/>
    </w:p>
    <w:p w14:paraId="2FB0B2DA" w14:textId="77777777" w:rsidR="00EE55DB" w:rsidRDefault="00000000">
      <w:pPr>
        <w:ind w:firstLine="643"/>
        <w:rPr>
          <w:rFonts w:ascii="仿宋_GB2312" w:eastAsia="仿宋_GB2312" w:hAnsi="仿宋_GB2312" w:cs="仿宋_GB2312"/>
          <w:szCs w:val="32"/>
        </w:rPr>
      </w:pPr>
      <w:r>
        <w:rPr>
          <w:rFonts w:hint="eastAsia"/>
          <w:b/>
          <w:bCs/>
        </w:rPr>
        <w:t>提高招商引资水平。</w:t>
      </w:r>
      <w:r>
        <w:rPr>
          <w:rFonts w:ascii="仿宋_GB2312" w:eastAsia="仿宋_GB2312" w:hAnsi="仿宋_GB2312" w:cs="仿宋_GB2312" w:hint="eastAsia"/>
          <w:szCs w:val="32"/>
        </w:rPr>
        <w:t>以有机硅新材料为首位产业，电子信息和装备制造、绿色建材为主导产业，数字经济、新服务经济、现代农业、文化旅游服务为新兴产业的主攻方向，锁定三个方面的清单开展招商，引进上下游关联配套项目，瞄准产业“链条”缺口和技术缺口，利用好中博会、</w:t>
      </w:r>
      <w:proofErr w:type="gramStart"/>
      <w:r>
        <w:rPr>
          <w:rFonts w:ascii="仿宋_GB2312" w:eastAsia="仿宋_GB2312" w:hAnsi="仿宋_GB2312" w:cs="仿宋_GB2312" w:hint="eastAsia"/>
          <w:szCs w:val="32"/>
        </w:rPr>
        <w:t>赣商大会</w:t>
      </w:r>
      <w:proofErr w:type="gramEnd"/>
      <w:r>
        <w:rPr>
          <w:rFonts w:ascii="仿宋_GB2312" w:eastAsia="仿宋_GB2312" w:hAnsi="仿宋_GB2312" w:cs="仿宋_GB2312" w:hint="eastAsia"/>
          <w:szCs w:val="32"/>
        </w:rPr>
        <w:t>、</w:t>
      </w:r>
      <w:r>
        <w:rPr>
          <w:rFonts w:ascii="仿宋_GB2312" w:eastAsia="仿宋_GB2312" w:hAnsi="仿宋_GB2312" w:cs="仿宋_GB2312"/>
          <w:szCs w:val="32"/>
        </w:rPr>
        <w:t xml:space="preserve"> </w:t>
      </w:r>
      <w:r>
        <w:rPr>
          <w:rFonts w:ascii="仿宋_GB2312" w:eastAsia="仿宋_GB2312" w:hAnsi="仿宋_GB2312" w:cs="仿宋_GB2312" w:hint="eastAsia"/>
          <w:szCs w:val="32"/>
        </w:rPr>
        <w:t>“三请三回”对接会、长江经济带投资洽谈会、</w:t>
      </w:r>
      <w:proofErr w:type="gramStart"/>
      <w:r>
        <w:rPr>
          <w:rFonts w:ascii="仿宋_GB2312" w:eastAsia="仿宋_GB2312" w:hAnsi="仿宋_GB2312" w:cs="仿宋_GB2312" w:hint="eastAsia"/>
          <w:szCs w:val="32"/>
        </w:rPr>
        <w:t>赣港赣深会</w:t>
      </w:r>
      <w:proofErr w:type="gramEnd"/>
      <w:r>
        <w:rPr>
          <w:rFonts w:ascii="仿宋_GB2312" w:eastAsia="仿宋_GB2312" w:hAnsi="仿宋_GB2312" w:cs="仿宋_GB2312" w:hint="eastAsia"/>
          <w:szCs w:val="32"/>
        </w:rPr>
        <w:t>等各类招商平台活动，锁定央企、国企、</w:t>
      </w:r>
      <w:r>
        <w:rPr>
          <w:rFonts w:ascii="仿宋_GB2312" w:eastAsia="仿宋_GB2312" w:hAnsi="仿宋_GB2312" w:cs="仿宋_GB2312"/>
          <w:szCs w:val="32"/>
        </w:rPr>
        <w:t>500</w:t>
      </w:r>
      <w:r>
        <w:rPr>
          <w:rFonts w:ascii="仿宋_GB2312" w:eastAsia="仿宋_GB2312" w:hAnsi="仿宋_GB2312" w:cs="仿宋_GB2312" w:hint="eastAsia"/>
          <w:szCs w:val="32"/>
        </w:rPr>
        <w:t>强企业、行业龙头企业、上市公司等，通过招商靶向对接，力争引进更多重大项目。</w:t>
      </w:r>
    </w:p>
    <w:p w14:paraId="28CA2A51" w14:textId="77777777" w:rsidR="00EE55DB" w:rsidRDefault="00000000">
      <w:pPr>
        <w:ind w:firstLine="643"/>
        <w:rPr>
          <w:rFonts w:ascii="仿宋_GB2312" w:eastAsia="仿宋_GB2312" w:hAnsi="仿宋_GB2312" w:cs="仿宋_GB2312"/>
          <w:szCs w:val="32"/>
        </w:rPr>
      </w:pPr>
      <w:r>
        <w:rPr>
          <w:rFonts w:hint="eastAsia"/>
          <w:b/>
          <w:bCs/>
        </w:rPr>
        <w:t>进一步扩大对外开放。</w:t>
      </w:r>
      <w:r>
        <w:rPr>
          <w:rFonts w:ascii="仿宋_GB2312" w:eastAsia="仿宋_GB2312" w:hAnsi="仿宋_GB2312" w:cs="仿宋_GB2312" w:hint="eastAsia"/>
          <w:szCs w:val="32"/>
        </w:rPr>
        <w:t>充分利用国内外大型经贸合作活动平台，推动有机</w:t>
      </w:r>
      <w:proofErr w:type="gramStart"/>
      <w:r>
        <w:rPr>
          <w:rFonts w:ascii="仿宋_GB2312" w:eastAsia="仿宋_GB2312" w:hAnsi="仿宋_GB2312" w:cs="仿宋_GB2312" w:hint="eastAsia"/>
          <w:szCs w:val="32"/>
        </w:rPr>
        <w:t>硅产业</w:t>
      </w:r>
      <w:proofErr w:type="gramEnd"/>
      <w:r>
        <w:rPr>
          <w:rFonts w:ascii="仿宋_GB2312" w:eastAsia="仿宋_GB2312" w:hAnsi="仿宋_GB2312" w:cs="仿宋_GB2312" w:hint="eastAsia"/>
          <w:szCs w:val="32"/>
        </w:rPr>
        <w:t>走向国际，支持实体企业参与国际产能合作，支持建设国际合作产业园和海外仓，力争利用外资领域有新突破。积极培育跨境电商、供应链出口、外贸综合服务企业等新型贸易业态，创新对外投资合作模式，组织引导龙头企业积极开拓“一带一路”沿线地区的市场，支持企业在沿线地区建设国际营销网络和售后服务体系，提升外贸出口规模和水平。</w:t>
      </w:r>
    </w:p>
    <w:p w14:paraId="6EC62616" w14:textId="77777777" w:rsidR="00EE55DB" w:rsidRDefault="00EE55DB">
      <w:pPr>
        <w:pStyle w:val="21"/>
        <w:ind w:firstLine="640"/>
        <w:rPr>
          <w:rFonts w:ascii="Calibri" w:eastAsia="仿宋" w:hAnsi="Calibri"/>
          <w:sz w:val="32"/>
        </w:rPr>
      </w:pPr>
    </w:p>
    <w:p w14:paraId="42B010D4" w14:textId="77777777" w:rsidR="00EE55DB" w:rsidRDefault="00000000">
      <w:pPr>
        <w:ind w:firstLineChars="0" w:firstLine="0"/>
      </w:pPr>
      <w:r>
        <w:br w:type="page"/>
      </w:r>
    </w:p>
    <w:p w14:paraId="77827226" w14:textId="77777777" w:rsidR="00EE55DB" w:rsidRDefault="00000000">
      <w:pPr>
        <w:pStyle w:val="1"/>
        <w:spacing w:before="156" w:after="156"/>
        <w:rPr>
          <w:szCs w:val="36"/>
        </w:rPr>
      </w:pPr>
      <w:bookmarkStart w:id="36" w:name="_Toc4489"/>
      <w:r>
        <w:rPr>
          <w:rFonts w:hint="eastAsia"/>
          <w:szCs w:val="36"/>
        </w:rPr>
        <w:lastRenderedPageBreak/>
        <w:t>第六章</w:t>
      </w:r>
      <w:r>
        <w:rPr>
          <w:szCs w:val="36"/>
        </w:rPr>
        <w:t xml:space="preserve"> </w:t>
      </w:r>
      <w:r>
        <w:rPr>
          <w:rFonts w:hint="eastAsia"/>
          <w:szCs w:val="36"/>
        </w:rPr>
        <w:t>深入实施城乡一体化，探索城乡融合发展新路径</w:t>
      </w:r>
      <w:bookmarkEnd w:id="36"/>
    </w:p>
    <w:p w14:paraId="6262138A"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以打造大南昌都市</w:t>
      </w:r>
      <w:proofErr w:type="gramStart"/>
      <w:r>
        <w:rPr>
          <w:rFonts w:ascii="仿宋_GB2312" w:eastAsia="仿宋_GB2312" w:hAnsi="仿宋_GB2312" w:cs="仿宋_GB2312" w:hint="eastAsia"/>
          <w:szCs w:val="32"/>
        </w:rPr>
        <w:t>圈重要</w:t>
      </w:r>
      <w:proofErr w:type="gramEnd"/>
      <w:r>
        <w:rPr>
          <w:rFonts w:ascii="仿宋_GB2312" w:eastAsia="仿宋_GB2312" w:hAnsi="仿宋_GB2312" w:cs="仿宋_GB2312" w:hint="eastAsia"/>
          <w:szCs w:val="32"/>
        </w:rPr>
        <w:t>节点城市为目标，提升城市功能和品质为抓手，统筹城乡空间资源配置利用，双轮驱动新型城镇化与乡村振兴，全面构建城乡融合发展新格局。</w:t>
      </w:r>
    </w:p>
    <w:p w14:paraId="67947929" w14:textId="77777777" w:rsidR="00EE55DB" w:rsidRDefault="00000000">
      <w:pPr>
        <w:pStyle w:val="2"/>
        <w:spacing w:before="156" w:after="156"/>
        <w:rPr>
          <w:rFonts w:ascii="楷体" w:cs="楷体"/>
        </w:rPr>
      </w:pPr>
      <w:bookmarkStart w:id="37" w:name="_Toc26183"/>
      <w:r>
        <w:rPr>
          <w:rFonts w:ascii="楷体" w:hAnsi="楷体" w:cs="楷体" w:hint="eastAsia"/>
        </w:rPr>
        <w:t>第一节</w:t>
      </w:r>
      <w:r>
        <w:rPr>
          <w:rFonts w:ascii="楷体" w:hAnsi="楷体" w:cs="楷体"/>
        </w:rPr>
        <w:t xml:space="preserve"> </w:t>
      </w:r>
      <w:r>
        <w:rPr>
          <w:rFonts w:ascii="楷体" w:hAnsi="楷体" w:cs="楷体" w:hint="eastAsia"/>
        </w:rPr>
        <w:t>推进新型城镇化建设</w:t>
      </w:r>
      <w:bookmarkEnd w:id="37"/>
    </w:p>
    <w:p w14:paraId="45F9068A"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优化完善城镇</w:t>
      </w:r>
      <w:proofErr w:type="gramStart"/>
      <w:r>
        <w:rPr>
          <w:rFonts w:ascii="仿宋_GB2312" w:eastAsia="仿宋_GB2312" w:hAnsi="仿宋_GB2312" w:cs="仿宋_GB2312" w:hint="eastAsia"/>
          <w:b/>
          <w:bCs/>
          <w:szCs w:val="32"/>
        </w:rPr>
        <w:t>化空间</w:t>
      </w:r>
      <w:proofErr w:type="gramEnd"/>
      <w:r>
        <w:rPr>
          <w:rFonts w:ascii="仿宋_GB2312" w:eastAsia="仿宋_GB2312" w:hAnsi="仿宋_GB2312" w:cs="仿宋_GB2312" w:hint="eastAsia"/>
          <w:b/>
          <w:bCs/>
          <w:szCs w:val="32"/>
        </w:rPr>
        <w:t>布局。</w:t>
      </w:r>
      <w:r>
        <w:rPr>
          <w:rFonts w:ascii="仿宋_GB2312" w:eastAsia="仿宋_GB2312" w:hAnsi="仿宋_GB2312" w:cs="仿宋_GB2312" w:hint="eastAsia"/>
          <w:szCs w:val="32"/>
        </w:rPr>
        <w:t>统筹划定“三区三线”，实现全域国土空间一张图管理。加强城市空间开发利用管制，统筹融合生态、农业、城镇三大空间。推进以县城为重要载体的城镇化建设，紧抓赣江新区“大国工匠”项目建设机遇，加快机电、水利、样式雷等职教园区建设，聚集永修人气。积极支持小城镇发展，培育一批精品特色小镇。</w:t>
      </w:r>
    </w:p>
    <w:p w14:paraId="7D7CC481" w14:textId="77777777" w:rsidR="00EE55DB" w:rsidRDefault="00000000">
      <w:pPr>
        <w:ind w:firstLine="643"/>
        <w:rPr>
          <w:rFonts w:ascii="仿宋_GB2312" w:eastAsia="仿宋_GB2312" w:hAnsi="仿宋_GB2312" w:cs="仿宋_GB2312"/>
          <w:szCs w:val="32"/>
        </w:rPr>
      </w:pPr>
      <w:r>
        <w:rPr>
          <w:rFonts w:hint="eastAsia"/>
          <w:b/>
          <w:bCs/>
        </w:rPr>
        <w:t>加快建设高品质城区。</w:t>
      </w:r>
      <w:r>
        <w:rPr>
          <w:rFonts w:ascii="仿宋_GB2312" w:eastAsia="仿宋_GB2312" w:hAnsi="仿宋_GB2312" w:cs="仿宋_GB2312" w:hint="eastAsia"/>
          <w:szCs w:val="32"/>
        </w:rPr>
        <w:t>全面开展城市体检，加快新城区建设和老旧小区改造，全面打通湖东与城南、城区与园区、新城与老城之间的交通要道。围绕提升城市综合承载能力，合理布局建设停车场、防洪排涝、公交场站等基础设施和养老托育、文化体育、便民市场等公共服务设施。推进各类专业市场建设，推进跨行规市。全面启动</w:t>
      </w:r>
      <w:proofErr w:type="gramStart"/>
      <w:r>
        <w:rPr>
          <w:rFonts w:ascii="仿宋_GB2312" w:eastAsia="仿宋_GB2312" w:hAnsi="仿宋_GB2312" w:cs="仿宋_GB2312" w:hint="eastAsia"/>
          <w:szCs w:val="32"/>
        </w:rPr>
        <w:t>职教园</w:t>
      </w:r>
      <w:proofErr w:type="gramEnd"/>
      <w:r>
        <w:rPr>
          <w:rFonts w:ascii="仿宋_GB2312" w:eastAsia="仿宋_GB2312" w:hAnsi="仿宋_GB2312" w:cs="仿宋_GB2312" w:hint="eastAsia"/>
          <w:szCs w:val="32"/>
        </w:rPr>
        <w:t>起步区和配套设施建设，加速</w:t>
      </w:r>
      <w:proofErr w:type="gramStart"/>
      <w:r>
        <w:rPr>
          <w:rFonts w:ascii="仿宋_GB2312" w:eastAsia="仿宋_GB2312" w:hAnsi="仿宋_GB2312" w:cs="仿宋_GB2312" w:hint="eastAsia"/>
          <w:szCs w:val="32"/>
        </w:rPr>
        <w:t>产城融合</w:t>
      </w:r>
      <w:proofErr w:type="gramEnd"/>
      <w:r>
        <w:rPr>
          <w:rFonts w:ascii="仿宋_GB2312" w:eastAsia="仿宋_GB2312" w:hAnsi="仿宋_GB2312" w:cs="仿宋_GB2312" w:hint="eastAsia"/>
          <w:szCs w:val="32"/>
        </w:rPr>
        <w:t>推进步伐。实施城市功能品质提升，加快构建城市绿道体系建设，科学布局供水、供电、排污、电动汽车充电、智能快件箱等配套设施，推广节能节水产品、</w:t>
      </w:r>
      <w:r>
        <w:rPr>
          <w:rFonts w:ascii="仿宋_GB2312" w:eastAsia="仿宋_GB2312" w:hAnsi="仿宋_GB2312" w:cs="仿宋_GB2312" w:hint="eastAsia"/>
          <w:szCs w:val="32"/>
        </w:rPr>
        <w:lastRenderedPageBreak/>
        <w:t>节能环保汽车和节能省地型建筑。全面推行密度较高、功能混用和公交导向的紧凑绿色型城镇开发模式。启动湖东农贸市场、</w:t>
      </w:r>
      <w:proofErr w:type="gramStart"/>
      <w:r>
        <w:rPr>
          <w:rFonts w:ascii="仿宋_GB2312" w:eastAsia="仿宋_GB2312" w:hAnsi="仿宋_GB2312" w:cs="仿宋_GB2312" w:hint="eastAsia"/>
          <w:szCs w:val="32"/>
        </w:rPr>
        <w:t>县职工</w:t>
      </w:r>
      <w:proofErr w:type="gramEnd"/>
      <w:r>
        <w:rPr>
          <w:rFonts w:ascii="仿宋_GB2312" w:eastAsia="仿宋_GB2312" w:hAnsi="仿宋_GB2312" w:cs="仿宋_GB2312" w:hint="eastAsia"/>
          <w:szCs w:val="32"/>
        </w:rPr>
        <w:t>服务中心等项目建设，完成白莲湖提升改造、文体艺术中心</w:t>
      </w:r>
      <w:proofErr w:type="gramStart"/>
      <w:r>
        <w:rPr>
          <w:rFonts w:ascii="仿宋_GB2312" w:eastAsia="仿宋_GB2312" w:hAnsi="仿宋_GB2312" w:cs="仿宋_GB2312" w:hint="eastAsia"/>
          <w:szCs w:val="32"/>
        </w:rPr>
        <w:t>展馆布馆</w:t>
      </w:r>
      <w:proofErr w:type="gramEnd"/>
      <w:r>
        <w:rPr>
          <w:rFonts w:ascii="仿宋_GB2312" w:eastAsia="仿宋_GB2312" w:hAnsi="仿宋_GB2312" w:cs="仿宋_GB2312" w:hint="eastAsia"/>
          <w:szCs w:val="32"/>
        </w:rPr>
        <w:t>开馆使用等工作。</w:t>
      </w:r>
    </w:p>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5"/>
      </w:tblGrid>
      <w:tr w:rsidR="00EE55DB" w14:paraId="223B812B" w14:textId="77777777">
        <w:trPr>
          <w:jc w:val="center"/>
        </w:trPr>
        <w:tc>
          <w:tcPr>
            <w:tcW w:w="8305" w:type="dxa"/>
          </w:tcPr>
          <w:p w14:paraId="368B8A0A"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11  </w:t>
            </w:r>
            <w:r>
              <w:rPr>
                <w:rFonts w:cs="黑体" w:hint="eastAsia"/>
                <w:b/>
                <w:bCs/>
              </w:rPr>
              <w:t>高品质城区建设重大行动</w:t>
            </w:r>
          </w:p>
        </w:tc>
      </w:tr>
      <w:tr w:rsidR="00EE55DB" w14:paraId="6D95E547" w14:textId="77777777">
        <w:trPr>
          <w:trHeight w:val="90"/>
          <w:jc w:val="center"/>
        </w:trPr>
        <w:tc>
          <w:tcPr>
            <w:tcW w:w="8305" w:type="dxa"/>
          </w:tcPr>
          <w:p w14:paraId="5FD718CC" w14:textId="77777777" w:rsidR="00EE55DB" w:rsidRDefault="00000000">
            <w:pPr>
              <w:pStyle w:val="21"/>
              <w:ind w:firstLine="482"/>
              <w:rPr>
                <w:rFonts w:cs="黑体"/>
                <w:b/>
                <w:bCs/>
              </w:rPr>
            </w:pPr>
            <w:r>
              <w:rPr>
                <w:rFonts w:cs="黑体" w:hint="eastAsia"/>
                <w:b/>
                <w:bCs/>
              </w:rPr>
              <w:t>（一）推进老旧小区、城中村、城乡结合部的环境改造行动</w:t>
            </w:r>
          </w:p>
          <w:p w14:paraId="59DF4391" w14:textId="77777777" w:rsidR="00EE55DB" w:rsidRDefault="00000000">
            <w:pPr>
              <w:pStyle w:val="21"/>
              <w:ind w:firstLine="480"/>
              <w:rPr>
                <w:rFonts w:cs="黑体"/>
              </w:rPr>
            </w:pPr>
            <w:r>
              <w:rPr>
                <w:rFonts w:cs="黑体" w:hint="eastAsia"/>
              </w:rPr>
              <w:t>推进老旧小区改造，启动贮木场、河街、永丰等安置房新建工程，完成龙山小区（三期）、老农机厂安置房建设；实施</w:t>
            </w:r>
            <w:proofErr w:type="gramStart"/>
            <w:r>
              <w:rPr>
                <w:rFonts w:cs="黑体" w:hint="eastAsia"/>
              </w:rPr>
              <w:t>东永商住</w:t>
            </w:r>
            <w:proofErr w:type="gramEnd"/>
            <w:r>
              <w:rPr>
                <w:rFonts w:cs="黑体" w:hint="eastAsia"/>
              </w:rPr>
              <w:t>小区、铁路职工宿舍等老旧小区改造，新建一批城镇公租房。</w:t>
            </w:r>
          </w:p>
          <w:p w14:paraId="652FFC5F" w14:textId="77777777" w:rsidR="00EE55DB" w:rsidRDefault="00000000">
            <w:pPr>
              <w:pStyle w:val="21"/>
              <w:ind w:firstLine="482"/>
              <w:rPr>
                <w:rFonts w:cs="黑体"/>
                <w:b/>
                <w:bCs/>
              </w:rPr>
            </w:pPr>
            <w:r>
              <w:rPr>
                <w:rFonts w:cs="黑体" w:hint="eastAsia"/>
                <w:b/>
                <w:bCs/>
              </w:rPr>
              <w:t>（二）强化环境卫生整治行动</w:t>
            </w:r>
          </w:p>
          <w:p w14:paraId="7CF1BB86" w14:textId="77777777" w:rsidR="00EE55DB" w:rsidRDefault="00000000">
            <w:pPr>
              <w:pStyle w:val="21"/>
              <w:ind w:firstLine="480"/>
              <w:rPr>
                <w:rFonts w:cs="黑体"/>
              </w:rPr>
            </w:pPr>
            <w:r>
              <w:rPr>
                <w:rFonts w:cs="黑体" w:hint="eastAsia"/>
              </w:rPr>
              <w:t>整治道路路面卫生。大力推进主次干道清扫保洁的市场化、机械化、专业化，引进节水节能道路清扫设备，提交机扫率，小街小巷推广小型清扫机械，提高道路保洁水平。</w:t>
            </w:r>
          </w:p>
          <w:p w14:paraId="60B3FCE9" w14:textId="77777777" w:rsidR="00EE55DB" w:rsidRDefault="00000000">
            <w:pPr>
              <w:pStyle w:val="21"/>
              <w:ind w:firstLine="480"/>
              <w:rPr>
                <w:rFonts w:cs="黑体"/>
              </w:rPr>
            </w:pPr>
            <w:r>
              <w:rPr>
                <w:rFonts w:cs="黑体" w:hint="eastAsia"/>
              </w:rPr>
              <w:t>整治重点区域卫生。继续以“三线六边”（公路沿线、铁路沿线、江河沿线，城市周边、城中村周边、学校周边、园区周边、景区周边、矿区周边）区域为重点，对积存的各类垃圾进行清理，禁止乱堆乱放、乱倒垃圾，拆除露天暴露垃圾池。</w:t>
            </w:r>
          </w:p>
          <w:p w14:paraId="73FA72F3" w14:textId="77777777" w:rsidR="00EE55DB" w:rsidRDefault="00000000">
            <w:pPr>
              <w:pStyle w:val="21"/>
              <w:ind w:firstLine="480"/>
              <w:rPr>
                <w:rFonts w:cs="黑体"/>
              </w:rPr>
            </w:pPr>
            <w:r>
              <w:rPr>
                <w:rFonts w:cs="黑体" w:hint="eastAsia"/>
              </w:rPr>
              <w:t>整治小区卫生。实行小区垃圾日产日清，确保无积存生活垃圾和建筑垃圾，严禁乱倒乱扔垃圾等行为，自觉维护小区卫生。</w:t>
            </w:r>
          </w:p>
          <w:p w14:paraId="6A18BB3A" w14:textId="77777777" w:rsidR="00EE55DB" w:rsidRDefault="00000000">
            <w:pPr>
              <w:pStyle w:val="21"/>
              <w:ind w:firstLine="480"/>
              <w:rPr>
                <w:rFonts w:cs="黑体"/>
              </w:rPr>
            </w:pPr>
            <w:r>
              <w:rPr>
                <w:rFonts w:cs="黑体" w:hint="eastAsia"/>
              </w:rPr>
              <w:t>整治沿街店面卫生。全面落实“门前三包、门内达标”，做到随脏随扫，全天保洁，依法对沿街商铺乱扔乱倒垃圾现象加大处罚。</w:t>
            </w:r>
          </w:p>
          <w:p w14:paraId="51D39016" w14:textId="77777777" w:rsidR="00EE55DB" w:rsidRDefault="00000000">
            <w:pPr>
              <w:pStyle w:val="21"/>
              <w:ind w:firstLine="480"/>
              <w:rPr>
                <w:rFonts w:cs="黑体"/>
              </w:rPr>
            </w:pPr>
            <w:r>
              <w:rPr>
                <w:rFonts w:cs="黑体" w:hint="eastAsia"/>
              </w:rPr>
              <w:t>整治生活垃圾分类。加强对“牛皮癣”、污水、垃圾的整治，推进城乡生活垃圾分类，全面整治露天垃圾坑。</w:t>
            </w:r>
          </w:p>
          <w:p w14:paraId="3C4B8B09" w14:textId="77777777" w:rsidR="00EE55DB" w:rsidRDefault="00000000">
            <w:pPr>
              <w:pStyle w:val="21"/>
              <w:ind w:firstLine="480"/>
              <w:rPr>
                <w:rFonts w:cs="黑体"/>
              </w:rPr>
            </w:pPr>
            <w:r>
              <w:rPr>
                <w:rFonts w:cs="黑体" w:hint="eastAsia"/>
              </w:rPr>
              <w:t>强化裸露土地治理。对城乡裸露土地进行绿化美化，做到“黄土不露天”。推进城市批而未建围挡地块专项整治，拆除围墙，一年内暂不开发的鼓励开辟为临时停车、健身场地和绿化，两年内暂不开发的鼓励修复绿地。因采石等原因造成山体受损的，消除安全隐患，恢复山体自然形态，恢复乡土植被群落，减少水土流失。</w:t>
            </w:r>
          </w:p>
          <w:p w14:paraId="3921B974" w14:textId="77777777" w:rsidR="00EE55DB" w:rsidRDefault="00000000">
            <w:pPr>
              <w:pStyle w:val="21"/>
              <w:ind w:firstLine="480"/>
              <w:rPr>
                <w:rFonts w:cs="黑体"/>
              </w:rPr>
            </w:pPr>
            <w:r>
              <w:rPr>
                <w:rFonts w:cs="黑体" w:hint="eastAsia"/>
              </w:rPr>
              <w:lastRenderedPageBreak/>
              <w:t>加强城镇污水处理。推动雨污分流改造，畅通排污管道，</w:t>
            </w:r>
            <w:r>
              <w:rPr>
                <w:rFonts w:cs="黑体"/>
              </w:rPr>
              <w:t>2021</w:t>
            </w:r>
            <w:r>
              <w:rPr>
                <w:rFonts w:cs="黑体" w:hint="eastAsia"/>
              </w:rPr>
              <w:t>年底，中心城区建成污泥处理设施，力争到</w:t>
            </w:r>
            <w:r>
              <w:rPr>
                <w:rFonts w:cs="黑体"/>
              </w:rPr>
              <w:t>2025</w:t>
            </w:r>
            <w:r>
              <w:rPr>
                <w:rFonts w:cs="黑体" w:hint="eastAsia"/>
              </w:rPr>
              <w:t>年，底县城污水处理率达到</w:t>
            </w:r>
            <w:r>
              <w:rPr>
                <w:rFonts w:cs="黑体"/>
              </w:rPr>
              <w:t>95%</w:t>
            </w:r>
            <w:r>
              <w:rPr>
                <w:rFonts w:cs="黑体" w:hint="eastAsia"/>
              </w:rPr>
              <w:t>以上，乡镇污水处理厂全部达标运行。</w:t>
            </w:r>
          </w:p>
          <w:p w14:paraId="5DD4612B" w14:textId="77777777" w:rsidR="00EE55DB" w:rsidRDefault="00000000">
            <w:pPr>
              <w:pStyle w:val="21"/>
              <w:ind w:firstLine="482"/>
              <w:rPr>
                <w:rFonts w:cs="黑体"/>
                <w:b/>
                <w:bCs/>
              </w:rPr>
            </w:pPr>
            <w:r>
              <w:rPr>
                <w:rFonts w:cs="黑体" w:hint="eastAsia"/>
                <w:b/>
                <w:bCs/>
              </w:rPr>
              <w:t>（三）深入开展“序化”行动</w:t>
            </w:r>
          </w:p>
          <w:p w14:paraId="37A09A25" w14:textId="77777777" w:rsidR="00EE55DB" w:rsidRDefault="00000000">
            <w:pPr>
              <w:pStyle w:val="21"/>
              <w:ind w:firstLine="480"/>
              <w:rPr>
                <w:rFonts w:cs="黑体"/>
              </w:rPr>
            </w:pPr>
            <w:r>
              <w:rPr>
                <w:rFonts w:cs="黑体" w:hint="eastAsia"/>
              </w:rPr>
              <w:t>农贸市场整治。推进农贸市场整治行动，合理规划建设农贸市场，启动老城菜市场规范化建设。</w:t>
            </w:r>
          </w:p>
          <w:p w14:paraId="27464A05" w14:textId="77777777" w:rsidR="00EE55DB" w:rsidRDefault="00000000">
            <w:pPr>
              <w:pStyle w:val="21"/>
              <w:ind w:firstLine="480"/>
              <w:rPr>
                <w:rFonts w:cs="黑体"/>
              </w:rPr>
            </w:pPr>
            <w:r>
              <w:rPr>
                <w:rFonts w:cs="黑体" w:hint="eastAsia"/>
              </w:rPr>
              <w:t>门店牌匾整治。按照“一店</w:t>
            </w:r>
            <w:proofErr w:type="gramStart"/>
            <w:r>
              <w:rPr>
                <w:rFonts w:cs="黑体" w:hint="eastAsia"/>
              </w:rPr>
              <w:t>一</w:t>
            </w:r>
            <w:proofErr w:type="gramEnd"/>
            <w:r>
              <w:rPr>
                <w:rFonts w:cs="黑体" w:hint="eastAsia"/>
              </w:rPr>
              <w:t>招牌”和“美化亮化”的要求，对城区和乡镇影响市容市貌和存在安全隐患的门店牌匾进行集中整治，设置整齐、协调、美观、安全的门店牌匾。</w:t>
            </w:r>
          </w:p>
          <w:p w14:paraId="4E926DB8" w14:textId="77777777" w:rsidR="00EE55DB" w:rsidRDefault="00000000">
            <w:pPr>
              <w:pStyle w:val="21"/>
              <w:ind w:firstLine="480"/>
              <w:rPr>
                <w:rFonts w:cs="黑体"/>
              </w:rPr>
            </w:pPr>
            <w:r>
              <w:rPr>
                <w:rFonts w:cs="黑体" w:hint="eastAsia"/>
              </w:rPr>
              <w:t>“线乱拉”整治。按照“强弱分设、入管入盒、标识清晰、牢固安全、整齐有序、美观协调”的要求，规范户外线缆架设，清理整治户外架空线缆</w:t>
            </w:r>
            <w:proofErr w:type="gramStart"/>
            <w:r>
              <w:rPr>
                <w:rFonts w:cs="黑体" w:hint="eastAsia"/>
              </w:rPr>
              <w:t>违章乱架行为</w:t>
            </w:r>
            <w:proofErr w:type="gramEnd"/>
            <w:r>
              <w:rPr>
                <w:rFonts w:cs="黑体" w:hint="eastAsia"/>
              </w:rPr>
              <w:t>，归并整理杂乱无序线缆，消除低垂松垮线缆，整治美化线缆架设形态，着力改变老百姓反映强烈的“空中蜘蛛网”现象。</w:t>
            </w:r>
          </w:p>
          <w:p w14:paraId="628805C2" w14:textId="77777777" w:rsidR="00EE55DB" w:rsidRDefault="00000000">
            <w:pPr>
              <w:pStyle w:val="21"/>
              <w:ind w:firstLine="480"/>
              <w:rPr>
                <w:rFonts w:cs="黑体"/>
              </w:rPr>
            </w:pPr>
            <w:r>
              <w:rPr>
                <w:rFonts w:cs="黑体" w:hint="eastAsia"/>
              </w:rPr>
              <w:t>“道乱占”整治。整治各种非法占道行为和现象，消除过境公路、城镇街道、机动车道、非机动车道、人行道上的随意占道乱停车、乱堆物、乱摆摊、乱开挖、乱竖牌等“六乱”。</w:t>
            </w:r>
          </w:p>
          <w:p w14:paraId="1751BC1F" w14:textId="77777777" w:rsidR="00EE55DB" w:rsidRDefault="00000000">
            <w:pPr>
              <w:pStyle w:val="21"/>
              <w:ind w:firstLine="480"/>
              <w:rPr>
                <w:rFonts w:cs="黑体"/>
              </w:rPr>
            </w:pPr>
            <w:r>
              <w:rPr>
                <w:rFonts w:cs="黑体" w:hint="eastAsia"/>
              </w:rPr>
              <w:t>加强对道路挖掘工程审批管理，规范城市道路挖掘、修复等施工活动，打击违章开挖道路行为，加强夜间施工监督检查。</w:t>
            </w:r>
          </w:p>
          <w:p w14:paraId="35AAA02B" w14:textId="77777777" w:rsidR="00EE55DB" w:rsidRDefault="00000000">
            <w:pPr>
              <w:pStyle w:val="21"/>
              <w:ind w:firstLine="482"/>
              <w:rPr>
                <w:rFonts w:cs="黑体"/>
                <w:b/>
                <w:bCs/>
              </w:rPr>
            </w:pPr>
            <w:r>
              <w:rPr>
                <w:rFonts w:cs="黑体" w:hint="eastAsia"/>
                <w:b/>
                <w:bCs/>
              </w:rPr>
              <w:t>（四）稳步推进“美化”行动</w:t>
            </w:r>
          </w:p>
          <w:p w14:paraId="6DCF6038" w14:textId="77777777" w:rsidR="00EE55DB" w:rsidRDefault="00000000">
            <w:pPr>
              <w:pStyle w:val="21"/>
              <w:ind w:firstLine="480"/>
              <w:rPr>
                <w:rFonts w:cs="黑体"/>
              </w:rPr>
            </w:pPr>
            <w:r>
              <w:rPr>
                <w:rFonts w:cs="黑体" w:hint="eastAsia"/>
              </w:rPr>
              <w:t>推进绿色城市行动，点亮</w:t>
            </w:r>
            <w:proofErr w:type="gramStart"/>
            <w:r>
              <w:rPr>
                <w:rFonts w:cs="黑体" w:hint="eastAsia"/>
              </w:rPr>
              <w:t>彩色城市</w:t>
            </w:r>
            <w:proofErr w:type="gramEnd"/>
            <w:r>
              <w:rPr>
                <w:rFonts w:cs="黑体" w:hint="eastAsia"/>
              </w:rPr>
              <w:t>行动，塑造乡村</w:t>
            </w:r>
            <w:proofErr w:type="gramStart"/>
            <w:r>
              <w:rPr>
                <w:rFonts w:cs="黑体" w:hint="eastAsia"/>
              </w:rPr>
              <w:t>美行动</w:t>
            </w:r>
            <w:proofErr w:type="gramEnd"/>
            <w:r>
              <w:rPr>
                <w:rFonts w:cs="黑体" w:hint="eastAsia"/>
              </w:rPr>
              <w:t>来美化城乡环境，提高生活品质。合理规划建设各类公园绿地，全面提升城市绿化品质，人均公园绿地争取达到全市领先水平。</w:t>
            </w:r>
          </w:p>
          <w:p w14:paraId="47AB32F0" w14:textId="77777777" w:rsidR="00EE55DB" w:rsidRDefault="00000000">
            <w:pPr>
              <w:pStyle w:val="21"/>
              <w:ind w:firstLine="480"/>
              <w:rPr>
                <w:rFonts w:cs="黑体"/>
              </w:rPr>
            </w:pPr>
            <w:r>
              <w:rPr>
                <w:rFonts w:cs="黑体" w:hint="eastAsia"/>
              </w:rPr>
              <w:t>城市彩色美行动。以绿色植物为主体构建城区园林绿地系统的基础上，在人居密集的中心广场、公园，以及城乡结合过渡区域，充分利用植物色彩、形态营造出凸显植物色彩美、形态美、健康美的景象，着力构建社区</w:t>
            </w:r>
            <w:r>
              <w:rPr>
                <w:rFonts w:cs="黑体"/>
              </w:rPr>
              <w:t>15</w:t>
            </w:r>
            <w:r>
              <w:rPr>
                <w:rFonts w:cs="黑体" w:hint="eastAsia"/>
              </w:rPr>
              <w:t>分钟健身圈。</w:t>
            </w:r>
          </w:p>
          <w:p w14:paraId="0DCDFEED" w14:textId="77777777" w:rsidR="00EE55DB" w:rsidRDefault="00000000">
            <w:pPr>
              <w:pStyle w:val="21"/>
              <w:ind w:firstLine="480"/>
              <w:rPr>
                <w:rFonts w:cs="黑体"/>
              </w:rPr>
            </w:pPr>
            <w:r>
              <w:rPr>
                <w:rFonts w:cs="黑体" w:hint="eastAsia"/>
              </w:rPr>
              <w:t>塑造乡村美行动。在新农村建设中因地制宜，随形就势，充分尊重村庄现状格局，有效利用已有农房、基础设施、自然环境等资源禀赋，统筹考虑山、水、田、林、路等生产生活要素，尽可能保留村庄原始风貌。</w:t>
            </w:r>
            <w:r>
              <w:rPr>
                <w:rFonts w:cs="黑体"/>
              </w:rPr>
              <w:t xml:space="preserve"> </w:t>
            </w:r>
          </w:p>
          <w:p w14:paraId="32B9867E" w14:textId="77777777" w:rsidR="00EE55DB" w:rsidRDefault="00000000">
            <w:pPr>
              <w:pStyle w:val="21"/>
              <w:ind w:firstLine="482"/>
              <w:rPr>
                <w:rFonts w:cs="黑体"/>
                <w:b/>
                <w:bCs/>
              </w:rPr>
            </w:pPr>
            <w:r>
              <w:rPr>
                <w:rFonts w:cs="黑体" w:hint="eastAsia"/>
                <w:b/>
                <w:bCs/>
              </w:rPr>
              <w:lastRenderedPageBreak/>
              <w:t>（五）提高市民文明素质行动</w:t>
            </w:r>
          </w:p>
          <w:p w14:paraId="126952B0" w14:textId="77777777" w:rsidR="00EE55DB" w:rsidRDefault="00000000">
            <w:pPr>
              <w:pStyle w:val="21"/>
              <w:ind w:firstLine="480"/>
              <w:rPr>
                <w:rFonts w:cs="黑体"/>
              </w:rPr>
            </w:pPr>
            <w:r>
              <w:rPr>
                <w:rFonts w:cs="黑体" w:hint="eastAsia"/>
              </w:rPr>
              <w:t>强化文明市民宣传教育，促进市民自我教育、自我提升。强化市民公德意识，倡导制定市民公约规范市民行为。</w:t>
            </w:r>
          </w:p>
        </w:tc>
      </w:tr>
    </w:tbl>
    <w:p w14:paraId="2A89CF9A" w14:textId="77777777" w:rsidR="00EE55DB" w:rsidRDefault="00000000">
      <w:pPr>
        <w:ind w:firstLine="643"/>
        <w:rPr>
          <w:rFonts w:ascii="仿宋_GB2312" w:eastAsia="仿宋_GB2312" w:hAnsi="仿宋_GB2312" w:cs="仿宋_GB2312"/>
          <w:szCs w:val="32"/>
        </w:rPr>
      </w:pPr>
      <w:r>
        <w:rPr>
          <w:rFonts w:hint="eastAsia"/>
          <w:b/>
          <w:bCs/>
        </w:rPr>
        <w:lastRenderedPageBreak/>
        <w:t>加快推进“智慧城市”建设。</w:t>
      </w:r>
      <w:r>
        <w:rPr>
          <w:rFonts w:ascii="仿宋_GB2312" w:eastAsia="仿宋_GB2312" w:hAnsi="仿宋_GB2312" w:cs="仿宋_GB2312" w:hint="eastAsia"/>
          <w:szCs w:val="32"/>
        </w:rPr>
        <w:t>把握“数字治城”的新趋势，加快推进智慧城市建设，尽快完成智慧永修、数字城管等智能管理平台建设，用好“智慧永修”平台，积极推进智慧养老、智慧医疗、智慧旅游、智慧交通、智慧社区、智慧城管等建设。推动智能技术、绿色技术等与建筑业深度结合，新建商品住房配备智能化停车、安防等系统，预留家居智能管理系统接入基础设备。加快推进海绵城市建设，全面完成城区低洼易涝点的治理，告别“城市看海”。开通数字城管</w:t>
      </w:r>
      <w:r>
        <w:rPr>
          <w:rFonts w:ascii="仿宋_GB2312" w:eastAsia="仿宋_GB2312" w:hAnsi="仿宋_GB2312" w:cs="仿宋_GB2312"/>
          <w:szCs w:val="32"/>
        </w:rPr>
        <w:t>APP</w:t>
      </w:r>
      <w:r>
        <w:rPr>
          <w:rFonts w:ascii="仿宋_GB2312" w:eastAsia="仿宋_GB2312" w:hAnsi="仿宋_GB2312" w:cs="仿宋_GB2312" w:hint="eastAsia"/>
          <w:szCs w:val="32"/>
        </w:rPr>
        <w:t>，充实管理执法力量，开展“强基础、转作风、树形</w:t>
      </w:r>
      <w:proofErr w:type="gramStart"/>
      <w:r>
        <w:rPr>
          <w:rFonts w:ascii="仿宋_GB2312" w:eastAsia="仿宋_GB2312" w:hAnsi="仿宋_GB2312" w:cs="仿宋_GB2312" w:hint="eastAsia"/>
          <w:szCs w:val="32"/>
        </w:rPr>
        <w:t>象</w:t>
      </w:r>
      <w:proofErr w:type="gramEnd"/>
      <w:r>
        <w:rPr>
          <w:rFonts w:ascii="仿宋_GB2312" w:eastAsia="仿宋_GB2312" w:hAnsi="仿宋_GB2312" w:cs="仿宋_GB2312" w:hint="eastAsia"/>
          <w:szCs w:val="32"/>
        </w:rPr>
        <w:t>”专项行动，推进城市管理文明执法，提高执法队伍素质和能力。</w:t>
      </w:r>
    </w:p>
    <w:p w14:paraId="03EE15B3" w14:textId="77777777" w:rsidR="00EE55DB" w:rsidRDefault="00000000">
      <w:pPr>
        <w:pStyle w:val="2"/>
        <w:spacing w:before="156" w:after="156"/>
        <w:rPr>
          <w:rFonts w:ascii="楷体" w:cs="楷体"/>
          <w:color w:val="auto"/>
          <w:szCs w:val="32"/>
        </w:rPr>
      </w:pPr>
      <w:bookmarkStart w:id="38" w:name="_Toc25751"/>
      <w:r>
        <w:rPr>
          <w:rFonts w:ascii="楷体" w:hAnsi="楷体" w:cs="楷体" w:hint="eastAsia"/>
        </w:rPr>
        <w:t>第二节</w:t>
      </w:r>
      <w:r>
        <w:rPr>
          <w:rFonts w:ascii="楷体" w:hAnsi="楷体" w:cs="楷体"/>
        </w:rPr>
        <w:t xml:space="preserve"> </w:t>
      </w:r>
      <w:r>
        <w:rPr>
          <w:rFonts w:ascii="楷体" w:hAnsi="楷体" w:cs="楷体" w:hint="eastAsia"/>
        </w:rPr>
        <w:t>促进城乡基础设施一体化</w:t>
      </w:r>
      <w:bookmarkEnd w:id="38"/>
    </w:p>
    <w:p w14:paraId="5FC323D4"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建立城乡基础设施一体化规划机制。统筹推进城乡路网、供水、供电、污水、垃圾、通讯、消防等城乡基础设施设计。完善城乡路网布局，提高路网密度，提升城乡道路通行能力，加强交通秩序管理，建设智能交通管理系统。规范交通标志标线设置，提升城市道路交通信号设施的规范化和精细化水平，强化电动车通行秩序管理，建设一批高标准智能公交站台，规范公交运行，优化公交线路，提高安全保障和服务水</w:t>
      </w:r>
      <w:r>
        <w:rPr>
          <w:rFonts w:ascii="仿宋_GB2312" w:eastAsia="仿宋_GB2312" w:hAnsi="仿宋_GB2312" w:cs="仿宋_GB2312" w:hint="eastAsia"/>
          <w:szCs w:val="32"/>
        </w:rPr>
        <w:lastRenderedPageBreak/>
        <w:t>平。加快推进乡镇在城乡供水一体化建设中的进度，优化电网结构，扩大电网资源优化配置能力和范围，提高电网安全稳定水平，确保电网经济可靠运行。补齐城乡生活污水收集处理设施短板，推进污水管网全覆盖。加大垃圾分类和清理力度，促进垃圾处理可持续性发展，完善乡村消防设施建设，提高城乡</w:t>
      </w:r>
      <w:proofErr w:type="gramStart"/>
      <w:r>
        <w:rPr>
          <w:rFonts w:ascii="仿宋_GB2312" w:eastAsia="仿宋_GB2312" w:hAnsi="仿宋_GB2312" w:cs="仿宋_GB2312" w:hint="eastAsia"/>
          <w:szCs w:val="32"/>
        </w:rPr>
        <w:t>人民消防</w:t>
      </w:r>
      <w:proofErr w:type="gramEnd"/>
      <w:r>
        <w:rPr>
          <w:rFonts w:ascii="仿宋_GB2312" w:eastAsia="仿宋_GB2312" w:hAnsi="仿宋_GB2312" w:cs="仿宋_GB2312" w:hint="eastAsia"/>
          <w:szCs w:val="32"/>
        </w:rPr>
        <w:t>安全意识。健全分级分类投入机制，实现政府投入和社会资本相结合的基础设施建设工程。建立城乡一体化管护机制，探索基础设施管护市场化运作模式，推动基础设施运营单位企业化改革。</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tblGrid>
      <w:tr w:rsidR="00EE55DB" w14:paraId="7CFD8983" w14:textId="77777777">
        <w:trPr>
          <w:jc w:val="center"/>
        </w:trPr>
        <w:tc>
          <w:tcPr>
            <w:tcW w:w="8350" w:type="dxa"/>
            <w:vAlign w:val="center"/>
          </w:tcPr>
          <w:p w14:paraId="5C4277DF" w14:textId="77777777" w:rsidR="00EE55DB" w:rsidRDefault="00000000">
            <w:pPr>
              <w:pStyle w:val="21"/>
              <w:ind w:firstLine="482"/>
              <w:jc w:val="center"/>
              <w:rPr>
                <w:rFonts w:cs="黑体"/>
              </w:rPr>
            </w:pPr>
            <w:r>
              <w:rPr>
                <w:rFonts w:cs="黑体" w:hint="eastAsia"/>
                <w:b/>
                <w:bCs/>
              </w:rPr>
              <w:t>专栏</w:t>
            </w:r>
            <w:r>
              <w:rPr>
                <w:rFonts w:cs="黑体"/>
                <w:b/>
                <w:bCs/>
              </w:rPr>
              <w:t xml:space="preserve">12  </w:t>
            </w:r>
            <w:r>
              <w:rPr>
                <w:rFonts w:cs="黑体" w:hint="eastAsia"/>
                <w:b/>
                <w:bCs/>
              </w:rPr>
              <w:t>城乡基础设施建设重点行动</w:t>
            </w:r>
          </w:p>
        </w:tc>
      </w:tr>
      <w:tr w:rsidR="00EE55DB" w14:paraId="70C55243" w14:textId="77777777">
        <w:trPr>
          <w:jc w:val="center"/>
        </w:trPr>
        <w:tc>
          <w:tcPr>
            <w:tcW w:w="8350" w:type="dxa"/>
          </w:tcPr>
          <w:p w14:paraId="25916F30" w14:textId="77777777" w:rsidR="00EE55DB" w:rsidRDefault="00000000">
            <w:pPr>
              <w:pStyle w:val="21"/>
              <w:ind w:firstLine="482"/>
              <w:rPr>
                <w:rFonts w:cs="黑体"/>
                <w:b/>
                <w:bCs/>
              </w:rPr>
            </w:pPr>
            <w:r>
              <w:rPr>
                <w:rFonts w:cs="黑体" w:hint="eastAsia"/>
                <w:b/>
                <w:bCs/>
              </w:rPr>
              <w:t>（一）推进城乡公共服务</w:t>
            </w:r>
            <w:r>
              <w:rPr>
                <w:rFonts w:cs="黑体"/>
                <w:b/>
                <w:bCs/>
              </w:rPr>
              <w:t>6</w:t>
            </w:r>
            <w:r>
              <w:rPr>
                <w:rFonts w:cs="黑体" w:hint="eastAsia"/>
                <w:b/>
                <w:bCs/>
              </w:rPr>
              <w:t>项行动</w:t>
            </w:r>
          </w:p>
          <w:p w14:paraId="57633D02" w14:textId="77777777" w:rsidR="00EE55DB" w:rsidRDefault="00000000">
            <w:pPr>
              <w:pStyle w:val="21"/>
              <w:ind w:firstLine="480"/>
              <w:rPr>
                <w:rFonts w:cs="黑体"/>
              </w:rPr>
            </w:pPr>
            <w:r>
              <w:rPr>
                <w:rFonts w:cs="黑体" w:hint="eastAsia"/>
              </w:rPr>
              <w:t>推进健全城乡医疗卫生设施、完善城乡教育设施、改善城乡养老托育设施、</w:t>
            </w:r>
            <w:proofErr w:type="gramStart"/>
            <w:r>
              <w:rPr>
                <w:rFonts w:cs="黑体" w:hint="eastAsia"/>
              </w:rPr>
              <w:t>发展文旅设施</w:t>
            </w:r>
            <w:proofErr w:type="gramEnd"/>
            <w:r>
              <w:rPr>
                <w:rFonts w:cs="黑体" w:hint="eastAsia"/>
              </w:rPr>
              <w:t>、完善城乡社会福利设施、建设社区综合服务设施</w:t>
            </w:r>
            <w:r>
              <w:rPr>
                <w:rFonts w:cs="黑体"/>
              </w:rPr>
              <w:t>6</w:t>
            </w:r>
            <w:r>
              <w:rPr>
                <w:rFonts w:cs="黑体" w:hint="eastAsia"/>
              </w:rPr>
              <w:t>项任务。到</w:t>
            </w:r>
            <w:r>
              <w:rPr>
                <w:rFonts w:cs="黑体"/>
              </w:rPr>
              <w:t>2025</w:t>
            </w:r>
            <w:r>
              <w:rPr>
                <w:rFonts w:cs="黑体" w:hint="eastAsia"/>
              </w:rPr>
              <w:t>年，二级及以上的综合医院、</w:t>
            </w:r>
            <w:proofErr w:type="gramStart"/>
            <w:r>
              <w:rPr>
                <w:rFonts w:cs="黑体" w:hint="eastAsia"/>
              </w:rPr>
              <w:t>疾控中心</w:t>
            </w:r>
            <w:proofErr w:type="gramEnd"/>
            <w:r>
              <w:rPr>
                <w:rFonts w:cs="黑体" w:hint="eastAsia"/>
              </w:rPr>
              <w:t>、妇幼卫生健康服务机构等完成提</w:t>
            </w:r>
            <w:proofErr w:type="gramStart"/>
            <w:r>
              <w:rPr>
                <w:rFonts w:cs="黑体" w:hint="eastAsia"/>
              </w:rPr>
              <w:t>标改造</w:t>
            </w:r>
            <w:proofErr w:type="gramEnd"/>
            <w:r>
              <w:rPr>
                <w:rFonts w:cs="黑体" w:hint="eastAsia"/>
              </w:rPr>
              <w:t>和标准化建设。</w:t>
            </w:r>
          </w:p>
          <w:p w14:paraId="152854E3" w14:textId="77777777" w:rsidR="00EE55DB" w:rsidRDefault="00000000">
            <w:pPr>
              <w:pStyle w:val="21"/>
              <w:ind w:firstLine="482"/>
              <w:rPr>
                <w:rFonts w:cs="黑体"/>
                <w:b/>
                <w:bCs/>
              </w:rPr>
            </w:pPr>
            <w:r>
              <w:rPr>
                <w:rFonts w:cs="黑体" w:hint="eastAsia"/>
                <w:b/>
                <w:bCs/>
              </w:rPr>
              <w:t>（二）推进城乡环境卫生</w:t>
            </w:r>
            <w:r>
              <w:rPr>
                <w:rFonts w:cs="黑体"/>
                <w:b/>
                <w:bCs/>
              </w:rPr>
              <w:t>3</w:t>
            </w:r>
            <w:r>
              <w:rPr>
                <w:rFonts w:cs="黑体" w:hint="eastAsia"/>
                <w:b/>
                <w:bCs/>
              </w:rPr>
              <w:t>项行动</w:t>
            </w:r>
          </w:p>
          <w:p w14:paraId="474D562A" w14:textId="77777777" w:rsidR="00EE55DB" w:rsidRDefault="00000000">
            <w:pPr>
              <w:pStyle w:val="21"/>
              <w:ind w:firstLine="480"/>
              <w:rPr>
                <w:rFonts w:cs="黑体"/>
              </w:rPr>
            </w:pPr>
            <w:r>
              <w:rPr>
                <w:rFonts w:cs="黑体" w:hint="eastAsia"/>
              </w:rPr>
              <w:t>完善城乡垃圾无害化资源化处理设施、健全城乡污水集中处理设施、改善城乡公共厕所</w:t>
            </w:r>
            <w:r>
              <w:rPr>
                <w:rFonts w:cs="黑体"/>
              </w:rPr>
              <w:t>3</w:t>
            </w:r>
            <w:r>
              <w:rPr>
                <w:rFonts w:cs="黑体" w:hint="eastAsia"/>
              </w:rPr>
              <w:t>项任务。到</w:t>
            </w:r>
            <w:r>
              <w:rPr>
                <w:rFonts w:cs="黑体"/>
              </w:rPr>
              <w:t>2025</w:t>
            </w:r>
            <w:r>
              <w:rPr>
                <w:rFonts w:cs="黑体" w:hint="eastAsia"/>
              </w:rPr>
              <w:t>年，县城垃圾无害化处理率和污水集中处理率达到</w:t>
            </w:r>
            <w:r>
              <w:rPr>
                <w:rFonts w:cs="黑体"/>
              </w:rPr>
              <w:t>100%</w:t>
            </w:r>
            <w:r>
              <w:rPr>
                <w:rFonts w:cs="黑体" w:hint="eastAsia"/>
              </w:rPr>
              <w:t>。</w:t>
            </w:r>
          </w:p>
          <w:p w14:paraId="7CEF70F5" w14:textId="77777777" w:rsidR="00EE55DB" w:rsidRDefault="00000000">
            <w:pPr>
              <w:pStyle w:val="21"/>
              <w:ind w:firstLine="482"/>
              <w:rPr>
                <w:rFonts w:cs="黑体"/>
                <w:b/>
                <w:bCs/>
              </w:rPr>
            </w:pPr>
            <w:r>
              <w:rPr>
                <w:rFonts w:cs="黑体" w:hint="eastAsia"/>
                <w:b/>
                <w:bCs/>
              </w:rPr>
              <w:t>（三）推进城乡交通设施</w:t>
            </w:r>
            <w:r>
              <w:rPr>
                <w:rFonts w:cs="黑体"/>
                <w:b/>
                <w:bCs/>
              </w:rPr>
              <w:t>4</w:t>
            </w:r>
            <w:r>
              <w:rPr>
                <w:rFonts w:cs="黑体" w:hint="eastAsia"/>
                <w:b/>
                <w:bCs/>
              </w:rPr>
              <w:t>项行动</w:t>
            </w:r>
          </w:p>
          <w:p w14:paraId="08CD4FD5" w14:textId="77777777" w:rsidR="00EE55DB" w:rsidRDefault="00000000">
            <w:pPr>
              <w:pStyle w:val="21"/>
              <w:ind w:firstLine="480"/>
              <w:rPr>
                <w:rFonts w:cs="黑体"/>
              </w:rPr>
            </w:pPr>
            <w:r>
              <w:rPr>
                <w:rFonts w:cs="黑体" w:hint="eastAsia"/>
              </w:rPr>
              <w:t>推进优化城乡道路设施、公共停车场、公共交通设施、新能源汽车充电设施</w:t>
            </w:r>
            <w:r>
              <w:rPr>
                <w:rFonts w:cs="黑体"/>
              </w:rPr>
              <w:t>4</w:t>
            </w:r>
            <w:r>
              <w:rPr>
                <w:rFonts w:cs="黑体" w:hint="eastAsia"/>
              </w:rPr>
              <w:t>项任务。鼓励单位利用自有用地建设停车场，推广利用城市支路作为夜间限时间歇性停车位，建设智能停车诱导系统，推广车辆号牌自动识别等信息化技术，推进智慧停车。新建住宅配建停车位</w:t>
            </w:r>
            <w:r>
              <w:rPr>
                <w:rFonts w:cs="黑体"/>
              </w:rPr>
              <w:t>100%</w:t>
            </w:r>
            <w:r>
              <w:rPr>
                <w:rFonts w:cs="黑体" w:hint="eastAsia"/>
              </w:rPr>
              <w:t>建设充电设施或预留建设安装条件，确保新能源汽车充电设施建设得到保障。</w:t>
            </w:r>
          </w:p>
          <w:p w14:paraId="477C565A" w14:textId="77777777" w:rsidR="00EE55DB" w:rsidRDefault="00000000">
            <w:pPr>
              <w:pStyle w:val="21"/>
              <w:ind w:firstLine="482"/>
              <w:rPr>
                <w:rFonts w:cs="黑体"/>
                <w:b/>
                <w:bCs/>
              </w:rPr>
            </w:pPr>
            <w:r>
              <w:rPr>
                <w:rFonts w:cs="黑体" w:hint="eastAsia"/>
                <w:b/>
                <w:bCs/>
              </w:rPr>
              <w:t>（四）推进公用设施行动</w:t>
            </w:r>
          </w:p>
          <w:p w14:paraId="0809887A" w14:textId="77777777" w:rsidR="00EE55DB" w:rsidRDefault="00000000">
            <w:pPr>
              <w:pStyle w:val="21"/>
              <w:ind w:firstLine="480"/>
              <w:rPr>
                <w:rFonts w:cs="黑体"/>
              </w:rPr>
            </w:pPr>
            <w:r>
              <w:rPr>
                <w:rFonts w:cs="黑体" w:hint="eastAsia"/>
              </w:rPr>
              <w:lastRenderedPageBreak/>
              <w:t>推动管网设施、易涝点治理、发展物流配送投递设施、推进县城智慧化、城乡明亮工程改造等任务。提升城乡公共空间照明水平，城市大街小巷实现照明全覆盖，亮灯率达</w:t>
            </w:r>
            <w:r>
              <w:rPr>
                <w:rFonts w:cs="黑体"/>
              </w:rPr>
              <w:t>95%</w:t>
            </w:r>
            <w:r>
              <w:rPr>
                <w:rFonts w:cs="黑体" w:hint="eastAsia"/>
              </w:rPr>
              <w:t>以上，乡村实现村村通路灯。完善城市亮化管理制度，城市功能照明分时节、分时段亮化运行和管理。</w:t>
            </w:r>
          </w:p>
        </w:tc>
      </w:tr>
    </w:tbl>
    <w:p w14:paraId="5CF1B90B" w14:textId="77777777" w:rsidR="00EE55DB" w:rsidRDefault="00000000">
      <w:pPr>
        <w:pStyle w:val="2"/>
        <w:spacing w:before="156" w:after="156"/>
      </w:pPr>
      <w:bookmarkStart w:id="39" w:name="_Toc31230"/>
      <w:r>
        <w:rPr>
          <w:rFonts w:hint="eastAsia"/>
        </w:rPr>
        <w:lastRenderedPageBreak/>
        <w:t>第三节</w:t>
      </w:r>
      <w:r>
        <w:t xml:space="preserve"> </w:t>
      </w:r>
      <w:r>
        <w:rPr>
          <w:rFonts w:hint="eastAsia"/>
        </w:rPr>
        <w:t>畅通城乡双向融合发展</w:t>
      </w:r>
      <w:bookmarkStart w:id="40" w:name="_Toc7680"/>
      <w:bookmarkStart w:id="41" w:name="_Toc9214"/>
      <w:bookmarkStart w:id="42" w:name="_Toc4067"/>
      <w:bookmarkEnd w:id="39"/>
    </w:p>
    <w:p w14:paraId="4054B9A1" w14:textId="77777777" w:rsidR="00EE55DB" w:rsidRDefault="00000000">
      <w:pPr>
        <w:ind w:firstLine="643"/>
        <w:rPr>
          <w:rFonts w:ascii="仿宋_GB2312" w:eastAsia="仿宋_GB2312" w:hAnsi="仿宋_GB2312" w:cs="仿宋_GB2312"/>
          <w:szCs w:val="32"/>
        </w:rPr>
      </w:pPr>
      <w:bookmarkStart w:id="43" w:name="_Toc5997"/>
      <w:bookmarkStart w:id="44" w:name="_Toc13517"/>
      <w:bookmarkStart w:id="45" w:name="_Toc14953"/>
      <w:bookmarkEnd w:id="40"/>
      <w:bookmarkEnd w:id="41"/>
      <w:bookmarkEnd w:id="42"/>
      <w:r>
        <w:rPr>
          <w:rFonts w:hint="eastAsia"/>
          <w:b/>
          <w:bCs/>
        </w:rPr>
        <w:t>落实好农业转移人口落户政策</w:t>
      </w:r>
      <w:bookmarkEnd w:id="43"/>
      <w:bookmarkEnd w:id="44"/>
      <w:bookmarkEnd w:id="45"/>
      <w:r>
        <w:rPr>
          <w:rFonts w:hint="eastAsia"/>
          <w:b/>
          <w:bCs/>
        </w:rPr>
        <w:t>。</w:t>
      </w:r>
      <w:r>
        <w:rPr>
          <w:rFonts w:ascii="仿宋_GB2312" w:eastAsia="仿宋_GB2312" w:hAnsi="仿宋_GB2312" w:cs="仿宋_GB2312" w:hint="eastAsia"/>
          <w:szCs w:val="32"/>
        </w:rPr>
        <w:t>建立健全由政府、企业、个人共同参与的农业转移人口市民</w:t>
      </w:r>
      <w:proofErr w:type="gramStart"/>
      <w:r>
        <w:rPr>
          <w:rFonts w:ascii="仿宋_GB2312" w:eastAsia="仿宋_GB2312" w:hAnsi="仿宋_GB2312" w:cs="仿宋_GB2312" w:hint="eastAsia"/>
          <w:szCs w:val="32"/>
        </w:rPr>
        <w:t>化成本</w:t>
      </w:r>
      <w:proofErr w:type="gramEnd"/>
      <w:r>
        <w:rPr>
          <w:rFonts w:ascii="仿宋_GB2312" w:eastAsia="仿宋_GB2312" w:hAnsi="仿宋_GB2312" w:cs="仿宋_GB2312" w:hint="eastAsia"/>
          <w:szCs w:val="32"/>
        </w:rPr>
        <w:t>分担机制，全面落实支持农业转移人口市民化的财政政策、城镇建设用地增加规模与吸纳农业转移人口落户数量挂钩等政策，解决已转移到城镇就业的农业转移人口落户问题，稳步提高户籍人口城镇化水平。全面放开建制镇和县级城区人口落户限制，优先解决农村学生升学、参军进入城镇人口、在城镇就业居住</w:t>
      </w:r>
      <w:r>
        <w:rPr>
          <w:rFonts w:ascii="仿宋_GB2312" w:eastAsia="仿宋_GB2312" w:hAnsi="仿宋_GB2312" w:cs="仿宋_GB2312"/>
          <w:szCs w:val="32"/>
        </w:rPr>
        <w:t>1</w:t>
      </w:r>
      <w:r>
        <w:rPr>
          <w:rFonts w:ascii="仿宋_GB2312" w:eastAsia="仿宋_GB2312" w:hAnsi="仿宋_GB2312" w:cs="仿宋_GB2312" w:hint="eastAsia"/>
          <w:szCs w:val="32"/>
        </w:rPr>
        <w:t>年以上和举家迁徙的农业转移人口以及新生代农民工落户问题，全面放开对高校毕业生、技术工人、职业院校毕业生、留学归国人员的落户限制。在全县范围内逐步取消农业户口和非农业户口的区分，建立城乡统一的居民户口登记制度。全面实施居住证制度，进一步放宽居住证申领条件，提高基本公共服务和办事便利标准，缩小居住证与常住户口在基本公共服务和办事便利上的差距。</w:t>
      </w:r>
    </w:p>
    <w:p w14:paraId="0D623F24" w14:textId="77777777" w:rsidR="00EE55DB" w:rsidRDefault="00000000">
      <w:pPr>
        <w:ind w:firstLine="643"/>
        <w:rPr>
          <w:rFonts w:ascii="仿宋_GB2312" w:eastAsia="仿宋_GB2312" w:hAnsi="仿宋_GB2312" w:cs="仿宋_GB2312"/>
          <w:szCs w:val="32"/>
        </w:rPr>
      </w:pPr>
      <w:bookmarkStart w:id="46" w:name="_Toc28511"/>
      <w:bookmarkStart w:id="47" w:name="_Toc20313"/>
      <w:bookmarkStart w:id="48" w:name="_Toc1992"/>
      <w:r>
        <w:rPr>
          <w:rFonts w:hint="eastAsia"/>
          <w:b/>
          <w:bCs/>
        </w:rPr>
        <w:t>保障进城农民权益</w:t>
      </w:r>
      <w:bookmarkEnd w:id="46"/>
      <w:bookmarkEnd w:id="47"/>
      <w:bookmarkEnd w:id="48"/>
      <w:r>
        <w:rPr>
          <w:rFonts w:hint="eastAsia"/>
          <w:b/>
          <w:bCs/>
        </w:rPr>
        <w:t>。</w:t>
      </w:r>
      <w:r>
        <w:rPr>
          <w:rFonts w:ascii="仿宋_GB2312" w:eastAsia="仿宋_GB2312" w:hAnsi="仿宋_GB2312" w:cs="仿宋_GB2312" w:hint="eastAsia"/>
          <w:szCs w:val="32"/>
        </w:rPr>
        <w:t>引导城乡人口自愿、有序、平稳流动，加强农民就业技能培训，引导农村人口向城镇转移，努力使外来流入落户人口素质与本地经济社会发展需要和人口承载力相适应。解决流动人口在就业、就医、定居、子女</w:t>
      </w:r>
      <w:r>
        <w:rPr>
          <w:rFonts w:ascii="仿宋_GB2312" w:eastAsia="仿宋_GB2312" w:hAnsi="仿宋_GB2312" w:cs="仿宋_GB2312" w:hint="eastAsia"/>
          <w:szCs w:val="32"/>
        </w:rPr>
        <w:lastRenderedPageBreak/>
        <w:t>入托入学方面的实际困难，建立流动人口计划生育法律救助体系，维护流动人口合法权益，将符合条件的常住人口纳入公</w:t>
      </w:r>
      <w:proofErr w:type="gramStart"/>
      <w:r>
        <w:rPr>
          <w:rFonts w:ascii="仿宋_GB2312" w:eastAsia="仿宋_GB2312" w:hAnsi="仿宋_GB2312" w:cs="仿宋_GB2312" w:hint="eastAsia"/>
          <w:szCs w:val="32"/>
        </w:rPr>
        <w:t>租房保障</w:t>
      </w:r>
      <w:proofErr w:type="gramEnd"/>
      <w:r>
        <w:rPr>
          <w:rFonts w:ascii="仿宋_GB2312" w:eastAsia="仿宋_GB2312" w:hAnsi="仿宋_GB2312" w:cs="仿宋_GB2312" w:hint="eastAsia"/>
          <w:szCs w:val="32"/>
        </w:rPr>
        <w:t>范围和住房公积金制度覆盖范围，保障其在流入地平等享受公共服务。将农业转移人口及其他常住人口纳入社区卫生和计划生育服务体系，为转户农民建立健康档案，提供基本医疗卫生服务。把进城落户农民完全纳入城镇社会保障体系，实现农村养老保险和医疗保险接入城镇社会保障体系，落实养老保险和医疗保险关系转移接续政策。完善就业失业登记管理制度，将未就业农业转移人口与城镇居民一样纳入城镇就业失业登记范围，向农业转移人口全面提供政府补贴职业技能培训服务，加大创业支持力度，促进农业转移人口就业。</w:t>
      </w:r>
    </w:p>
    <w:p w14:paraId="0D1CFFE7" w14:textId="77777777" w:rsidR="00EE55DB" w:rsidRDefault="00000000">
      <w:pPr>
        <w:ind w:firstLine="643"/>
        <w:rPr>
          <w:rFonts w:ascii="仿宋_GB2312" w:eastAsia="仿宋_GB2312" w:hAnsi="仿宋_GB2312" w:cs="仿宋_GB2312"/>
          <w:szCs w:val="32"/>
        </w:rPr>
      </w:pPr>
      <w:bookmarkStart w:id="49" w:name="_Toc15810"/>
      <w:bookmarkStart w:id="50" w:name="_Toc17968"/>
      <w:bookmarkStart w:id="51" w:name="_Toc24214"/>
      <w:r>
        <w:rPr>
          <w:rFonts w:hint="eastAsia"/>
          <w:b/>
          <w:bCs/>
        </w:rPr>
        <w:t>完善政策激励机制</w:t>
      </w:r>
      <w:bookmarkEnd w:id="49"/>
      <w:bookmarkEnd w:id="50"/>
      <w:bookmarkEnd w:id="51"/>
      <w:r>
        <w:rPr>
          <w:rFonts w:hint="eastAsia"/>
          <w:b/>
          <w:bCs/>
        </w:rPr>
        <w:t>。</w:t>
      </w:r>
      <w:r>
        <w:rPr>
          <w:rFonts w:ascii="仿宋_GB2312" w:eastAsia="仿宋_GB2312" w:hAnsi="仿宋_GB2312" w:cs="仿宋_GB2312" w:hint="eastAsia"/>
          <w:szCs w:val="32"/>
        </w:rPr>
        <w:t>切实维护进城落户农民土地承包权、宅基地使用权、集体权益分配权，支持引导进城落户农民依法自愿有偿转让上述权益。加快户口变动与农村“三权”脱钩，不得以退出“三权”作为农民进城落户的条件。落实支持农业转移人口市民</w:t>
      </w:r>
      <w:proofErr w:type="gramStart"/>
      <w:r>
        <w:rPr>
          <w:rFonts w:ascii="仿宋_GB2312" w:eastAsia="仿宋_GB2312" w:hAnsi="仿宋_GB2312" w:cs="仿宋_GB2312" w:hint="eastAsia"/>
          <w:szCs w:val="32"/>
        </w:rPr>
        <w:t>化财政</w:t>
      </w:r>
      <w:proofErr w:type="gramEnd"/>
      <w:r>
        <w:rPr>
          <w:rFonts w:ascii="仿宋_GB2312" w:eastAsia="仿宋_GB2312" w:hAnsi="仿宋_GB2312" w:cs="仿宋_GB2312" w:hint="eastAsia"/>
          <w:szCs w:val="32"/>
        </w:rPr>
        <w:t>政策、城镇建设用地增加规模与吸纳农业转移人口落户数量挂钩政策。完善与城乡人口变化规律相适应的公共财政分配制度，健全由政府、企业、个人共同参与的市民</w:t>
      </w:r>
      <w:proofErr w:type="gramStart"/>
      <w:r>
        <w:rPr>
          <w:rFonts w:ascii="仿宋_GB2312" w:eastAsia="仿宋_GB2312" w:hAnsi="仿宋_GB2312" w:cs="仿宋_GB2312" w:hint="eastAsia"/>
          <w:szCs w:val="32"/>
        </w:rPr>
        <w:t>化成本</w:t>
      </w:r>
      <w:proofErr w:type="gramEnd"/>
      <w:r>
        <w:rPr>
          <w:rFonts w:ascii="仿宋_GB2312" w:eastAsia="仿宋_GB2312" w:hAnsi="仿宋_GB2312" w:cs="仿宋_GB2312" w:hint="eastAsia"/>
          <w:szCs w:val="32"/>
        </w:rPr>
        <w:t>分担机制。</w:t>
      </w:r>
    </w:p>
    <w:p w14:paraId="2C9200C2" w14:textId="77777777" w:rsidR="00EE55DB" w:rsidRDefault="00000000">
      <w:pPr>
        <w:pStyle w:val="2"/>
        <w:spacing w:before="156" w:after="156"/>
        <w:rPr>
          <w:rFonts w:ascii="楷体" w:cs="楷体"/>
        </w:rPr>
      </w:pPr>
      <w:bookmarkStart w:id="52" w:name="_Toc14072"/>
      <w:r>
        <w:rPr>
          <w:rFonts w:ascii="楷体" w:hAnsi="楷体" w:cs="楷体" w:hint="eastAsia"/>
        </w:rPr>
        <w:t>第四节</w:t>
      </w:r>
      <w:r>
        <w:rPr>
          <w:rFonts w:ascii="楷体" w:hAnsi="楷体" w:cs="楷体"/>
        </w:rPr>
        <w:t xml:space="preserve"> </w:t>
      </w:r>
      <w:r>
        <w:rPr>
          <w:rFonts w:ascii="楷体" w:hAnsi="楷体" w:cs="楷体" w:hint="eastAsia"/>
        </w:rPr>
        <w:t>健全城乡融合发展体制机制</w:t>
      </w:r>
      <w:bookmarkEnd w:id="52"/>
    </w:p>
    <w:p w14:paraId="7833E305" w14:textId="77777777" w:rsidR="00EE55DB" w:rsidRDefault="00000000">
      <w:pPr>
        <w:ind w:firstLine="643"/>
        <w:rPr>
          <w:rFonts w:ascii="仿宋_GB2312" w:eastAsia="仿宋_GB2312" w:hAnsi="仿宋_GB2312" w:cs="仿宋_GB2312"/>
          <w:szCs w:val="32"/>
        </w:rPr>
      </w:pPr>
      <w:r>
        <w:rPr>
          <w:rFonts w:hint="eastAsia"/>
          <w:b/>
          <w:bCs/>
        </w:rPr>
        <w:t>创新城乡要素融合互通的体制机制。</w:t>
      </w:r>
      <w:r>
        <w:rPr>
          <w:rFonts w:ascii="仿宋_GB2312" w:eastAsia="仿宋_GB2312" w:hAnsi="仿宋_GB2312" w:cs="仿宋_GB2312" w:hint="eastAsia"/>
          <w:szCs w:val="32"/>
        </w:rPr>
        <w:t>打破城乡分割的传</w:t>
      </w:r>
      <w:r>
        <w:rPr>
          <w:rFonts w:ascii="仿宋_GB2312" w:eastAsia="仿宋_GB2312" w:hAnsi="仿宋_GB2312" w:cs="仿宋_GB2312" w:hint="eastAsia"/>
          <w:szCs w:val="32"/>
        </w:rPr>
        <w:lastRenderedPageBreak/>
        <w:t>统体制机制障碍，按照平等、开放、融合、共享的原则，创新体制机制，积极引导人口、资本、技术等生产要素在城乡之间合理流动。创新发挥市场在资源要素配置中的决定性作用，利用市场机制实现取长补短、互通有无、优势互补，作好“人”“钱”“物”等多篇文章，推动城乡要素平等交换。落实城乡统一就业政策的具体办法和措施，消除对进城务工人员就业的限制性、</w:t>
      </w:r>
      <w:proofErr w:type="gramStart"/>
      <w:r>
        <w:rPr>
          <w:rFonts w:ascii="仿宋_GB2312" w:eastAsia="仿宋_GB2312" w:hAnsi="仿宋_GB2312" w:cs="仿宋_GB2312" w:hint="eastAsia"/>
          <w:szCs w:val="32"/>
        </w:rPr>
        <w:t>不</w:t>
      </w:r>
      <w:proofErr w:type="gramEnd"/>
      <w:r>
        <w:rPr>
          <w:rFonts w:ascii="仿宋_GB2312" w:eastAsia="仿宋_GB2312" w:hAnsi="仿宋_GB2312" w:cs="仿宋_GB2312" w:hint="eastAsia"/>
          <w:szCs w:val="32"/>
        </w:rPr>
        <w:t>平等性规定和做法。坚持把农业农村作为财政支出的优先保障领域，在持续增加投入总量的基础上，着力优化投入结构、创新使用方式、提升支农效能。强化金融机构激励约束机制，吸引金融资本进入农业农村。围绕发展现代农业、培育新产业新业态，完善农企利益紧密联结机制，利用城市科技改造乡村传统农业，利用城市工业延长乡村农业产业链，实现乡村经济多元化和农业全产业链发展。</w:t>
      </w:r>
    </w:p>
    <w:p w14:paraId="79994121" w14:textId="77777777" w:rsidR="00EE55DB" w:rsidRDefault="00000000">
      <w:pPr>
        <w:ind w:firstLine="643"/>
        <w:rPr>
          <w:rFonts w:ascii="仿宋_GB2312" w:eastAsia="仿宋_GB2312" w:hAnsi="仿宋_GB2312" w:cs="仿宋_GB2312"/>
          <w:szCs w:val="32"/>
        </w:rPr>
      </w:pPr>
      <w:r>
        <w:rPr>
          <w:rFonts w:hint="eastAsia"/>
          <w:b/>
          <w:bCs/>
        </w:rPr>
        <w:t>推进城乡基本公共服务普惠共享。</w:t>
      </w:r>
      <w:r>
        <w:rPr>
          <w:rFonts w:ascii="仿宋_GB2312" w:eastAsia="仿宋_GB2312" w:hAnsi="仿宋_GB2312" w:cs="仿宋_GB2312" w:hint="eastAsia"/>
          <w:szCs w:val="32"/>
        </w:rPr>
        <w:t>推动公共服务向农村延伸、社会事业向农村覆盖，健全全民覆盖、普惠共享、城乡一体的基本公共服务体系，推进城乡基本公共服务标准统一、制度并轨，</w:t>
      </w:r>
      <w:r>
        <w:rPr>
          <w:rFonts w:ascii="仿宋_GB2312" w:eastAsia="仿宋_GB2312" w:hAnsi="仿宋_GB2312" w:cs="仿宋_GB2312" w:hint="eastAsia"/>
          <w:szCs w:val="32"/>
          <w:lang w:val="zh-CN"/>
        </w:rPr>
        <w:t>引导城乡兼业人口和返乡农民工就地就近市民化，创新乡村人才引进与使用机制</w:t>
      </w:r>
      <w:r>
        <w:rPr>
          <w:rFonts w:ascii="仿宋_GB2312" w:eastAsia="仿宋_GB2312" w:hAnsi="仿宋_GB2312" w:cs="仿宋_GB2312" w:hint="eastAsia"/>
          <w:szCs w:val="32"/>
        </w:rPr>
        <w:t>。加快推动县乡基础设施提档升级，统筹推进公共服务设施、环境卫生设施、市政公用设施、产业培育设施等统一规划、建设，构建分级分类投入机制。</w:t>
      </w:r>
    </w:p>
    <w:p w14:paraId="07649B2F" w14:textId="77777777" w:rsidR="00EE55DB" w:rsidRDefault="00000000">
      <w:pPr>
        <w:ind w:firstLine="640"/>
      </w:pPr>
      <w:r>
        <w:lastRenderedPageBreak/>
        <w:br w:type="page"/>
      </w:r>
    </w:p>
    <w:p w14:paraId="39A207DB" w14:textId="77777777" w:rsidR="00EE55DB" w:rsidRDefault="00000000">
      <w:pPr>
        <w:pStyle w:val="1"/>
        <w:spacing w:before="156" w:after="156"/>
      </w:pPr>
      <w:bookmarkStart w:id="53" w:name="_Toc15854"/>
      <w:r>
        <w:rPr>
          <w:rFonts w:hint="eastAsia"/>
        </w:rPr>
        <w:lastRenderedPageBreak/>
        <w:t>第七章</w:t>
      </w:r>
      <w:r>
        <w:t xml:space="preserve"> </w:t>
      </w:r>
      <w:r>
        <w:rPr>
          <w:rFonts w:hint="eastAsia"/>
        </w:rPr>
        <w:t>全面实施乡村振兴战略，奋力描绘“五美”乡村新图景</w:t>
      </w:r>
      <w:bookmarkEnd w:id="53"/>
    </w:p>
    <w:p w14:paraId="181435BA"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全面落实“产业兴旺、生态宜居、乡风文明、治理有效、生活富裕”总要求，持续深化农业农村改革，推动产业发展、生态保护、文化建设、人才队伍等有效衔接，扎实做好新发展阶段“三农”工作，接续推进脱贫攻坚与乡村振兴有效衔接，促进农业高质高效、乡村宜</w:t>
      </w:r>
      <w:proofErr w:type="gramStart"/>
      <w:r>
        <w:rPr>
          <w:rFonts w:ascii="仿宋_GB2312" w:eastAsia="仿宋_GB2312" w:hAnsi="仿宋_GB2312" w:cs="仿宋_GB2312" w:hint="eastAsia"/>
          <w:szCs w:val="32"/>
        </w:rPr>
        <w:t>居宜业</w:t>
      </w:r>
      <w:proofErr w:type="gramEnd"/>
      <w:r>
        <w:rPr>
          <w:rFonts w:ascii="仿宋_GB2312" w:eastAsia="仿宋_GB2312" w:hAnsi="仿宋_GB2312" w:cs="仿宋_GB2312" w:hint="eastAsia"/>
          <w:szCs w:val="32"/>
        </w:rPr>
        <w:t>、农民富裕富足，努力建设彰</w:t>
      </w:r>
      <w:proofErr w:type="gramStart"/>
      <w:r>
        <w:rPr>
          <w:rFonts w:ascii="仿宋_GB2312" w:eastAsia="仿宋_GB2312" w:hAnsi="仿宋_GB2312" w:cs="仿宋_GB2312" w:hint="eastAsia"/>
          <w:szCs w:val="32"/>
        </w:rPr>
        <w:t>显产业</w:t>
      </w:r>
      <w:proofErr w:type="gramEnd"/>
      <w:r>
        <w:rPr>
          <w:rFonts w:ascii="仿宋_GB2312" w:eastAsia="仿宋_GB2312" w:hAnsi="仿宋_GB2312" w:cs="仿宋_GB2312" w:hint="eastAsia"/>
          <w:szCs w:val="32"/>
        </w:rPr>
        <w:t>兴旺之美、文明淳朴之美、共建共享之美、自然生态之美、和谐有序之美的新时代“五美”乡村。</w:t>
      </w:r>
    </w:p>
    <w:p w14:paraId="5A5DD9E4" w14:textId="77777777" w:rsidR="00EE55DB" w:rsidRDefault="00000000">
      <w:pPr>
        <w:pStyle w:val="2"/>
        <w:spacing w:before="156" w:after="156"/>
      </w:pPr>
      <w:bookmarkStart w:id="54" w:name="_Toc3854"/>
      <w:r>
        <w:rPr>
          <w:rFonts w:hint="eastAsia"/>
        </w:rPr>
        <w:t>第一节</w:t>
      </w:r>
      <w:r>
        <w:t xml:space="preserve"> </w:t>
      </w:r>
      <w:r>
        <w:rPr>
          <w:rFonts w:hint="eastAsia"/>
        </w:rPr>
        <w:t>大力发展现代农业</w:t>
      </w:r>
      <w:bookmarkEnd w:id="54"/>
    </w:p>
    <w:p w14:paraId="5D7CD7F1" w14:textId="77777777" w:rsidR="00EE55DB" w:rsidRDefault="00000000">
      <w:pPr>
        <w:ind w:firstLine="643"/>
        <w:rPr>
          <w:rFonts w:ascii="仿宋_GB2312" w:eastAsia="仿宋_GB2312" w:hAnsi="仿宋_GB2312" w:cs="仿宋_GB2312"/>
          <w:szCs w:val="32"/>
        </w:rPr>
      </w:pPr>
      <w:bookmarkStart w:id="55" w:name="_Toc27837"/>
      <w:bookmarkStart w:id="56" w:name="_Toc4055"/>
      <w:r>
        <w:rPr>
          <w:rFonts w:hint="eastAsia"/>
          <w:b/>
          <w:bCs/>
        </w:rPr>
        <w:t>优化农业产业结构</w:t>
      </w:r>
      <w:bookmarkEnd w:id="55"/>
      <w:r>
        <w:rPr>
          <w:rFonts w:hint="eastAsia"/>
          <w:b/>
          <w:bCs/>
        </w:rPr>
        <w:t>。</w:t>
      </w:r>
      <w:bookmarkEnd w:id="56"/>
      <w:r>
        <w:rPr>
          <w:rFonts w:ascii="仿宋_GB2312" w:eastAsia="仿宋_GB2312" w:hAnsi="仿宋_GB2312" w:cs="仿宋_GB2312" w:hint="eastAsia"/>
          <w:szCs w:val="32"/>
        </w:rPr>
        <w:t>按照“城乡统筹、区域协调、园区聚集、产业集群、三产融合”的战略要求，加强特色农产品生产功能区和粮食生产功能区建设，形成“一廊两带、一园六区多点”的都市</w:t>
      </w:r>
      <w:proofErr w:type="gramStart"/>
      <w:r>
        <w:rPr>
          <w:rFonts w:ascii="仿宋_GB2312" w:eastAsia="仿宋_GB2312" w:hAnsi="仿宋_GB2312" w:cs="仿宋_GB2312" w:hint="eastAsia"/>
          <w:szCs w:val="32"/>
        </w:rPr>
        <w:t>型现代</w:t>
      </w:r>
      <w:proofErr w:type="gramEnd"/>
      <w:r>
        <w:rPr>
          <w:rFonts w:ascii="仿宋_GB2312" w:eastAsia="仿宋_GB2312" w:hAnsi="仿宋_GB2312" w:cs="仿宋_GB2312" w:hint="eastAsia"/>
          <w:szCs w:val="32"/>
        </w:rPr>
        <w:t>农业发展格局。主动策应省市农业产业结构调整的重点支持方向和全县现有产业发展的良好基础，结合实际因地制宜，突出特色，重点“瞄准六大产业”。</w:t>
      </w:r>
      <w:r>
        <w:rPr>
          <w:rFonts w:ascii="仿宋_GB2312" w:eastAsia="仿宋_GB2312" w:hAnsi="仿宋_GB2312" w:cs="仿宋_GB2312" w:hint="eastAsia"/>
          <w:color w:val="000000"/>
          <w:szCs w:val="32"/>
        </w:rPr>
        <w:t>不断提升“永修香米”区域品牌和地理证明商标产品的知名度和影响力，依托马口、立新、九合等</w:t>
      </w:r>
      <w:r>
        <w:rPr>
          <w:rFonts w:ascii="仿宋_GB2312" w:eastAsia="仿宋_GB2312" w:hAnsi="仿宋_GB2312" w:cs="仿宋_GB2312"/>
          <w:color w:val="000000"/>
          <w:szCs w:val="32"/>
        </w:rPr>
        <w:t>20</w:t>
      </w:r>
      <w:r>
        <w:rPr>
          <w:rFonts w:ascii="仿宋_GB2312" w:eastAsia="仿宋_GB2312" w:hAnsi="仿宋_GB2312" w:cs="仿宋_GB2312" w:hint="eastAsia"/>
          <w:color w:val="000000"/>
          <w:szCs w:val="32"/>
        </w:rPr>
        <w:t>万亩</w:t>
      </w:r>
      <w:proofErr w:type="gramStart"/>
      <w:r>
        <w:rPr>
          <w:rFonts w:ascii="仿宋_GB2312" w:eastAsia="仿宋_GB2312" w:hAnsi="仿宋_GB2312" w:cs="仿宋_GB2312" w:hint="eastAsia"/>
          <w:color w:val="000000"/>
          <w:szCs w:val="32"/>
        </w:rPr>
        <w:t>香米主</w:t>
      </w:r>
      <w:proofErr w:type="gramEnd"/>
      <w:r>
        <w:rPr>
          <w:rFonts w:ascii="仿宋_GB2312" w:eastAsia="仿宋_GB2312" w:hAnsi="仿宋_GB2312" w:cs="仿宋_GB2312" w:hint="eastAsia"/>
          <w:color w:val="000000"/>
          <w:szCs w:val="32"/>
        </w:rPr>
        <w:t>产区，创建国家级永修香米产业园，打造香米特色小镇。重点改</w:t>
      </w:r>
      <w:r>
        <w:rPr>
          <w:rFonts w:ascii="仿宋_GB2312" w:eastAsia="仿宋_GB2312" w:hAnsi="仿宋_GB2312" w:cs="仿宋_GB2312"/>
          <w:color w:val="000000"/>
          <w:szCs w:val="32"/>
        </w:rPr>
        <w:t>(</w:t>
      </w:r>
      <w:r>
        <w:rPr>
          <w:rFonts w:ascii="仿宋_GB2312" w:eastAsia="仿宋_GB2312" w:hAnsi="仿宋_GB2312" w:cs="仿宋_GB2312" w:hint="eastAsia"/>
          <w:color w:val="000000"/>
          <w:szCs w:val="32"/>
        </w:rPr>
        <w:t>扩</w:t>
      </w:r>
      <w:r>
        <w:rPr>
          <w:rFonts w:ascii="仿宋_GB2312" w:eastAsia="仿宋_GB2312" w:hAnsi="仿宋_GB2312" w:cs="仿宋_GB2312"/>
          <w:color w:val="000000"/>
          <w:szCs w:val="32"/>
        </w:rPr>
        <w:t>)</w:t>
      </w:r>
      <w:r>
        <w:rPr>
          <w:rFonts w:ascii="仿宋_GB2312" w:eastAsia="仿宋_GB2312" w:hAnsi="仿宋_GB2312" w:cs="仿宋_GB2312" w:hint="eastAsia"/>
          <w:color w:val="000000"/>
          <w:szCs w:val="32"/>
        </w:rPr>
        <w:t>建云山、江上、白槎等以“永修蜜桔”地理证明商标产品为主的精品果业主产区，到</w:t>
      </w:r>
      <w:r>
        <w:rPr>
          <w:rFonts w:ascii="仿宋_GB2312" w:eastAsia="仿宋_GB2312" w:hAnsi="仿宋_GB2312" w:cs="仿宋_GB2312"/>
          <w:color w:val="000000"/>
          <w:szCs w:val="32"/>
        </w:rPr>
        <w:t>2025</w:t>
      </w:r>
      <w:r>
        <w:rPr>
          <w:rFonts w:ascii="仿宋_GB2312" w:eastAsia="仿宋_GB2312" w:hAnsi="仿宋_GB2312" w:cs="仿宋_GB2312" w:hint="eastAsia"/>
          <w:color w:val="000000"/>
          <w:szCs w:val="32"/>
        </w:rPr>
        <w:t>年全县柑桔主产区达到</w:t>
      </w:r>
      <w:r>
        <w:rPr>
          <w:rFonts w:ascii="仿宋_GB2312" w:eastAsia="仿宋_GB2312" w:hAnsi="仿宋_GB2312" w:cs="仿宋_GB2312"/>
          <w:color w:val="000000"/>
          <w:szCs w:val="32"/>
        </w:rPr>
        <w:t>10</w:t>
      </w:r>
      <w:r>
        <w:rPr>
          <w:rFonts w:ascii="仿宋_GB2312" w:eastAsia="仿宋_GB2312" w:hAnsi="仿宋_GB2312" w:cs="仿宋_GB2312" w:hint="eastAsia"/>
          <w:color w:val="000000"/>
          <w:szCs w:val="32"/>
        </w:rPr>
        <w:lastRenderedPageBreak/>
        <w:t>万亩。抓住江西振兴中药经济的机遇，做大做强以艾城艾草为主的中草药产业，发展药草观光、中药科普、药膳餐饮、中药体疗、度假康养、</w:t>
      </w:r>
      <w:proofErr w:type="gramStart"/>
      <w:r>
        <w:rPr>
          <w:rFonts w:ascii="仿宋_GB2312" w:eastAsia="仿宋_GB2312" w:hAnsi="仿宋_GB2312" w:cs="仿宋_GB2312" w:hint="eastAsia"/>
          <w:color w:val="000000"/>
          <w:szCs w:val="32"/>
        </w:rPr>
        <w:t>森林康养等</w:t>
      </w:r>
      <w:proofErr w:type="gramEnd"/>
      <w:r>
        <w:rPr>
          <w:rFonts w:ascii="仿宋_GB2312" w:eastAsia="仿宋_GB2312" w:hAnsi="仿宋_GB2312" w:cs="仿宋_GB2312" w:hint="eastAsia"/>
          <w:color w:val="000000"/>
          <w:szCs w:val="32"/>
        </w:rPr>
        <w:t>综合服务新业态，建设南艾产业园和热敏</w:t>
      </w:r>
      <w:proofErr w:type="gramStart"/>
      <w:r>
        <w:rPr>
          <w:rFonts w:ascii="仿宋_GB2312" w:eastAsia="仿宋_GB2312" w:hAnsi="仿宋_GB2312" w:cs="仿宋_GB2312" w:hint="eastAsia"/>
          <w:color w:val="000000"/>
          <w:szCs w:val="32"/>
        </w:rPr>
        <w:t>灸康养</w:t>
      </w:r>
      <w:proofErr w:type="gramEnd"/>
      <w:r>
        <w:rPr>
          <w:rFonts w:ascii="仿宋_GB2312" w:eastAsia="仿宋_GB2312" w:hAnsi="仿宋_GB2312" w:cs="仿宋_GB2312" w:hint="eastAsia"/>
          <w:color w:val="000000"/>
          <w:szCs w:val="32"/>
        </w:rPr>
        <w:t>小镇。进一步扩大城郊蔬菜和设施蔬菜种植面积，合理开发水域面积，</w:t>
      </w:r>
      <w:proofErr w:type="gramStart"/>
      <w:r>
        <w:rPr>
          <w:rFonts w:ascii="仿宋_GB2312" w:eastAsia="仿宋_GB2312" w:hAnsi="仿宋_GB2312" w:cs="仿宋_GB2312" w:hint="eastAsia"/>
          <w:color w:val="000000"/>
          <w:szCs w:val="32"/>
        </w:rPr>
        <w:t>发展稻虾等</w:t>
      </w:r>
      <w:proofErr w:type="gramEnd"/>
      <w:r>
        <w:rPr>
          <w:rFonts w:ascii="仿宋_GB2312" w:eastAsia="仿宋_GB2312" w:hAnsi="仿宋_GB2312" w:cs="仿宋_GB2312" w:hint="eastAsia"/>
          <w:color w:val="000000"/>
          <w:szCs w:val="32"/>
        </w:rPr>
        <w:t>水产业，合理利用森林资源，发展林下经济</w:t>
      </w:r>
      <w:r>
        <w:rPr>
          <w:rFonts w:ascii="仿宋_GB2312" w:eastAsia="仿宋_GB2312" w:hAnsi="仿宋_GB2312" w:cs="仿宋_GB2312"/>
          <w:color w:val="000000"/>
          <w:szCs w:val="32"/>
        </w:rPr>
        <w:t>,</w:t>
      </w:r>
      <w:r>
        <w:rPr>
          <w:rFonts w:ascii="仿宋_GB2312" w:eastAsia="仿宋_GB2312" w:hAnsi="仿宋_GB2312" w:cs="仿宋_GB2312" w:hint="eastAsia"/>
          <w:color w:val="000000"/>
          <w:szCs w:val="32"/>
        </w:rPr>
        <w:t>打造</w:t>
      </w:r>
      <w:r>
        <w:rPr>
          <w:rFonts w:ascii="仿宋_GB2312" w:eastAsia="仿宋_GB2312" w:hAnsi="仿宋_GB2312" w:cs="仿宋_GB2312"/>
          <w:color w:val="000000"/>
          <w:szCs w:val="32"/>
        </w:rPr>
        <w:t>8</w:t>
      </w:r>
      <w:r>
        <w:rPr>
          <w:rFonts w:ascii="仿宋_GB2312" w:eastAsia="仿宋_GB2312" w:hAnsi="仿宋_GB2312" w:cs="仿宋_GB2312" w:hint="eastAsia"/>
          <w:color w:val="000000"/>
          <w:szCs w:val="32"/>
        </w:rPr>
        <w:t>万亩高产油茶基地，着力壮大林业产业。依托云居山禅宗文化，扩大燕山青茶、云</w:t>
      </w:r>
      <w:proofErr w:type="gramStart"/>
      <w:r>
        <w:rPr>
          <w:rFonts w:ascii="仿宋_GB2312" w:eastAsia="仿宋_GB2312" w:hAnsi="仿宋_GB2312" w:cs="仿宋_GB2312" w:hint="eastAsia"/>
          <w:color w:val="000000"/>
          <w:szCs w:val="32"/>
        </w:rPr>
        <w:t>居禅茶</w:t>
      </w:r>
      <w:proofErr w:type="gramEnd"/>
      <w:r>
        <w:rPr>
          <w:rFonts w:ascii="仿宋_GB2312" w:eastAsia="仿宋_GB2312" w:hAnsi="仿宋_GB2312" w:cs="仿宋_GB2312" w:hint="eastAsia"/>
          <w:color w:val="000000"/>
          <w:szCs w:val="32"/>
        </w:rPr>
        <w:t>产能，建设</w:t>
      </w:r>
      <w:proofErr w:type="gramStart"/>
      <w:r>
        <w:rPr>
          <w:rFonts w:ascii="仿宋_GB2312" w:eastAsia="仿宋_GB2312" w:hAnsi="仿宋_GB2312" w:cs="仿宋_GB2312" w:hint="eastAsia"/>
          <w:color w:val="000000"/>
          <w:szCs w:val="32"/>
        </w:rPr>
        <w:t>禅生活茶</w:t>
      </w:r>
      <w:proofErr w:type="gramEnd"/>
      <w:r>
        <w:rPr>
          <w:rFonts w:ascii="仿宋_GB2312" w:eastAsia="仿宋_GB2312" w:hAnsi="仿宋_GB2312" w:cs="仿宋_GB2312" w:hint="eastAsia"/>
          <w:color w:val="000000"/>
          <w:szCs w:val="32"/>
        </w:rPr>
        <w:t>文化小镇，发展主题鲜明、</w:t>
      </w:r>
      <w:proofErr w:type="gramStart"/>
      <w:r>
        <w:rPr>
          <w:rFonts w:ascii="仿宋_GB2312" w:eastAsia="仿宋_GB2312" w:hAnsi="仿宋_GB2312" w:cs="仿宋_GB2312" w:hint="eastAsia"/>
          <w:color w:val="000000"/>
          <w:szCs w:val="32"/>
        </w:rPr>
        <w:t>宜居宜乐</w:t>
      </w:r>
      <w:proofErr w:type="gramEnd"/>
      <w:r>
        <w:rPr>
          <w:rFonts w:ascii="仿宋_GB2312" w:eastAsia="仿宋_GB2312" w:hAnsi="仿宋_GB2312" w:cs="仿宋_GB2312" w:hint="eastAsia"/>
          <w:color w:val="000000"/>
          <w:szCs w:val="32"/>
        </w:rPr>
        <w:t>、观光采摘、农学体验的休闲农业</w:t>
      </w:r>
      <w:r>
        <w:rPr>
          <w:rFonts w:ascii="仿宋_GB2312" w:eastAsia="仿宋_GB2312" w:hAnsi="仿宋_GB2312" w:cs="仿宋_GB2312" w:hint="eastAsia"/>
          <w:szCs w:val="32"/>
        </w:rPr>
        <w:t>。</w:t>
      </w:r>
    </w:p>
    <w:tbl>
      <w:tblPr>
        <w:tblpPr w:leftFromText="180" w:rightFromText="180" w:vertAnchor="text" w:horzAnchor="page" w:tblpXSpec="center" w:tblpYSpec="bottom"/>
        <w:tblOverlap w:val="neve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1"/>
      </w:tblGrid>
      <w:tr w:rsidR="00EE55DB" w14:paraId="3ED02FA7" w14:textId="77777777">
        <w:trPr>
          <w:trHeight w:val="338"/>
          <w:jc w:val="center"/>
        </w:trPr>
        <w:tc>
          <w:tcPr>
            <w:tcW w:w="8311" w:type="dxa"/>
          </w:tcPr>
          <w:p w14:paraId="197529C5"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13  </w:t>
            </w:r>
            <w:r>
              <w:rPr>
                <w:rFonts w:cs="黑体" w:hint="eastAsia"/>
                <w:b/>
                <w:bCs/>
              </w:rPr>
              <w:t>永修</w:t>
            </w:r>
            <w:proofErr w:type="gramStart"/>
            <w:r>
              <w:rPr>
                <w:rFonts w:cs="黑体" w:hint="eastAsia"/>
                <w:b/>
                <w:bCs/>
              </w:rPr>
              <w:t>县现代</w:t>
            </w:r>
            <w:proofErr w:type="gramEnd"/>
            <w:r>
              <w:rPr>
                <w:rFonts w:cs="黑体" w:hint="eastAsia"/>
                <w:b/>
                <w:bCs/>
              </w:rPr>
              <w:t>农业发展格局</w:t>
            </w:r>
          </w:p>
        </w:tc>
      </w:tr>
      <w:tr w:rsidR="00EE55DB" w14:paraId="42580B5C" w14:textId="77777777">
        <w:trPr>
          <w:jc w:val="center"/>
        </w:trPr>
        <w:tc>
          <w:tcPr>
            <w:tcW w:w="8311" w:type="dxa"/>
          </w:tcPr>
          <w:p w14:paraId="53C0DF47" w14:textId="77777777" w:rsidR="00EE55DB" w:rsidRDefault="00000000">
            <w:pPr>
              <w:pStyle w:val="21"/>
              <w:ind w:firstLine="482"/>
              <w:rPr>
                <w:rFonts w:cs="黑体"/>
              </w:rPr>
            </w:pPr>
            <w:r>
              <w:rPr>
                <w:rFonts w:cs="黑体" w:hint="eastAsia"/>
                <w:b/>
                <w:bCs/>
              </w:rPr>
              <w:t>（一）</w:t>
            </w:r>
            <w:proofErr w:type="gramStart"/>
            <w:r>
              <w:rPr>
                <w:rFonts w:cs="黑体" w:hint="eastAsia"/>
                <w:b/>
                <w:bCs/>
              </w:rPr>
              <w:t>一</w:t>
            </w:r>
            <w:proofErr w:type="gramEnd"/>
            <w:r>
              <w:rPr>
                <w:rFonts w:cs="黑体" w:hint="eastAsia"/>
                <w:b/>
                <w:bCs/>
              </w:rPr>
              <w:t>廊：</w:t>
            </w:r>
            <w:proofErr w:type="gramStart"/>
            <w:r>
              <w:rPr>
                <w:rFonts w:cs="黑体" w:hint="eastAsia"/>
              </w:rPr>
              <w:t>沿修河</w:t>
            </w:r>
            <w:proofErr w:type="gramEnd"/>
            <w:r>
              <w:rPr>
                <w:rFonts w:cs="黑体" w:hint="eastAsia"/>
              </w:rPr>
              <w:t>休闲廊道</w:t>
            </w:r>
          </w:p>
          <w:p w14:paraId="294276D1" w14:textId="77777777" w:rsidR="00EE55DB" w:rsidRDefault="00000000">
            <w:pPr>
              <w:pStyle w:val="21"/>
              <w:ind w:firstLine="482"/>
              <w:rPr>
                <w:rFonts w:cs="黑体"/>
              </w:rPr>
            </w:pPr>
            <w:r>
              <w:rPr>
                <w:rFonts w:cs="黑体" w:hint="eastAsia"/>
                <w:b/>
                <w:bCs/>
              </w:rPr>
              <w:t>（二）两带：</w:t>
            </w:r>
            <w:r>
              <w:rPr>
                <w:rFonts w:cs="黑体" w:hint="eastAsia"/>
              </w:rPr>
              <w:t>沿</w:t>
            </w:r>
            <w:r>
              <w:rPr>
                <w:rFonts w:cs="黑体"/>
              </w:rPr>
              <w:t>105</w:t>
            </w:r>
            <w:r>
              <w:rPr>
                <w:rFonts w:cs="黑体" w:hint="eastAsia"/>
              </w:rPr>
              <w:t>国道现代特色农业产业带、</w:t>
            </w:r>
            <w:proofErr w:type="gramStart"/>
            <w:r>
              <w:rPr>
                <w:rFonts w:cs="黑体" w:hint="eastAsia"/>
              </w:rPr>
              <w:t>沿昌九</w:t>
            </w:r>
            <w:proofErr w:type="gramEnd"/>
            <w:r>
              <w:rPr>
                <w:rFonts w:cs="黑体" w:hint="eastAsia"/>
              </w:rPr>
              <w:t>大道高科农业产业带</w:t>
            </w:r>
          </w:p>
          <w:p w14:paraId="75D50976" w14:textId="77777777" w:rsidR="00EE55DB" w:rsidRDefault="00000000">
            <w:pPr>
              <w:pStyle w:val="21"/>
              <w:ind w:firstLine="482"/>
              <w:rPr>
                <w:rFonts w:cs="黑体"/>
              </w:rPr>
            </w:pPr>
            <w:r>
              <w:rPr>
                <w:rFonts w:cs="黑体" w:hint="eastAsia"/>
                <w:b/>
                <w:bCs/>
              </w:rPr>
              <w:t>（三）一园：</w:t>
            </w:r>
            <w:r>
              <w:rPr>
                <w:rFonts w:cs="黑体" w:hint="eastAsia"/>
              </w:rPr>
              <w:t>国家级现代农业产业示范园</w:t>
            </w:r>
          </w:p>
          <w:p w14:paraId="08D8F665" w14:textId="77777777" w:rsidR="00EE55DB" w:rsidRDefault="00000000">
            <w:pPr>
              <w:pStyle w:val="21"/>
              <w:ind w:firstLine="482"/>
              <w:rPr>
                <w:rFonts w:cs="黑体"/>
              </w:rPr>
            </w:pPr>
            <w:r>
              <w:rPr>
                <w:rFonts w:cs="黑体" w:hint="eastAsia"/>
                <w:b/>
                <w:bCs/>
              </w:rPr>
              <w:t>（四）六区：</w:t>
            </w:r>
            <w:r>
              <w:rPr>
                <w:rFonts w:cs="黑体" w:hint="eastAsia"/>
              </w:rPr>
              <w:t>以永修香米为主导的优质大米产业集群区、以永修蜜桔、城郊蔬菜为主打的特色果</w:t>
            </w:r>
            <w:proofErr w:type="gramStart"/>
            <w:r>
              <w:rPr>
                <w:rFonts w:cs="黑体" w:hint="eastAsia"/>
              </w:rPr>
              <w:t>蔬产业</w:t>
            </w:r>
            <w:proofErr w:type="gramEnd"/>
            <w:r>
              <w:rPr>
                <w:rFonts w:cs="黑体" w:hint="eastAsia"/>
              </w:rPr>
              <w:t>集群区、以艾草热敏</w:t>
            </w:r>
            <w:proofErr w:type="gramStart"/>
            <w:r>
              <w:rPr>
                <w:rFonts w:cs="黑体" w:hint="eastAsia"/>
              </w:rPr>
              <w:t>灸</w:t>
            </w:r>
            <w:proofErr w:type="gramEnd"/>
            <w:r>
              <w:rPr>
                <w:rFonts w:cs="黑体" w:hint="eastAsia"/>
              </w:rPr>
              <w:t>为主攻点的中药养生产业集群区、以燕山青为主品牌的高端茶叶产业集群区、以渔业为主需求的特种养殖产业集群区、以休闲观光农业为主方向乡村旅游产业集群区。</w:t>
            </w:r>
          </w:p>
          <w:p w14:paraId="0671445B" w14:textId="77777777" w:rsidR="00EE55DB" w:rsidRDefault="00000000">
            <w:pPr>
              <w:pStyle w:val="21"/>
              <w:ind w:firstLine="482"/>
              <w:rPr>
                <w:rFonts w:cs="黑体"/>
              </w:rPr>
            </w:pPr>
            <w:r>
              <w:rPr>
                <w:rFonts w:cs="黑体" w:hint="eastAsia"/>
                <w:b/>
                <w:bCs/>
              </w:rPr>
              <w:t>（五）多点：</w:t>
            </w:r>
            <w:r>
              <w:rPr>
                <w:rFonts w:cs="黑体" w:hint="eastAsia"/>
              </w:rPr>
              <w:t>依托各乡镇不同的资源特征及区位条件，按照“</w:t>
            </w:r>
            <w:proofErr w:type="gramStart"/>
            <w:r>
              <w:rPr>
                <w:rFonts w:cs="黑体" w:hint="eastAsia"/>
              </w:rPr>
              <w:t>一</w:t>
            </w:r>
            <w:proofErr w:type="gramEnd"/>
            <w:r>
              <w:rPr>
                <w:rFonts w:cs="黑体" w:hint="eastAsia"/>
              </w:rPr>
              <w:t>乡一园”的思路，通过产业的提升和特质项目的注入，打造多个示范园，示范带动</w:t>
            </w:r>
            <w:proofErr w:type="gramStart"/>
            <w:r>
              <w:rPr>
                <w:rFonts w:cs="黑体" w:hint="eastAsia"/>
              </w:rPr>
              <w:t>周边簇群整体</w:t>
            </w:r>
            <w:proofErr w:type="gramEnd"/>
            <w:r>
              <w:rPr>
                <w:rFonts w:cs="黑体" w:hint="eastAsia"/>
              </w:rPr>
              <w:t>发展。</w:t>
            </w:r>
          </w:p>
        </w:tc>
      </w:tr>
    </w:tbl>
    <w:p w14:paraId="46B89A05"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夯实农业基础，提高农业综合生产能力</w:t>
      </w:r>
      <w:bookmarkStart w:id="57" w:name="_Toc25674"/>
      <w:r>
        <w:rPr>
          <w:rFonts w:ascii="仿宋_GB2312" w:eastAsia="仿宋_GB2312" w:hAnsi="仿宋_GB2312" w:cs="仿宋_GB2312" w:hint="eastAsia"/>
          <w:b/>
          <w:bCs/>
          <w:szCs w:val="32"/>
        </w:rPr>
        <w:t>。</w:t>
      </w:r>
      <w:r>
        <w:rPr>
          <w:rFonts w:ascii="仿宋_GB2312" w:eastAsia="仿宋_GB2312" w:hAnsi="仿宋_GB2312" w:cs="仿宋_GB2312" w:hint="eastAsia"/>
          <w:color w:val="000000"/>
          <w:szCs w:val="32"/>
        </w:rPr>
        <w:t>深入实施“藏粮于地、藏粮于技”战略，进一步严守耕地红线，</w:t>
      </w:r>
      <w:r>
        <w:rPr>
          <w:rFonts w:ascii="仿宋_GB2312" w:eastAsia="仿宋_GB2312" w:hAnsi="仿宋_GB2312" w:cs="仿宋_GB2312"/>
          <w:color w:val="000000"/>
          <w:szCs w:val="32"/>
        </w:rPr>
        <w:t>45</w:t>
      </w:r>
      <w:r>
        <w:rPr>
          <w:rFonts w:ascii="仿宋_GB2312" w:eastAsia="仿宋_GB2312" w:hAnsi="仿宋_GB2312" w:cs="仿宋_GB2312" w:hint="eastAsia"/>
          <w:color w:val="000000"/>
          <w:szCs w:val="32"/>
        </w:rPr>
        <w:t>万亩高标准农田作用得到更多的优化与开发，全面落实粮食安全责</w:t>
      </w:r>
      <w:r>
        <w:rPr>
          <w:rFonts w:ascii="仿宋_GB2312" w:eastAsia="仿宋_GB2312" w:hAnsi="仿宋_GB2312" w:cs="仿宋_GB2312" w:hint="eastAsia"/>
          <w:color w:val="000000"/>
          <w:szCs w:val="32"/>
        </w:rPr>
        <w:lastRenderedPageBreak/>
        <w:t>任制，全县水稻种植面积</w:t>
      </w:r>
      <w:r>
        <w:rPr>
          <w:rFonts w:ascii="仿宋_GB2312" w:eastAsia="仿宋_GB2312" w:hAnsi="仿宋_GB2312" w:cs="仿宋_GB2312"/>
          <w:color w:val="000000"/>
          <w:szCs w:val="32"/>
        </w:rPr>
        <w:t>53</w:t>
      </w:r>
      <w:r>
        <w:rPr>
          <w:rFonts w:ascii="仿宋_GB2312" w:eastAsia="仿宋_GB2312" w:hAnsi="仿宋_GB2312" w:cs="仿宋_GB2312" w:hint="eastAsia"/>
          <w:color w:val="000000"/>
          <w:szCs w:val="32"/>
        </w:rPr>
        <w:t>万亩，每年粮食总产量稳定在</w:t>
      </w:r>
      <w:r>
        <w:rPr>
          <w:rFonts w:ascii="仿宋_GB2312" w:eastAsia="仿宋_GB2312" w:hAnsi="仿宋_GB2312" w:cs="仿宋_GB2312"/>
          <w:color w:val="000000"/>
          <w:szCs w:val="32"/>
        </w:rPr>
        <w:t>26</w:t>
      </w:r>
      <w:r>
        <w:rPr>
          <w:rFonts w:ascii="仿宋_GB2312" w:eastAsia="仿宋_GB2312" w:hAnsi="仿宋_GB2312" w:cs="仿宋_GB2312" w:hint="eastAsia"/>
          <w:color w:val="000000"/>
          <w:szCs w:val="32"/>
        </w:rPr>
        <w:t>万吨以上。</w:t>
      </w:r>
      <w:r>
        <w:rPr>
          <w:rFonts w:ascii="仿宋_GB2312" w:eastAsia="仿宋_GB2312" w:hAnsi="仿宋_GB2312" w:cs="仿宋_GB2312" w:hint="eastAsia"/>
          <w:szCs w:val="32"/>
        </w:rPr>
        <w:t>加强对土壤的污染治理。减少用化学农药来对抗病虫害，增强农作物的抵抗能力。推进重金属污染耕地防控和修复，开展土壤污染治理与修复技术应用试点，通过种养结合等模式从源头上保护提升耕地质量</w:t>
      </w:r>
      <w:bookmarkStart w:id="58" w:name="_Toc16469"/>
      <w:bookmarkStart w:id="59" w:name="_Toc5927"/>
      <w:r>
        <w:rPr>
          <w:rFonts w:ascii="仿宋_GB2312" w:eastAsia="仿宋_GB2312" w:hAnsi="仿宋_GB2312" w:cs="仿宋_GB2312" w:hint="eastAsia"/>
          <w:szCs w:val="32"/>
        </w:rPr>
        <w:t>。提升农田灌溉设施水平</w:t>
      </w:r>
      <w:bookmarkEnd w:id="58"/>
      <w:bookmarkEnd w:id="59"/>
      <w:r>
        <w:rPr>
          <w:rFonts w:ascii="仿宋_GB2312" w:eastAsia="仿宋_GB2312" w:hAnsi="仿宋_GB2312" w:cs="仿宋_GB2312" w:hint="eastAsia"/>
          <w:szCs w:val="32"/>
        </w:rPr>
        <w:t>。加快水利重大项目建设步伐，实施中小型灌区续建配套与节水改造、排灌泵站更新改造与建设，提高农田的排灌能力；坚持防汛抗旱两手抓，全力推进水利工程标准化建设。推进小型农田水利建设，改善农田灌溉条件，基本完成水库、山塘整治与建设任务；加大节水灌溉示范项目建设力度，改善农业生产条件。</w:t>
      </w:r>
      <w:bookmarkStart w:id="60" w:name="_Toc24246"/>
      <w:bookmarkStart w:id="61" w:name="_Toc4730"/>
      <w:r>
        <w:rPr>
          <w:rFonts w:ascii="仿宋_GB2312" w:eastAsia="仿宋_GB2312" w:hAnsi="仿宋_GB2312" w:cs="仿宋_GB2312" w:hint="eastAsia"/>
          <w:szCs w:val="32"/>
        </w:rPr>
        <w:t>提高农业机械化水平</w:t>
      </w:r>
      <w:bookmarkEnd w:id="60"/>
      <w:bookmarkEnd w:id="61"/>
      <w:r>
        <w:rPr>
          <w:rFonts w:ascii="仿宋_GB2312" w:eastAsia="仿宋_GB2312" w:hAnsi="仿宋_GB2312" w:cs="仿宋_GB2312" w:hint="eastAsia"/>
          <w:szCs w:val="32"/>
        </w:rPr>
        <w:t>。大力发展智能化、高端农机装备，建设一批</w:t>
      </w:r>
      <w:r>
        <w:rPr>
          <w:rFonts w:ascii="仿宋_GB2312" w:eastAsia="仿宋_GB2312" w:hAnsi="仿宋_GB2312" w:cs="仿宋_GB2312"/>
          <w:szCs w:val="32"/>
        </w:rPr>
        <w:t>50</w:t>
      </w:r>
      <w:r>
        <w:rPr>
          <w:rFonts w:ascii="仿宋_GB2312" w:eastAsia="仿宋_GB2312" w:hAnsi="仿宋_GB2312" w:cs="仿宋_GB2312" w:hint="eastAsia"/>
          <w:szCs w:val="32"/>
        </w:rPr>
        <w:t>亩以上的水稻生产全程机械化示范基地。</w:t>
      </w:r>
      <w:bookmarkStart w:id="62" w:name="_Toc9003"/>
      <w:bookmarkStart w:id="63" w:name="_Toc25266"/>
      <w:r>
        <w:rPr>
          <w:rFonts w:ascii="仿宋_GB2312" w:eastAsia="仿宋_GB2312" w:hAnsi="仿宋_GB2312" w:cs="仿宋_GB2312" w:hint="eastAsia"/>
          <w:szCs w:val="32"/>
        </w:rPr>
        <w:t>促进农机农艺融合，发展农机专业合作社，加强先进适用、安全可靠、生产急需的农业机械引进推广，提高农机装备智能决策和精准作业能力，到</w:t>
      </w:r>
      <w:r>
        <w:rPr>
          <w:rFonts w:ascii="仿宋_GB2312" w:eastAsia="仿宋_GB2312" w:hAnsi="仿宋_GB2312" w:cs="仿宋_GB2312"/>
          <w:szCs w:val="32"/>
        </w:rPr>
        <w:t>2025</w:t>
      </w:r>
      <w:r>
        <w:rPr>
          <w:rFonts w:ascii="仿宋_GB2312" w:eastAsia="仿宋_GB2312" w:hAnsi="仿宋_GB2312" w:cs="仿宋_GB2312" w:hint="eastAsia"/>
          <w:szCs w:val="32"/>
        </w:rPr>
        <w:t>年，建设农机专业合作社</w:t>
      </w:r>
      <w:r>
        <w:rPr>
          <w:rFonts w:ascii="仿宋_GB2312" w:eastAsia="仿宋_GB2312" w:hAnsi="仿宋_GB2312" w:cs="仿宋_GB2312"/>
          <w:szCs w:val="32"/>
        </w:rPr>
        <w:t>52</w:t>
      </w:r>
      <w:r>
        <w:rPr>
          <w:rFonts w:ascii="仿宋_GB2312" w:eastAsia="仿宋_GB2312" w:hAnsi="仿宋_GB2312" w:cs="仿宋_GB2312" w:hint="eastAsia"/>
          <w:szCs w:val="32"/>
        </w:rPr>
        <w:t>个以上，主要农机装备数量稳步增长，装备结构更加合理。加强农业防灾减灾能力建设</w:t>
      </w:r>
      <w:bookmarkEnd w:id="62"/>
      <w:bookmarkEnd w:id="63"/>
      <w:r>
        <w:rPr>
          <w:rFonts w:ascii="仿宋_GB2312" w:eastAsia="仿宋_GB2312" w:hAnsi="仿宋_GB2312" w:cs="仿宋_GB2312" w:hint="eastAsia"/>
          <w:szCs w:val="32"/>
        </w:rPr>
        <w:t>。加快构建布局合理、覆盖全县的监测预警体系和疫情灾害应急处置体系，重点支持应急防控、专业化统防统治、绿色防控。进一步推进植保田间工程建设，提升农作物有害生物监测预警及防控、农药监管、植保科技支撑等能力，严格执行疫情报告制度和重大疫情风险分析制度，提高疫病防控和扑灭能力，</w:t>
      </w:r>
      <w:r>
        <w:rPr>
          <w:rFonts w:ascii="仿宋_GB2312" w:eastAsia="仿宋_GB2312" w:hAnsi="仿宋_GB2312" w:cs="仿宋_GB2312" w:hint="eastAsia"/>
          <w:szCs w:val="32"/>
        </w:rPr>
        <w:lastRenderedPageBreak/>
        <w:t>降低种养业生产风险。建立和完善动物疫情监控网络体。</w:t>
      </w:r>
      <w:bookmarkStart w:id="64" w:name="_Toc16306"/>
      <w:bookmarkStart w:id="65" w:name="_Toc28141"/>
      <w:r>
        <w:rPr>
          <w:rFonts w:ascii="仿宋_GB2312" w:eastAsia="仿宋_GB2312" w:hAnsi="仿宋_GB2312" w:cs="仿宋_GB2312" w:hint="eastAsia"/>
          <w:szCs w:val="32"/>
        </w:rPr>
        <w:t>加强农业生产服务能力建设</w:t>
      </w:r>
      <w:bookmarkEnd w:id="64"/>
      <w:bookmarkEnd w:id="65"/>
      <w:r>
        <w:rPr>
          <w:rFonts w:ascii="仿宋_GB2312" w:eastAsia="仿宋_GB2312" w:hAnsi="仿宋_GB2312" w:cs="仿宋_GB2312" w:hint="eastAsia"/>
          <w:szCs w:val="32"/>
        </w:rPr>
        <w:t>推进高标准粮田气象保障工程建设，积极对接农业气象试验站和气象防灾减灾科技园，大力发展智慧气象，推行“惠农气象”</w:t>
      </w:r>
      <w:r>
        <w:rPr>
          <w:rFonts w:ascii="仿宋_GB2312" w:eastAsia="仿宋_GB2312" w:hAnsi="仿宋_GB2312" w:cs="仿宋_GB2312"/>
          <w:szCs w:val="32"/>
        </w:rPr>
        <w:t>APP</w:t>
      </w:r>
      <w:r>
        <w:rPr>
          <w:rFonts w:ascii="仿宋_GB2312" w:eastAsia="仿宋_GB2312" w:hAnsi="仿宋_GB2312" w:cs="仿宋_GB2312" w:hint="eastAsia"/>
          <w:szCs w:val="32"/>
        </w:rPr>
        <w:t>在基层的广泛应用，提升气象为农服务支撑保障能力。加强粮食产后服务，构建安全高效、一体化运作的粮食物流网络。完善农业保险政策体系，设计多层次、可选择、不同保障水平的保险产品。</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2"/>
      </w:tblGrid>
      <w:tr w:rsidR="00EE55DB" w14:paraId="2952EA82" w14:textId="77777777">
        <w:trPr>
          <w:jc w:val="center"/>
        </w:trPr>
        <w:tc>
          <w:tcPr>
            <w:tcW w:w="8272" w:type="dxa"/>
          </w:tcPr>
          <w:p w14:paraId="32F9843D"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14  </w:t>
            </w:r>
            <w:r>
              <w:rPr>
                <w:rFonts w:cs="黑体" w:hint="eastAsia"/>
                <w:b/>
                <w:bCs/>
              </w:rPr>
              <w:t>提升农业综合生产能力重点工程</w:t>
            </w:r>
          </w:p>
        </w:tc>
      </w:tr>
      <w:tr w:rsidR="00EE55DB" w14:paraId="0E39A2AC" w14:textId="77777777">
        <w:trPr>
          <w:jc w:val="center"/>
        </w:trPr>
        <w:tc>
          <w:tcPr>
            <w:tcW w:w="8272" w:type="dxa"/>
          </w:tcPr>
          <w:p w14:paraId="6CFB489A" w14:textId="77777777" w:rsidR="00EE55DB" w:rsidRDefault="00000000">
            <w:pPr>
              <w:ind w:firstLine="482"/>
              <w:rPr>
                <w:rFonts w:ascii="宋体" w:eastAsia="宋体" w:hAnsi="宋体" w:cs="黑体"/>
                <w:sz w:val="24"/>
              </w:rPr>
            </w:pPr>
            <w:r>
              <w:rPr>
                <w:rFonts w:ascii="宋体" w:eastAsia="宋体" w:hAnsi="宋体" w:cs="黑体" w:hint="eastAsia"/>
                <w:b/>
                <w:bCs/>
                <w:sz w:val="24"/>
              </w:rPr>
              <w:t>（一）农业基础设施建设工程。</w:t>
            </w:r>
            <w:r>
              <w:rPr>
                <w:rFonts w:ascii="宋体" w:eastAsia="宋体" w:hAnsi="宋体" w:cs="黑体" w:hint="eastAsia"/>
                <w:sz w:val="24"/>
              </w:rPr>
              <w:t>按照标准化设计、工程化施工、精细化管理要求，着力加强高标准农田基础设施建设，全面完成后期的高标准农田建设</w:t>
            </w:r>
            <w:r>
              <w:rPr>
                <w:rFonts w:ascii="宋体" w:eastAsia="宋体" w:hAnsi="宋体" w:cs="黑体"/>
                <w:sz w:val="24"/>
              </w:rPr>
              <w:t>12.4</w:t>
            </w:r>
            <w:r>
              <w:rPr>
                <w:rFonts w:ascii="宋体" w:eastAsia="宋体" w:hAnsi="宋体" w:cs="黑体" w:hint="eastAsia"/>
                <w:sz w:val="24"/>
              </w:rPr>
              <w:t>万亩，实现“田成方、渠相通、路相连、旱能灌、涝能排”的高标准农田，提高设施农业比例，提升农业生产物质装备，改善农业生产基础条件，打造永修现代农业发展载体。</w:t>
            </w:r>
          </w:p>
          <w:p w14:paraId="7F1D31CE" w14:textId="77777777" w:rsidR="00EE55DB" w:rsidRDefault="00000000">
            <w:pPr>
              <w:ind w:firstLine="482"/>
              <w:rPr>
                <w:rFonts w:ascii="宋体" w:eastAsia="宋体" w:hAnsi="宋体" w:cs="黑体"/>
                <w:sz w:val="24"/>
              </w:rPr>
            </w:pPr>
            <w:r>
              <w:rPr>
                <w:rFonts w:ascii="宋体" w:eastAsia="宋体" w:hAnsi="宋体" w:cs="黑体" w:hint="eastAsia"/>
                <w:b/>
                <w:bCs/>
                <w:sz w:val="24"/>
              </w:rPr>
              <w:t>（二）耕地重金属污染修复工程。</w:t>
            </w:r>
            <w:r>
              <w:rPr>
                <w:rFonts w:ascii="宋体" w:eastAsia="宋体" w:hAnsi="宋体" w:cs="黑体" w:hint="eastAsia"/>
                <w:sz w:val="24"/>
              </w:rPr>
              <w:t>开展农用地土壤污染状况详查，着力解决土壤酸化问题，继续开展重金属污染耕地修复及种植结构调整试点。加强土壤监测，对污染土壤实施客土置换、生物修复，争取改善土地使用性质。</w:t>
            </w:r>
          </w:p>
          <w:p w14:paraId="1E0CA167" w14:textId="77777777" w:rsidR="00EE55DB" w:rsidRDefault="00000000">
            <w:pPr>
              <w:ind w:firstLine="482"/>
              <w:rPr>
                <w:rFonts w:ascii="宋体" w:eastAsia="宋体" w:hAnsi="宋体" w:cs="黑体"/>
                <w:sz w:val="24"/>
              </w:rPr>
            </w:pPr>
            <w:r>
              <w:rPr>
                <w:rFonts w:ascii="宋体" w:eastAsia="宋体" w:hAnsi="宋体" w:cs="黑体" w:hint="eastAsia"/>
                <w:b/>
                <w:bCs/>
                <w:sz w:val="24"/>
              </w:rPr>
              <w:t>（三）现代农田灌排建设工程。</w:t>
            </w:r>
            <w:r>
              <w:rPr>
                <w:rFonts w:ascii="宋体" w:eastAsia="宋体" w:hAnsi="宋体" w:cs="黑体" w:hint="eastAsia"/>
                <w:sz w:val="24"/>
              </w:rPr>
              <w:t>加快农田水利建设步伐，因地制宜兴建、提升中小型农田水利设施，完善大中型灌区续建配套与节水改造建设，推进小型病险水库除险加固建设，实施山塘整治工程建设，全面完善农田排灌体系，打通农田水利“最后一公里”。</w:t>
            </w:r>
          </w:p>
          <w:p w14:paraId="65989FBE" w14:textId="77777777" w:rsidR="00EE55DB" w:rsidRDefault="00000000">
            <w:pPr>
              <w:ind w:firstLine="482"/>
              <w:rPr>
                <w:rFonts w:ascii="宋体" w:eastAsia="宋体" w:hAnsi="宋体" w:cs="黑体"/>
                <w:sz w:val="24"/>
              </w:rPr>
            </w:pPr>
            <w:r>
              <w:rPr>
                <w:rFonts w:ascii="宋体" w:eastAsia="宋体" w:hAnsi="宋体" w:cs="黑体" w:hint="eastAsia"/>
                <w:b/>
                <w:bCs/>
                <w:sz w:val="24"/>
              </w:rPr>
              <w:t>（四）农业装备和信息化水平提升工程。</w:t>
            </w:r>
            <w:r>
              <w:rPr>
                <w:rFonts w:ascii="宋体" w:eastAsia="宋体" w:hAnsi="宋体" w:cs="黑体" w:hint="eastAsia"/>
                <w:sz w:val="24"/>
              </w:rPr>
              <w:t>推进农机装备和农业机械化转型升级，加快高端农机装备和果蔬茶生产、畜禽水产养殖等农机装备的生产研发、推广应用。加强农业物联网、智能装备的推广应用，在现代农业示范区率先建设农业物联网示范基地。</w:t>
            </w:r>
          </w:p>
          <w:p w14:paraId="2B352620" w14:textId="77777777" w:rsidR="00EE55DB" w:rsidRDefault="00000000">
            <w:pPr>
              <w:ind w:firstLine="482"/>
              <w:rPr>
                <w:rFonts w:ascii="宋体" w:eastAsia="宋体" w:hAnsi="宋体" w:cs="黑体"/>
                <w:sz w:val="24"/>
              </w:rPr>
            </w:pPr>
            <w:r>
              <w:rPr>
                <w:rFonts w:ascii="宋体" w:eastAsia="宋体" w:hAnsi="宋体" w:cs="黑体" w:hint="eastAsia"/>
                <w:b/>
                <w:bCs/>
                <w:sz w:val="24"/>
              </w:rPr>
              <w:t>（五）现代种业提升工程。</w:t>
            </w:r>
            <w:r>
              <w:rPr>
                <w:rFonts w:ascii="宋体" w:eastAsia="宋体" w:hAnsi="宋体" w:cs="黑体" w:hint="eastAsia"/>
                <w:sz w:val="24"/>
              </w:rPr>
              <w:t>加大优势特色产业农业良种研发能力和繁育推广能力，大力支持水稻、果蔬、水产等产业的</w:t>
            </w:r>
            <w:proofErr w:type="gramStart"/>
            <w:r>
              <w:rPr>
                <w:rFonts w:ascii="宋体" w:eastAsia="宋体" w:hAnsi="宋体" w:cs="黑体" w:hint="eastAsia"/>
                <w:sz w:val="24"/>
              </w:rPr>
              <w:t>良繁基地</w:t>
            </w:r>
            <w:proofErr w:type="gramEnd"/>
            <w:r>
              <w:rPr>
                <w:rFonts w:ascii="宋体" w:eastAsia="宋体" w:hAnsi="宋体" w:cs="黑体" w:hint="eastAsia"/>
                <w:sz w:val="24"/>
              </w:rPr>
              <w:t>建设，加大在云山集团、燕坊镇、</w:t>
            </w:r>
            <w:proofErr w:type="gramStart"/>
            <w:r>
              <w:rPr>
                <w:rFonts w:ascii="宋体" w:eastAsia="宋体" w:hAnsi="宋体" w:cs="黑体" w:hint="eastAsia"/>
                <w:sz w:val="24"/>
              </w:rPr>
              <w:t>滩溪镇</w:t>
            </w:r>
            <w:proofErr w:type="gramEnd"/>
            <w:r>
              <w:rPr>
                <w:rFonts w:ascii="宋体" w:eastAsia="宋体" w:hAnsi="宋体" w:cs="黑体" w:hint="eastAsia"/>
                <w:sz w:val="24"/>
              </w:rPr>
              <w:t>、艾城镇等乡</w:t>
            </w:r>
            <w:r>
              <w:rPr>
                <w:rFonts w:ascii="宋体" w:eastAsia="宋体" w:hAnsi="宋体" w:cs="黑体"/>
                <w:sz w:val="24"/>
              </w:rPr>
              <w:t>(</w:t>
            </w:r>
            <w:r>
              <w:rPr>
                <w:rFonts w:ascii="宋体" w:eastAsia="宋体" w:hAnsi="宋体" w:cs="黑体" w:hint="eastAsia"/>
                <w:sz w:val="24"/>
              </w:rPr>
              <w:t>镇</w:t>
            </w:r>
            <w:r>
              <w:rPr>
                <w:rFonts w:ascii="宋体" w:eastAsia="宋体" w:hAnsi="宋体" w:cs="黑体"/>
                <w:sz w:val="24"/>
              </w:rPr>
              <w:t>)</w:t>
            </w:r>
            <w:r>
              <w:rPr>
                <w:rFonts w:ascii="宋体" w:eastAsia="宋体" w:hAnsi="宋体" w:cs="黑体" w:hint="eastAsia"/>
                <w:sz w:val="24"/>
              </w:rPr>
              <w:t>开展新品种展示，全面提高全县现代良种覆</w:t>
            </w:r>
            <w:r>
              <w:rPr>
                <w:rFonts w:ascii="宋体" w:eastAsia="宋体" w:hAnsi="宋体" w:cs="黑体" w:hint="eastAsia"/>
                <w:sz w:val="24"/>
              </w:rPr>
              <w:lastRenderedPageBreak/>
              <w:t>盖率。</w:t>
            </w:r>
          </w:p>
          <w:p w14:paraId="310454E5" w14:textId="77777777" w:rsidR="00EE55DB" w:rsidRDefault="00000000">
            <w:pPr>
              <w:pStyle w:val="21"/>
              <w:ind w:firstLine="482"/>
              <w:rPr>
                <w:rFonts w:cs="黑体"/>
              </w:rPr>
            </w:pPr>
            <w:r>
              <w:rPr>
                <w:rFonts w:cs="黑体" w:hint="eastAsia"/>
                <w:b/>
                <w:bCs/>
                <w:highlight w:val="yellow"/>
              </w:rPr>
              <w:t>（六）气象为农服务能力提升工程。</w:t>
            </w:r>
            <w:r>
              <w:rPr>
                <w:rFonts w:cs="黑体" w:hint="eastAsia"/>
                <w:highlight w:val="yellow"/>
              </w:rPr>
              <w:t>高质量完成“乡村振兴气象保障工程”</w:t>
            </w:r>
            <w:r>
              <w:rPr>
                <w:rFonts w:cs="黑体"/>
                <w:highlight w:val="yellow"/>
              </w:rPr>
              <w:t>,</w:t>
            </w:r>
            <w:r>
              <w:rPr>
                <w:rFonts w:cs="黑体" w:hint="eastAsia"/>
                <w:highlight w:val="yellow"/>
              </w:rPr>
              <w:t>利用农业气象试验站平台，监督好永修天气气象，制作发布农业气象服务旬报、月报、春耕春播专报、夏收夏种专报及秋收</w:t>
            </w:r>
            <w:proofErr w:type="gramStart"/>
            <w:r>
              <w:rPr>
                <w:rFonts w:cs="黑体" w:hint="eastAsia"/>
                <w:highlight w:val="yellow"/>
              </w:rPr>
              <w:t>秋种专报</w:t>
            </w:r>
            <w:proofErr w:type="gramEnd"/>
            <w:r>
              <w:rPr>
                <w:rFonts w:cs="黑体" w:hint="eastAsia"/>
                <w:highlight w:val="yellow"/>
              </w:rPr>
              <w:t>等常规农业气象服务产品，提升气象为农服务能力。</w:t>
            </w:r>
          </w:p>
        </w:tc>
      </w:tr>
    </w:tbl>
    <w:bookmarkEnd w:id="57"/>
    <w:p w14:paraId="54224CEA" w14:textId="77777777" w:rsidR="00EE55DB" w:rsidRDefault="00000000">
      <w:pPr>
        <w:ind w:firstLine="643"/>
        <w:rPr>
          <w:rFonts w:ascii="仿宋_GB2312" w:eastAsia="仿宋_GB2312" w:hAnsi="仿宋_GB2312" w:cs="仿宋_GB2312"/>
          <w:szCs w:val="32"/>
        </w:rPr>
      </w:pPr>
      <w:r>
        <w:rPr>
          <w:rFonts w:hint="eastAsia"/>
          <w:b/>
          <w:bCs/>
        </w:rPr>
        <w:lastRenderedPageBreak/>
        <w:t>延伸农村产业链，推动三产融合发展。</w:t>
      </w:r>
      <w:bookmarkStart w:id="66" w:name="_Toc29366"/>
      <w:bookmarkStart w:id="67" w:name="_Toc8894"/>
      <w:r>
        <w:rPr>
          <w:rFonts w:ascii="仿宋_GB2312" w:eastAsia="仿宋_GB2312" w:hAnsi="仿宋_GB2312" w:cs="仿宋_GB2312" w:hint="eastAsia"/>
          <w:szCs w:val="32"/>
        </w:rPr>
        <w:t>以“延伸产业链，打造供应链，提升价值链，共享利益链”为核心，引进一批实力雄厚、技术一流、竞争力强、影响力大的农业生产、精深加工、物流销售、休闲农业与乡村旅游企业，促进一二三产业融合发展。提升永修香米、永修蜜桔、艾城艾草等绿色食品产业链系列产品的精深加工水平，加快推进农村电子商务建设，完善农产品物流配送体系，促进休闲农业与现代服务业深度融合</w:t>
      </w:r>
      <w:bookmarkEnd w:id="66"/>
      <w:bookmarkEnd w:id="67"/>
      <w:r>
        <w:rPr>
          <w:rFonts w:ascii="仿宋_GB2312" w:eastAsia="仿宋_GB2312" w:hAnsi="仿宋_GB2312" w:cs="仿宋_GB2312" w:hint="eastAsia"/>
          <w:szCs w:val="32"/>
        </w:rPr>
        <w:t>，大引擎大驱动多组团构建全域乡村旅游网络。以打造“中国最休闲周末度假地”为市场定位，“青山绿水，永修醉美”的形象定位，构建以“鹤湖中药生态度假引擎、农禅访古文化休闲引擎、候鸟休闲度假驱动、农禅文化康养驱动、样式雷文化休闲驱动、城郊农业体验驱动”为主的“双引擎、四驱动”全域乡村旅游网络体系。</w:t>
      </w:r>
      <w:bookmarkStart w:id="68" w:name="_Toc26451"/>
      <w:bookmarkStart w:id="69" w:name="_Toc27885"/>
    </w:p>
    <w:p w14:paraId="42EDA232" w14:textId="77777777" w:rsidR="00EE55DB" w:rsidRDefault="00000000">
      <w:pPr>
        <w:pStyle w:val="2"/>
        <w:spacing w:before="156" w:after="156"/>
      </w:pPr>
      <w:bookmarkStart w:id="70" w:name="_Toc19090"/>
      <w:bookmarkEnd w:id="68"/>
      <w:bookmarkEnd w:id="69"/>
      <w:r>
        <w:rPr>
          <w:rFonts w:hint="eastAsia"/>
        </w:rPr>
        <w:t>第二节</w:t>
      </w:r>
      <w:r>
        <w:t xml:space="preserve"> </w:t>
      </w:r>
      <w:r>
        <w:rPr>
          <w:rFonts w:hint="eastAsia"/>
        </w:rPr>
        <w:t>积极改善农村人居环境</w:t>
      </w:r>
      <w:bookmarkEnd w:id="70"/>
    </w:p>
    <w:p w14:paraId="3174354D" w14:textId="77777777" w:rsidR="00EE55DB" w:rsidRDefault="00000000">
      <w:pPr>
        <w:ind w:firstLine="643"/>
        <w:rPr>
          <w:rFonts w:ascii="仿宋_GB2312" w:eastAsia="仿宋_GB2312" w:hAnsi="仿宋_GB2312" w:cs="仿宋_GB2312"/>
          <w:szCs w:val="32"/>
          <w:lang w:val="zh-CN"/>
        </w:rPr>
      </w:pPr>
      <w:r>
        <w:rPr>
          <w:rFonts w:hint="eastAsia"/>
          <w:b/>
          <w:bCs/>
          <w:lang w:val="zh-CN"/>
        </w:rPr>
        <w:t>全</w:t>
      </w:r>
      <w:r>
        <w:rPr>
          <w:rFonts w:hint="eastAsia"/>
          <w:b/>
          <w:bCs/>
        </w:rPr>
        <w:t>面提升村容村貌。</w:t>
      </w:r>
      <w:r>
        <w:rPr>
          <w:rFonts w:ascii="仿宋_GB2312" w:eastAsia="仿宋_GB2312" w:hAnsi="仿宋_GB2312" w:cs="仿宋_GB2312" w:hint="eastAsia"/>
        </w:rPr>
        <w:t>围绕“拆、改、建、清、管”五大重点，持续开展全县新农村建设扫尾和提升工程。一般自然村全面开展“七改三网”建设，努力补齐影响农民群众生活品质的短板；中心村在高标准实施“七改三网”建设基础上，</w:t>
      </w:r>
      <w:r>
        <w:rPr>
          <w:rFonts w:ascii="仿宋_GB2312" w:eastAsia="仿宋_GB2312" w:hAnsi="仿宋_GB2312" w:cs="仿宋_GB2312" w:hint="eastAsia"/>
        </w:rPr>
        <w:lastRenderedPageBreak/>
        <w:t>因地制宜、科学配置“</w:t>
      </w:r>
      <w:r>
        <w:rPr>
          <w:rFonts w:ascii="仿宋_GB2312" w:eastAsia="仿宋_GB2312" w:hAnsi="仿宋_GB2312" w:cs="仿宋_GB2312"/>
        </w:rPr>
        <w:t>8+4</w:t>
      </w:r>
      <w:r>
        <w:rPr>
          <w:rFonts w:ascii="仿宋_GB2312" w:eastAsia="仿宋_GB2312" w:hAnsi="仿宋_GB2312" w:cs="仿宋_GB2312" w:hint="eastAsia"/>
        </w:rPr>
        <w:t>”综合服务设施，持续实施城乡供水、交通、教育、文化、卫生一体化，促进基本公共服务向农村延伸。结合开展“三个一”示范创建，全面推进美丽宜居示范乡（村）创建，实现</w:t>
      </w:r>
      <w:r>
        <w:rPr>
          <w:rFonts w:ascii="仿宋_GB2312" w:eastAsia="仿宋_GB2312" w:hAnsi="仿宋_GB2312" w:cs="仿宋_GB2312"/>
        </w:rPr>
        <w:t>200</w:t>
      </w:r>
      <w:r>
        <w:rPr>
          <w:rFonts w:ascii="仿宋_GB2312" w:eastAsia="仿宋_GB2312" w:hAnsi="仿宋_GB2312" w:cs="仿宋_GB2312" w:hint="eastAsia"/>
        </w:rPr>
        <w:t>个新农村高标准提升建设，创建</w:t>
      </w:r>
      <w:r>
        <w:rPr>
          <w:rFonts w:ascii="仿宋_GB2312" w:eastAsia="仿宋_GB2312" w:hAnsi="仿宋_GB2312" w:cs="仿宋_GB2312"/>
        </w:rPr>
        <w:t>3000</w:t>
      </w:r>
      <w:r>
        <w:rPr>
          <w:rFonts w:ascii="仿宋_GB2312" w:eastAsia="仿宋_GB2312" w:hAnsi="仿宋_GB2312" w:cs="仿宋_GB2312" w:hint="eastAsia"/>
        </w:rPr>
        <w:t>户美丽示范农户庭院、</w:t>
      </w:r>
      <w:r>
        <w:rPr>
          <w:rFonts w:ascii="仿宋_GB2312" w:eastAsia="仿宋_GB2312" w:hAnsi="仿宋_GB2312" w:cs="仿宋_GB2312"/>
        </w:rPr>
        <w:t>90</w:t>
      </w:r>
      <w:r>
        <w:rPr>
          <w:rFonts w:ascii="仿宋_GB2312" w:eastAsia="仿宋_GB2312" w:hAnsi="仿宋_GB2312" w:cs="仿宋_GB2312" w:hint="eastAsia"/>
        </w:rPr>
        <w:t>个美丽宜居村庄、</w:t>
      </w:r>
      <w:r>
        <w:rPr>
          <w:rFonts w:ascii="仿宋_GB2312" w:eastAsia="仿宋_GB2312" w:hAnsi="仿宋_GB2312" w:cs="仿宋_GB2312"/>
        </w:rPr>
        <w:t>3</w:t>
      </w:r>
      <w:r>
        <w:rPr>
          <w:rFonts w:ascii="仿宋_GB2312" w:eastAsia="仿宋_GB2312" w:hAnsi="仿宋_GB2312" w:cs="仿宋_GB2312" w:hint="eastAsia"/>
        </w:rPr>
        <w:t>个美丽示范乡镇，巩固提升</w:t>
      </w:r>
      <w:r>
        <w:rPr>
          <w:rFonts w:ascii="仿宋_GB2312" w:eastAsia="仿宋_GB2312" w:hAnsi="仿宋_GB2312" w:cs="仿宋_GB2312"/>
        </w:rPr>
        <w:t>316</w:t>
      </w:r>
      <w:r>
        <w:rPr>
          <w:rFonts w:ascii="仿宋_GB2312" w:eastAsia="仿宋_GB2312" w:hAnsi="仿宋_GB2312" w:cs="仿宋_GB2312" w:hint="eastAsia"/>
        </w:rPr>
        <w:t>国道、</w:t>
      </w:r>
      <w:r>
        <w:rPr>
          <w:rFonts w:ascii="仿宋_GB2312" w:eastAsia="仿宋_GB2312" w:hAnsi="仿宋_GB2312" w:cs="仿宋_GB2312"/>
        </w:rPr>
        <w:t>105</w:t>
      </w:r>
      <w:r>
        <w:rPr>
          <w:rFonts w:ascii="仿宋_GB2312" w:eastAsia="仿宋_GB2312" w:hAnsi="仿宋_GB2312" w:cs="仿宋_GB2312" w:hint="eastAsia"/>
        </w:rPr>
        <w:t>国道、昌九高速、永武高速、昌九大道五条示范风景线成果。</w:t>
      </w:r>
    </w:p>
    <w:p w14:paraId="522D9C58" w14:textId="77777777" w:rsidR="00EE55DB" w:rsidRDefault="00000000">
      <w:pPr>
        <w:ind w:firstLine="643"/>
        <w:rPr>
          <w:rFonts w:ascii="仿宋_GB2312" w:eastAsia="仿宋_GB2312" w:hAnsi="仿宋_GB2312" w:cs="仿宋_GB2312"/>
          <w:szCs w:val="32"/>
        </w:rPr>
      </w:pPr>
      <w:r>
        <w:rPr>
          <w:rFonts w:hint="eastAsia"/>
          <w:b/>
          <w:bCs/>
        </w:rPr>
        <w:t>积极探索村庄环境长效管护。</w:t>
      </w:r>
      <w:r>
        <w:rPr>
          <w:rFonts w:ascii="仿宋_GB2312" w:eastAsia="仿宋_GB2312" w:hAnsi="仿宋_GB2312" w:cs="仿宋_GB2312" w:hint="eastAsia"/>
        </w:rPr>
        <w:t>坚持因村制宜、分类推进，按照“五有”和“五定包干”要求，切实抓好村庄卫生保洁、沟塘清淤、杂草清除、绿化养护，以及村内道路养护、公厕管理、路灯及视频监控系统维护、体育休闲设施维护、生活污水处理设施维护等工作，健全农村人居环境管护体制，大力开展村庄清洁行动，构建农村生活垃圾、生活污水等治理体系，实施水源保护工作，推进厕所粪</w:t>
      </w:r>
      <w:proofErr w:type="gramStart"/>
      <w:r>
        <w:rPr>
          <w:rFonts w:ascii="仿宋_GB2312" w:eastAsia="仿宋_GB2312" w:hAnsi="仿宋_GB2312" w:cs="仿宋_GB2312" w:hint="eastAsia"/>
        </w:rPr>
        <w:t>污治理</w:t>
      </w:r>
      <w:proofErr w:type="gramEnd"/>
      <w:r>
        <w:rPr>
          <w:rFonts w:ascii="仿宋_GB2312" w:eastAsia="仿宋_GB2312" w:hAnsi="仿宋_GB2312" w:cs="仿宋_GB2312" w:hint="eastAsia"/>
        </w:rPr>
        <w:t>项目。积极开展乡村森林建设，保障森林覆盖面。</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0"/>
      </w:tblGrid>
      <w:tr w:rsidR="00EE55DB" w14:paraId="6873C68A" w14:textId="77777777">
        <w:trPr>
          <w:jc w:val="center"/>
        </w:trPr>
        <w:tc>
          <w:tcPr>
            <w:tcW w:w="8270" w:type="dxa"/>
          </w:tcPr>
          <w:p w14:paraId="3AD3BFD9"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15  </w:t>
            </w:r>
            <w:r>
              <w:rPr>
                <w:rFonts w:cs="黑体" w:hint="eastAsia"/>
                <w:b/>
                <w:bCs/>
              </w:rPr>
              <w:t>乡村人居环境改善重点行动</w:t>
            </w:r>
          </w:p>
        </w:tc>
      </w:tr>
      <w:tr w:rsidR="00EE55DB" w14:paraId="3954BAD5" w14:textId="77777777">
        <w:trPr>
          <w:jc w:val="center"/>
        </w:trPr>
        <w:tc>
          <w:tcPr>
            <w:tcW w:w="8270" w:type="dxa"/>
          </w:tcPr>
          <w:p w14:paraId="3C948CC0" w14:textId="77777777" w:rsidR="00EE55DB" w:rsidRDefault="00000000">
            <w:pPr>
              <w:pStyle w:val="21"/>
              <w:ind w:firstLine="482"/>
              <w:rPr>
                <w:rFonts w:cs="黑体"/>
                <w:b/>
                <w:bCs/>
              </w:rPr>
            </w:pPr>
            <w:r>
              <w:rPr>
                <w:rFonts w:cs="黑体" w:hint="eastAsia"/>
                <w:b/>
                <w:bCs/>
              </w:rPr>
              <w:t>（一）深入推进农村生活垃圾治理行动</w:t>
            </w:r>
          </w:p>
          <w:p w14:paraId="29E87BD1" w14:textId="77777777" w:rsidR="00EE55DB" w:rsidRDefault="00000000">
            <w:pPr>
              <w:pStyle w:val="21"/>
              <w:ind w:firstLine="480"/>
              <w:rPr>
                <w:rFonts w:cs="黑体"/>
              </w:rPr>
            </w:pPr>
            <w:r>
              <w:rPr>
                <w:rFonts w:cs="黑体" w:hint="eastAsia"/>
              </w:rPr>
              <w:t>持续开展“村庄清洁行动”，建立健全城乡环卫一体化运行机制，实施全县城乡环卫一体化</w:t>
            </w:r>
            <w:r>
              <w:rPr>
                <w:rFonts w:cs="黑体"/>
              </w:rPr>
              <w:t>PPP</w:t>
            </w:r>
            <w:r>
              <w:rPr>
                <w:rFonts w:cs="黑体" w:hint="eastAsia"/>
              </w:rPr>
              <w:t>项目，强化对市场化主体的绩效考核，确保城乡环卫一体化</w:t>
            </w:r>
            <w:r>
              <w:rPr>
                <w:rFonts w:cs="黑体"/>
              </w:rPr>
              <w:t>PPP</w:t>
            </w:r>
            <w:r>
              <w:rPr>
                <w:rFonts w:cs="黑体" w:hint="eastAsia"/>
              </w:rPr>
              <w:t>项目高质量运行，提升农村生活垃圾治理工作水平。到</w:t>
            </w:r>
            <w:r>
              <w:rPr>
                <w:rFonts w:cs="黑体"/>
              </w:rPr>
              <w:t>2025</w:t>
            </w:r>
            <w:r>
              <w:rPr>
                <w:rFonts w:cs="黑体" w:hint="eastAsia"/>
              </w:rPr>
              <w:t>年底，全县农村垃圾无害化处理率达到</w:t>
            </w:r>
            <w:r>
              <w:rPr>
                <w:rFonts w:cs="黑体"/>
              </w:rPr>
              <w:t>100%</w:t>
            </w:r>
            <w:r>
              <w:rPr>
                <w:rFonts w:cs="黑体" w:hint="eastAsia"/>
              </w:rPr>
              <w:t>，农村垃圾分类覆盖面达到</w:t>
            </w:r>
            <w:r>
              <w:rPr>
                <w:rFonts w:cs="黑体"/>
              </w:rPr>
              <w:t>50%</w:t>
            </w:r>
            <w:r>
              <w:rPr>
                <w:rFonts w:cs="黑体" w:hint="eastAsia"/>
              </w:rPr>
              <w:t>以上。</w:t>
            </w:r>
          </w:p>
          <w:p w14:paraId="56E2C123" w14:textId="77777777" w:rsidR="00EE55DB" w:rsidRDefault="00000000">
            <w:pPr>
              <w:pStyle w:val="21"/>
              <w:ind w:firstLine="482"/>
              <w:rPr>
                <w:rFonts w:cs="黑体"/>
                <w:b/>
                <w:bCs/>
              </w:rPr>
            </w:pPr>
            <w:r>
              <w:rPr>
                <w:rFonts w:cs="黑体" w:hint="eastAsia"/>
                <w:b/>
                <w:bCs/>
              </w:rPr>
              <w:t>（二）梯次开展农村生活污水治理行动</w:t>
            </w:r>
          </w:p>
          <w:p w14:paraId="54184F1A" w14:textId="77777777" w:rsidR="00EE55DB" w:rsidRDefault="00000000">
            <w:pPr>
              <w:pStyle w:val="21"/>
              <w:ind w:firstLine="480"/>
              <w:rPr>
                <w:rFonts w:cs="黑体"/>
                <w:highlight w:val="yellow"/>
              </w:rPr>
            </w:pPr>
            <w:r>
              <w:rPr>
                <w:rFonts w:cs="黑体" w:hint="eastAsia"/>
              </w:rPr>
              <w:t>优先选择一批饮用水水源保护地、水环境敏感区、重点旅游景区和农家</w:t>
            </w:r>
            <w:proofErr w:type="gramStart"/>
            <w:r>
              <w:rPr>
                <w:rFonts w:cs="黑体" w:hint="eastAsia"/>
              </w:rPr>
              <w:t>乐集中</w:t>
            </w:r>
            <w:proofErr w:type="gramEnd"/>
            <w:r>
              <w:rPr>
                <w:rFonts w:cs="黑体" w:hint="eastAsia"/>
              </w:rPr>
              <w:t>区开展农村生活污水治理试点，并逐步推广。到</w:t>
            </w:r>
            <w:r>
              <w:rPr>
                <w:rFonts w:cs="黑体"/>
              </w:rPr>
              <w:t>2025</w:t>
            </w:r>
            <w:r>
              <w:rPr>
                <w:rFonts w:cs="黑体" w:hint="eastAsia"/>
              </w:rPr>
              <w:t>年底，农村污水集</w:t>
            </w:r>
            <w:r>
              <w:rPr>
                <w:rFonts w:cs="黑体" w:hint="eastAsia"/>
              </w:rPr>
              <w:lastRenderedPageBreak/>
              <w:t>中处理率达</w:t>
            </w:r>
            <w:r>
              <w:rPr>
                <w:rFonts w:cs="黑体"/>
              </w:rPr>
              <w:t>70%</w:t>
            </w:r>
            <w:r>
              <w:rPr>
                <w:rFonts w:cs="黑体" w:hint="eastAsia"/>
              </w:rPr>
              <w:t>以上。</w:t>
            </w:r>
          </w:p>
          <w:p w14:paraId="439F8E28" w14:textId="77777777" w:rsidR="00EE55DB" w:rsidRDefault="00000000">
            <w:pPr>
              <w:pStyle w:val="21"/>
              <w:ind w:firstLine="482"/>
              <w:rPr>
                <w:rFonts w:cs="黑体"/>
                <w:b/>
                <w:bCs/>
                <w:lang w:val="zh-CN"/>
              </w:rPr>
            </w:pPr>
            <w:r>
              <w:rPr>
                <w:rFonts w:cs="黑体" w:hint="eastAsia"/>
                <w:b/>
                <w:bCs/>
              </w:rPr>
              <w:t>（三）大力</w:t>
            </w:r>
            <w:r>
              <w:rPr>
                <w:rFonts w:cs="黑体" w:hint="eastAsia"/>
                <w:b/>
                <w:bCs/>
                <w:lang w:val="zh-CN"/>
              </w:rPr>
              <w:t>推进农村“厕所革命”</w:t>
            </w:r>
            <w:r>
              <w:rPr>
                <w:rFonts w:cs="黑体" w:hint="eastAsia"/>
                <w:b/>
                <w:bCs/>
              </w:rPr>
              <w:t>行动</w:t>
            </w:r>
          </w:p>
          <w:p w14:paraId="5B1D7C15" w14:textId="77777777" w:rsidR="00EE55DB" w:rsidRDefault="00000000">
            <w:pPr>
              <w:pStyle w:val="21"/>
              <w:ind w:firstLine="480"/>
              <w:rPr>
                <w:rFonts w:cs="黑体"/>
              </w:rPr>
            </w:pPr>
            <w:r>
              <w:rPr>
                <w:rFonts w:cs="黑体" w:hint="eastAsia"/>
              </w:rPr>
              <w:t>大力开展农村户</w:t>
            </w:r>
            <w:proofErr w:type="gramStart"/>
            <w:r>
              <w:rPr>
                <w:rFonts w:cs="黑体" w:hint="eastAsia"/>
              </w:rPr>
              <w:t>厕</w:t>
            </w:r>
            <w:proofErr w:type="gramEnd"/>
            <w:r>
              <w:rPr>
                <w:rFonts w:cs="黑体" w:hint="eastAsia"/>
              </w:rPr>
              <w:t>改造，按照乡（镇、场、企业集团）政府所在地和集中居住</w:t>
            </w:r>
            <w:r>
              <w:rPr>
                <w:rFonts w:cs="黑体"/>
              </w:rPr>
              <w:t>1000</w:t>
            </w:r>
            <w:r>
              <w:rPr>
                <w:rFonts w:cs="黑体" w:hint="eastAsia"/>
              </w:rPr>
              <w:t>人以上村庄应有一座公厕要求，科学布局建设乡村公共厕所，到</w:t>
            </w:r>
            <w:r>
              <w:rPr>
                <w:rFonts w:cs="黑体"/>
              </w:rPr>
              <w:t>2025</w:t>
            </w:r>
            <w:r>
              <w:rPr>
                <w:rFonts w:cs="黑体" w:hint="eastAsia"/>
              </w:rPr>
              <w:t>年，全面完成标准化乡村公厕新改建，粪污集中处理率达</w:t>
            </w:r>
            <w:r>
              <w:rPr>
                <w:rFonts w:cs="黑体"/>
              </w:rPr>
              <w:t>100%</w:t>
            </w:r>
            <w:r>
              <w:rPr>
                <w:rFonts w:cs="黑体" w:hint="eastAsia"/>
              </w:rPr>
              <w:t>，农村无害</w:t>
            </w:r>
            <w:proofErr w:type="gramStart"/>
            <w:r>
              <w:rPr>
                <w:rFonts w:cs="黑体" w:hint="eastAsia"/>
              </w:rPr>
              <w:t>化卫生</w:t>
            </w:r>
            <w:proofErr w:type="gramEnd"/>
            <w:r>
              <w:rPr>
                <w:rFonts w:cs="黑体" w:hint="eastAsia"/>
              </w:rPr>
              <w:t>厕所</w:t>
            </w:r>
            <w:proofErr w:type="gramStart"/>
            <w:r>
              <w:rPr>
                <w:rFonts w:cs="黑体" w:hint="eastAsia"/>
              </w:rPr>
              <w:t>普及老率达</w:t>
            </w:r>
            <w:proofErr w:type="gramEnd"/>
            <w:r>
              <w:rPr>
                <w:rFonts w:cs="黑体"/>
              </w:rPr>
              <w:t>100%</w:t>
            </w:r>
            <w:r>
              <w:rPr>
                <w:rFonts w:cs="黑体" w:hint="eastAsia"/>
              </w:rPr>
              <w:t>。</w:t>
            </w:r>
          </w:p>
          <w:p w14:paraId="152E0C85" w14:textId="77777777" w:rsidR="00EE55DB" w:rsidRDefault="00000000">
            <w:pPr>
              <w:pStyle w:val="21"/>
              <w:ind w:firstLine="482"/>
              <w:rPr>
                <w:rFonts w:cs="黑体"/>
                <w:b/>
                <w:bCs/>
              </w:rPr>
            </w:pPr>
            <w:r>
              <w:rPr>
                <w:rFonts w:cs="黑体" w:hint="eastAsia"/>
                <w:b/>
                <w:bCs/>
              </w:rPr>
              <w:t>（四）保障农村饮水安全行动</w:t>
            </w:r>
          </w:p>
          <w:p w14:paraId="22A30A75" w14:textId="77777777" w:rsidR="00EE55DB" w:rsidRDefault="00000000">
            <w:pPr>
              <w:pStyle w:val="21"/>
              <w:ind w:firstLine="480"/>
              <w:rPr>
                <w:rFonts w:cs="黑体"/>
              </w:rPr>
            </w:pPr>
            <w:r>
              <w:rPr>
                <w:rFonts w:cs="黑体" w:hint="eastAsia"/>
              </w:rPr>
              <w:t>逐步建立“从源头到龙头”的城乡供水一体化建设和运行管护体系，落实九江市永修县大屋水库建设项目建设，建立健全县级农村供水管理服务机构、农村供水专业化服务体系、合理的水价及收费机制、工程运行管护经费保障机制和水质检测监测体系、水厂信息化管理。</w:t>
            </w:r>
          </w:p>
          <w:p w14:paraId="63D4F08F" w14:textId="77777777" w:rsidR="00EE55DB" w:rsidRDefault="00000000">
            <w:pPr>
              <w:pStyle w:val="21"/>
              <w:ind w:firstLine="482"/>
              <w:rPr>
                <w:rFonts w:cs="黑体"/>
                <w:b/>
                <w:bCs/>
              </w:rPr>
            </w:pPr>
            <w:r>
              <w:rPr>
                <w:rFonts w:cs="黑体" w:hint="eastAsia"/>
                <w:b/>
                <w:bCs/>
              </w:rPr>
              <w:t>（五）加强“四好农村路”建设行动</w:t>
            </w:r>
          </w:p>
          <w:p w14:paraId="7B1D97C8" w14:textId="77777777" w:rsidR="00EE55DB" w:rsidRDefault="00000000">
            <w:pPr>
              <w:pStyle w:val="21"/>
              <w:ind w:firstLine="480"/>
              <w:rPr>
                <w:rFonts w:cs="黑体"/>
              </w:rPr>
            </w:pPr>
            <w:r>
              <w:rPr>
                <w:rFonts w:cs="黑体" w:hint="eastAsia"/>
              </w:rPr>
              <w:t>围绕“四好农村路”总体目标，以开展</w:t>
            </w:r>
            <w:r>
              <w:rPr>
                <w:rFonts w:cs="黑体" w:hint="eastAsia"/>
                <w:lang w:val="zh-CN"/>
              </w:rPr>
              <w:t>“四好农村路”示范县创建</w:t>
            </w:r>
            <w:r>
              <w:rPr>
                <w:rFonts w:cs="黑体" w:hint="eastAsia"/>
              </w:rPr>
              <w:t>为抓手</w:t>
            </w:r>
            <w:r>
              <w:rPr>
                <w:rFonts w:cs="黑体" w:hint="eastAsia"/>
                <w:lang w:val="zh-CN"/>
              </w:rPr>
              <w:t>，</w:t>
            </w:r>
            <w:r>
              <w:rPr>
                <w:rFonts w:cs="黑体" w:hint="eastAsia"/>
              </w:rPr>
              <w:t>加快</w:t>
            </w:r>
            <w:r>
              <w:rPr>
                <w:rFonts w:cs="黑体" w:hint="eastAsia"/>
                <w:lang w:val="zh-CN"/>
              </w:rPr>
              <w:t>改善农村公路技术状况，优化农村公路路网结构，深化农村公路养护管理体制改革</w:t>
            </w:r>
            <w:r>
              <w:rPr>
                <w:rFonts w:cs="黑体" w:hint="eastAsia"/>
              </w:rPr>
              <w:t>。</w:t>
            </w:r>
          </w:p>
        </w:tc>
      </w:tr>
    </w:tbl>
    <w:p w14:paraId="02905BDE" w14:textId="77777777" w:rsidR="00EE55DB" w:rsidRDefault="00000000">
      <w:pPr>
        <w:pStyle w:val="2"/>
        <w:spacing w:before="156" w:after="156"/>
      </w:pPr>
      <w:bookmarkStart w:id="71" w:name="_Toc10374"/>
      <w:r>
        <w:rPr>
          <w:rFonts w:hint="eastAsia"/>
        </w:rPr>
        <w:lastRenderedPageBreak/>
        <w:t>第三节</w:t>
      </w:r>
      <w:r>
        <w:t xml:space="preserve"> </w:t>
      </w:r>
      <w:r>
        <w:rPr>
          <w:rFonts w:hint="eastAsia"/>
        </w:rPr>
        <w:t>着力培育时代新风</w:t>
      </w:r>
      <w:bookmarkEnd w:id="71"/>
    </w:p>
    <w:p w14:paraId="772108FF" w14:textId="77777777" w:rsidR="00EE55DB" w:rsidRDefault="00000000">
      <w:pPr>
        <w:ind w:firstLine="640"/>
        <w:rPr>
          <w:rFonts w:ascii="仿宋_GB2312" w:eastAsia="仿宋_GB2312" w:hAnsi="仿宋_GB2312" w:cs="仿宋_GB2312"/>
          <w:szCs w:val="32"/>
        </w:rPr>
      </w:pPr>
      <w:bookmarkStart w:id="72" w:name="_Toc30111"/>
      <w:bookmarkStart w:id="73" w:name="_Toc22280"/>
      <w:bookmarkStart w:id="74" w:name="_Toc15372"/>
      <w:r>
        <w:t xml:space="preserve"> </w:t>
      </w:r>
      <w:r>
        <w:rPr>
          <w:rFonts w:hint="eastAsia"/>
          <w:b/>
          <w:bCs/>
        </w:rPr>
        <w:t>加强农村思想道德建设</w:t>
      </w:r>
      <w:bookmarkEnd w:id="72"/>
      <w:bookmarkEnd w:id="73"/>
      <w:bookmarkEnd w:id="74"/>
      <w:r>
        <w:rPr>
          <w:rFonts w:hint="eastAsia"/>
          <w:b/>
          <w:bCs/>
        </w:rPr>
        <w:t>。</w:t>
      </w:r>
      <w:r>
        <w:rPr>
          <w:rFonts w:ascii="仿宋_GB2312" w:eastAsia="仿宋_GB2312" w:hAnsi="仿宋_GB2312" w:cs="仿宋_GB2312" w:hint="eastAsia"/>
          <w:szCs w:val="32"/>
        </w:rPr>
        <w:t>以德育教育为主线，道德讲堂为载体，持续深化社会公德、职业道德、家庭美德、个人品德建设，在党员干部、工人农民、知识分子、青少年学生等群体中，培养推出一批时代新人。建立完善志愿服务激励机制，打造“小城大爱</w:t>
      </w:r>
      <w:r>
        <w:rPr>
          <w:rFonts w:ascii="仿宋_GB2312" w:eastAsia="仿宋_GB2312" w:hAnsi="仿宋_GB2312" w:cs="仿宋_GB2312"/>
          <w:szCs w:val="32"/>
        </w:rPr>
        <w:t>•</w:t>
      </w:r>
      <w:r>
        <w:rPr>
          <w:rFonts w:ascii="仿宋_GB2312" w:eastAsia="仿宋_GB2312" w:hAnsi="仿宋_GB2312" w:cs="仿宋_GB2312" w:hint="eastAsia"/>
          <w:szCs w:val="32"/>
        </w:rPr>
        <w:t>德弘永修”品牌。发挥典型示范作用，建立健全先进模范发挥作用的长效机制。组织道德模范、“最美永修人”“新时代好少年”等先进典型人物评选表彰活动，建立健全道德模范和“身边好人”关爱帮扶机制。</w:t>
      </w:r>
      <w:bookmarkStart w:id="75" w:name="_Toc18647"/>
      <w:bookmarkStart w:id="76" w:name="_Toc1396"/>
      <w:bookmarkStart w:id="77" w:name="_Toc26011"/>
      <w:r>
        <w:rPr>
          <w:rFonts w:ascii="仿宋_GB2312" w:eastAsia="仿宋_GB2312" w:hAnsi="仿宋_GB2312" w:cs="仿宋_GB2312"/>
          <w:szCs w:val="32"/>
        </w:rPr>
        <w:t xml:space="preserve"> </w:t>
      </w:r>
      <w:r>
        <w:rPr>
          <w:rFonts w:ascii="仿宋_GB2312" w:eastAsia="仿宋_GB2312" w:hAnsi="仿宋_GB2312" w:cs="仿宋_GB2312" w:hint="eastAsia"/>
          <w:szCs w:val="32"/>
        </w:rPr>
        <w:t>结合村庄整治建设，广泛绘制移风易俗文化墙，形成乡村独特“文</w:t>
      </w:r>
      <w:r>
        <w:rPr>
          <w:rFonts w:ascii="仿宋_GB2312" w:eastAsia="仿宋_GB2312" w:hAnsi="仿宋_GB2312" w:cs="仿宋_GB2312" w:hint="eastAsia"/>
          <w:szCs w:val="32"/>
        </w:rPr>
        <w:lastRenderedPageBreak/>
        <w:t>明风景线”。推动基层党组织、基层单位、农村社区有针对性地加强农村群众性思想政治工作。</w:t>
      </w:r>
    </w:p>
    <w:p w14:paraId="49630511" w14:textId="77777777" w:rsidR="00EE55DB" w:rsidRDefault="00000000">
      <w:pPr>
        <w:ind w:firstLine="643"/>
        <w:rPr>
          <w:rFonts w:ascii="仿宋_GB2312" w:eastAsia="仿宋_GB2312" w:hAnsi="仿宋_GB2312" w:cs="仿宋_GB2312"/>
          <w:szCs w:val="32"/>
        </w:rPr>
      </w:pPr>
      <w:r>
        <w:rPr>
          <w:rFonts w:hint="eastAsia"/>
          <w:b/>
          <w:bCs/>
        </w:rPr>
        <w:t>促进乡村移风易俗</w:t>
      </w:r>
      <w:bookmarkEnd w:id="75"/>
      <w:bookmarkEnd w:id="76"/>
      <w:bookmarkEnd w:id="77"/>
      <w:r>
        <w:rPr>
          <w:rFonts w:hint="eastAsia"/>
          <w:b/>
          <w:bCs/>
        </w:rPr>
        <w:t>。</w:t>
      </w:r>
      <w:r>
        <w:rPr>
          <w:rFonts w:ascii="仿宋_GB2312" w:eastAsia="仿宋_GB2312" w:hAnsi="仿宋_GB2312" w:cs="仿宋_GB2312" w:hint="eastAsia"/>
          <w:szCs w:val="32"/>
        </w:rPr>
        <w:t>全面推进乡村文明建设，倡导烟花爆竹禁燃，大兴节俭办宴之风，对农村婚丧事大操大办、奢侈浪费等现象进行综合施策。深入开展绿色</w:t>
      </w:r>
      <w:proofErr w:type="gramStart"/>
      <w:r>
        <w:rPr>
          <w:rFonts w:ascii="仿宋_GB2312" w:eastAsia="仿宋_GB2312" w:hAnsi="仿宋_GB2312" w:cs="仿宋_GB2312" w:hint="eastAsia"/>
          <w:szCs w:val="32"/>
        </w:rPr>
        <w:t>殡</w:t>
      </w:r>
      <w:proofErr w:type="gramEnd"/>
      <w:r>
        <w:rPr>
          <w:rFonts w:ascii="仿宋_GB2312" w:eastAsia="仿宋_GB2312" w:hAnsi="仿宋_GB2312" w:cs="仿宋_GB2312" w:hint="eastAsia"/>
          <w:szCs w:val="32"/>
        </w:rPr>
        <w:t>改，全面巩固“三沿六区”散埋乱葬整治成果，加大对散埋乱葬的专项整治，确保整治范围内无新增坟墓，完善农村公益性公墓建设。开展不良风气治理行动，严厉打击农村吸毒贩毒、聚众赌博、网络赌博、“地下六合彩”等违法犯罪行为，广泛开展崇尚科学、破除迷信集中</w:t>
      </w:r>
      <w:proofErr w:type="gramStart"/>
      <w:r>
        <w:rPr>
          <w:rFonts w:ascii="仿宋_GB2312" w:eastAsia="仿宋_GB2312" w:hAnsi="仿宋_GB2312" w:cs="仿宋_GB2312" w:hint="eastAsia"/>
          <w:szCs w:val="32"/>
        </w:rPr>
        <w:t>教育整治</w:t>
      </w:r>
      <w:proofErr w:type="gramEnd"/>
      <w:r>
        <w:rPr>
          <w:rFonts w:ascii="仿宋_GB2312" w:eastAsia="仿宋_GB2312" w:hAnsi="仿宋_GB2312" w:cs="仿宋_GB2312" w:hint="eastAsia"/>
          <w:szCs w:val="32"/>
        </w:rPr>
        <w:t>活动，全面建立“风水先生”“神婆”人员名册，加快教育转化，加强对邪教的防范和治理，制止非法宗教活动。</w:t>
      </w:r>
    </w:p>
    <w:p w14:paraId="76C63344" w14:textId="77777777" w:rsidR="00EE55DB" w:rsidRDefault="00000000">
      <w:pPr>
        <w:pStyle w:val="2"/>
        <w:spacing w:before="156" w:after="156"/>
      </w:pPr>
      <w:bookmarkStart w:id="78" w:name="_Toc17822"/>
      <w:r>
        <w:rPr>
          <w:rFonts w:hint="eastAsia"/>
        </w:rPr>
        <w:t>第四节</w:t>
      </w:r>
      <w:r>
        <w:t xml:space="preserve"> </w:t>
      </w:r>
      <w:r>
        <w:rPr>
          <w:rFonts w:hint="eastAsia"/>
        </w:rPr>
        <w:t>深化农业农村改革</w:t>
      </w:r>
      <w:bookmarkEnd w:id="78"/>
    </w:p>
    <w:p w14:paraId="2CA9AC98" w14:textId="77777777" w:rsidR="00EE55DB" w:rsidRDefault="00000000">
      <w:pPr>
        <w:pStyle w:val="21"/>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家庭经营在农业中的基础性地位，加快培育农村合作社、家庭农场等新型农业经营主体，健全农业专业化社会化服务体系，发展多种形式适度规模经营。调整土地出让收益城乡分配格局，稳步提高土地出让收入用于农业农村比例。巩固和完善农村承包地确权成果，有序推进农村承包地“三权分置”。建立土地征收公共利益用地认定机制，缩小土地征收范围。探索宅基地所有权、资格权、使用权分置实现形式。积极发挥农村集体股份（经济）合作社市场主体作用，建立稳定可持续的村集体经济增收机制。健全农村金融服务</w:t>
      </w:r>
      <w:r>
        <w:rPr>
          <w:rFonts w:ascii="仿宋_GB2312" w:eastAsia="仿宋_GB2312" w:hAnsi="仿宋_GB2312" w:cs="仿宋_GB2312" w:hint="eastAsia"/>
          <w:sz w:val="32"/>
          <w:szCs w:val="32"/>
        </w:rPr>
        <w:lastRenderedPageBreak/>
        <w:t>体系，发展农业保险。</w:t>
      </w:r>
    </w:p>
    <w:p w14:paraId="044F047C" w14:textId="77777777" w:rsidR="00EE55DB" w:rsidRDefault="00000000">
      <w:pPr>
        <w:pStyle w:val="2"/>
        <w:spacing w:before="156" w:after="156"/>
      </w:pPr>
      <w:bookmarkStart w:id="79" w:name="_Toc20528"/>
      <w:r>
        <w:rPr>
          <w:rFonts w:hint="eastAsia"/>
        </w:rPr>
        <w:t>第五节</w:t>
      </w:r>
      <w:r>
        <w:t xml:space="preserve"> </w:t>
      </w:r>
      <w:r>
        <w:rPr>
          <w:rFonts w:hint="eastAsia"/>
        </w:rPr>
        <w:t>扎实推进共同富裕</w:t>
      </w:r>
      <w:bookmarkEnd w:id="79"/>
    </w:p>
    <w:p w14:paraId="666BC48A" w14:textId="77777777" w:rsidR="00EE55DB" w:rsidRDefault="00000000">
      <w:pPr>
        <w:ind w:firstLine="643"/>
        <w:rPr>
          <w:rFonts w:ascii="仿宋_GB2312" w:eastAsia="仿宋_GB2312" w:hAnsi="仿宋_GB2312" w:cs="仿宋_GB2312"/>
          <w:szCs w:val="32"/>
        </w:rPr>
      </w:pPr>
      <w:r>
        <w:rPr>
          <w:rFonts w:hint="eastAsia"/>
          <w:b/>
          <w:bCs/>
        </w:rPr>
        <w:t>巩固提升脱贫攻坚成果。</w:t>
      </w:r>
      <w:r>
        <w:rPr>
          <w:rFonts w:ascii="仿宋_GB2312" w:eastAsia="仿宋_GB2312" w:hAnsi="仿宋_GB2312" w:cs="仿宋_GB2312" w:hint="eastAsia"/>
          <w:szCs w:val="32"/>
        </w:rPr>
        <w:t>聚焦“两不愁三保障”脱贫标准，坚持问题导向，以整改为抓手，全面排查、精准解决农村贫困人口在义务教育、基本医疗、住房安全与饮水安全“四项保障”方面存在的突出问题，全面落实脱贫攻坚成果。聚焦“高质量可持续”脱贫成果，严格落实攻坚力度、帮扶力量、投入保障、政策举措“四个不减”工作要求，健全脱贫</w:t>
      </w:r>
      <w:proofErr w:type="gramStart"/>
      <w:r>
        <w:rPr>
          <w:rFonts w:ascii="仿宋_GB2312" w:eastAsia="仿宋_GB2312" w:hAnsi="仿宋_GB2312" w:cs="仿宋_GB2312" w:hint="eastAsia"/>
          <w:szCs w:val="32"/>
        </w:rPr>
        <w:t>成果回查监测</w:t>
      </w:r>
      <w:proofErr w:type="gramEnd"/>
      <w:r>
        <w:rPr>
          <w:rFonts w:ascii="仿宋_GB2312" w:eastAsia="仿宋_GB2312" w:hAnsi="仿宋_GB2312" w:cs="仿宋_GB2312" w:hint="eastAsia"/>
          <w:szCs w:val="32"/>
        </w:rPr>
        <w:t>、脱贫人口增收发展、防止致贫返贫保险保障、扶贫项目运维管护、</w:t>
      </w:r>
      <w:proofErr w:type="gramStart"/>
      <w:r>
        <w:rPr>
          <w:rFonts w:ascii="仿宋_GB2312" w:eastAsia="仿宋_GB2312" w:hAnsi="仿宋_GB2312" w:cs="仿宋_GB2312" w:hint="eastAsia"/>
          <w:szCs w:val="32"/>
        </w:rPr>
        <w:t>志智双扶</w:t>
      </w:r>
      <w:proofErr w:type="gramEnd"/>
      <w:r>
        <w:rPr>
          <w:rFonts w:ascii="仿宋_GB2312" w:eastAsia="仿宋_GB2312" w:hAnsi="仿宋_GB2312" w:cs="仿宋_GB2312" w:hint="eastAsia"/>
          <w:szCs w:val="32"/>
        </w:rPr>
        <w:t>激励约束“五大机制”，强化脱贫攻坚责任、组织、政策、帮扶、基层、作风“六项保障”。因地制宜发展特色优势产业，加强利益联结，培育带贫人才，开展消费扶贫等重点工作，提升产业扶贫</w:t>
      </w:r>
      <w:proofErr w:type="gramStart"/>
      <w:r>
        <w:rPr>
          <w:rFonts w:ascii="仿宋_GB2312" w:eastAsia="仿宋_GB2312" w:hAnsi="仿宋_GB2312" w:cs="仿宋_GB2312" w:hint="eastAsia"/>
          <w:szCs w:val="32"/>
        </w:rPr>
        <w:t>带贫益贫</w:t>
      </w:r>
      <w:proofErr w:type="gramEnd"/>
      <w:r>
        <w:rPr>
          <w:rFonts w:ascii="仿宋_GB2312" w:eastAsia="仿宋_GB2312" w:hAnsi="仿宋_GB2312" w:cs="仿宋_GB2312" w:hint="eastAsia"/>
          <w:szCs w:val="32"/>
        </w:rPr>
        <w:t>实效。强化就业扶贫，开展就业技能培训，多</w:t>
      </w:r>
      <w:proofErr w:type="gramStart"/>
      <w:r>
        <w:rPr>
          <w:rFonts w:ascii="仿宋_GB2312" w:eastAsia="仿宋_GB2312" w:hAnsi="仿宋_GB2312" w:cs="仿宋_GB2312" w:hint="eastAsia"/>
          <w:szCs w:val="32"/>
        </w:rPr>
        <w:t>措</w:t>
      </w:r>
      <w:proofErr w:type="gramEnd"/>
      <w:r>
        <w:rPr>
          <w:rFonts w:ascii="仿宋_GB2312" w:eastAsia="仿宋_GB2312" w:hAnsi="仿宋_GB2312" w:cs="仿宋_GB2312" w:hint="eastAsia"/>
          <w:szCs w:val="32"/>
        </w:rPr>
        <w:t>并举提升</w:t>
      </w:r>
      <w:proofErr w:type="gramStart"/>
      <w:r>
        <w:rPr>
          <w:rFonts w:ascii="仿宋_GB2312" w:eastAsia="仿宋_GB2312" w:hAnsi="仿宋_GB2312" w:cs="仿宋_GB2312" w:hint="eastAsia"/>
          <w:szCs w:val="32"/>
        </w:rPr>
        <w:t>稳岗就业</w:t>
      </w:r>
      <w:proofErr w:type="gramEnd"/>
      <w:r>
        <w:rPr>
          <w:rFonts w:ascii="仿宋_GB2312" w:eastAsia="仿宋_GB2312" w:hAnsi="仿宋_GB2312" w:cs="仿宋_GB2312" w:hint="eastAsia"/>
          <w:szCs w:val="32"/>
        </w:rPr>
        <w:t>增收能力，确保户户有持续增收渠道。</w:t>
      </w:r>
      <w:proofErr w:type="gramStart"/>
      <w:r>
        <w:rPr>
          <w:rFonts w:ascii="仿宋_GB2312" w:eastAsia="仿宋_GB2312" w:hAnsi="仿宋_GB2312" w:cs="仿宋_GB2312" w:hint="eastAsia"/>
          <w:szCs w:val="32"/>
        </w:rPr>
        <w:t>健全防贫</w:t>
      </w:r>
      <w:proofErr w:type="gramEnd"/>
      <w:r>
        <w:rPr>
          <w:rFonts w:ascii="仿宋_GB2312" w:eastAsia="仿宋_GB2312" w:hAnsi="仿宋_GB2312" w:cs="仿宋_GB2312" w:hint="eastAsia"/>
          <w:szCs w:val="32"/>
        </w:rPr>
        <w:t>长效机制。构建已脱贫户、非贫困户分级预警机制，边缘户、</w:t>
      </w:r>
      <w:proofErr w:type="gramStart"/>
      <w:r>
        <w:rPr>
          <w:rFonts w:ascii="仿宋_GB2312" w:eastAsia="仿宋_GB2312" w:hAnsi="仿宋_GB2312" w:cs="仿宋_GB2312" w:hint="eastAsia"/>
          <w:szCs w:val="32"/>
        </w:rPr>
        <w:t>监测户</w:t>
      </w:r>
      <w:proofErr w:type="gramEnd"/>
      <w:r>
        <w:rPr>
          <w:rFonts w:ascii="仿宋_GB2312" w:eastAsia="仿宋_GB2312" w:hAnsi="仿宋_GB2312" w:cs="仿宋_GB2312" w:hint="eastAsia"/>
          <w:szCs w:val="32"/>
        </w:rPr>
        <w:t>帮扶机制，完善贫困人口与非贫困人口健康医疗保障机制。</w:t>
      </w:r>
    </w:p>
    <w:p w14:paraId="4F5FC483" w14:textId="77777777" w:rsidR="00EE55DB" w:rsidRDefault="00000000">
      <w:pPr>
        <w:ind w:firstLine="643"/>
        <w:rPr>
          <w:rFonts w:ascii="仿宋_GB2312" w:eastAsia="仿宋_GB2312" w:hAnsi="仿宋_GB2312" w:cs="仿宋_GB2312"/>
          <w:szCs w:val="32"/>
        </w:rPr>
      </w:pPr>
      <w:r>
        <w:rPr>
          <w:rFonts w:hint="eastAsia"/>
          <w:b/>
          <w:bCs/>
        </w:rPr>
        <w:t>拓宽农民就业增收渠道。</w:t>
      </w:r>
      <w:r>
        <w:rPr>
          <w:rFonts w:ascii="仿宋_GB2312" w:eastAsia="仿宋_GB2312" w:hAnsi="仿宋_GB2312" w:cs="仿宋_GB2312" w:hint="eastAsia"/>
          <w:szCs w:val="32"/>
        </w:rPr>
        <w:t>实施新型农民培养工程和农村劳动力职业技能培训提升计划，促进农村劳动力多渠道转移就业。发展壮大县域经济，加快培育区域特色产业，拓宽农民就业空间。结合推进新型城镇化，积极承接产业梯度转移，大力发展吸纳就业能力强的产业和企业，促进农村富余劳动</w:t>
      </w:r>
      <w:r>
        <w:rPr>
          <w:rFonts w:ascii="仿宋_GB2312" w:eastAsia="仿宋_GB2312" w:hAnsi="仿宋_GB2312" w:cs="仿宋_GB2312" w:hint="eastAsia"/>
          <w:szCs w:val="32"/>
        </w:rPr>
        <w:lastRenderedPageBreak/>
        <w:t>力转移就业。实施乡村就业促进行动，大力发展乡村特色产业，推进乡村经济多元化，结合农村基础设施等工程建设，鼓励采取以工代赈方式就近吸纳农村劳动力务工。加强地域间的对口劳务协作，提高劳动力劳务对接和输出的组织化程度，促进农村劳动力外出转移就业。完善和落实创新创业政策，鼓励乡村创新创业。依托现有的现代农业示范园区、农业企业、农民合作社、农业规模种养基地等各类平台，建成县域创业示范园，为返乡创新创业提供高效便捷的服务。积极发展农村电商等各类新产业新模式，引导新生代农民工到“互联网</w:t>
      </w:r>
      <w:r>
        <w:rPr>
          <w:rFonts w:ascii="仿宋_GB2312" w:eastAsia="仿宋_GB2312" w:hAnsi="仿宋_GB2312" w:cs="仿宋_GB2312"/>
          <w:szCs w:val="32"/>
        </w:rPr>
        <w:t>+</w:t>
      </w:r>
      <w:r>
        <w:rPr>
          <w:rFonts w:ascii="仿宋_GB2312" w:eastAsia="仿宋_GB2312" w:hAnsi="仿宋_GB2312" w:cs="仿宋_GB2312" w:hint="eastAsia"/>
          <w:szCs w:val="32"/>
        </w:rPr>
        <w:t>”为代表的新产业、新业</w:t>
      </w:r>
      <w:proofErr w:type="gramStart"/>
      <w:r>
        <w:rPr>
          <w:rFonts w:ascii="仿宋_GB2312" w:eastAsia="仿宋_GB2312" w:hAnsi="仿宋_GB2312" w:cs="仿宋_GB2312" w:hint="eastAsia"/>
          <w:szCs w:val="32"/>
        </w:rPr>
        <w:t>态就业</w:t>
      </w:r>
      <w:proofErr w:type="gramEnd"/>
      <w:r>
        <w:rPr>
          <w:rFonts w:ascii="仿宋_GB2312" w:eastAsia="仿宋_GB2312" w:hAnsi="仿宋_GB2312" w:cs="仿宋_GB2312" w:hint="eastAsia"/>
          <w:szCs w:val="32"/>
        </w:rPr>
        <w:t>创业。完善扶持村级集体经济发展的政策体系，逐步壮大农村村级集体经济。鼓励村集体通过集体自办、能人领办、入股联营等方式，兴办现代农业开发、农产品流通经营服务、农业科技服务等经济实体，使资源变资产，资金变股金，农民变股东。探索强村带弱村、村企联手共建、政府定点帮扶、扶贫开发等多种形式，通过多元化经营实现集体经济与农民“双增收”。</w:t>
      </w:r>
      <w:bookmarkStart w:id="80" w:name="_Toc27357"/>
      <w:bookmarkStart w:id="81" w:name="_Toc27089"/>
      <w:bookmarkStart w:id="82" w:name="_Toc2805"/>
      <w:bookmarkStart w:id="83" w:name="_Toc12842"/>
      <w:bookmarkStart w:id="84" w:name="_Toc11038"/>
      <w:bookmarkStart w:id="85" w:name="_Toc17004"/>
    </w:p>
    <w:bookmarkEnd w:id="80"/>
    <w:bookmarkEnd w:id="81"/>
    <w:bookmarkEnd w:id="82"/>
    <w:bookmarkEnd w:id="83"/>
    <w:bookmarkEnd w:id="84"/>
    <w:bookmarkEnd w:id="85"/>
    <w:p w14:paraId="2802C263" w14:textId="77777777" w:rsidR="00EE55DB" w:rsidRDefault="00000000">
      <w:pPr>
        <w:ind w:firstLine="640"/>
      </w:pPr>
      <w:r>
        <w:br w:type="page"/>
      </w:r>
    </w:p>
    <w:p w14:paraId="0CE81FEB" w14:textId="77777777" w:rsidR="00EE55DB" w:rsidRDefault="00000000">
      <w:pPr>
        <w:pStyle w:val="1"/>
        <w:spacing w:before="156" w:after="156"/>
      </w:pPr>
      <w:bookmarkStart w:id="86" w:name="_Toc5398"/>
      <w:bookmarkStart w:id="87" w:name="_Toc14042"/>
      <w:r>
        <w:rPr>
          <w:rFonts w:hint="eastAsia"/>
        </w:rPr>
        <w:lastRenderedPageBreak/>
        <w:t>第八章</w:t>
      </w:r>
      <w:r>
        <w:t xml:space="preserve"> </w:t>
      </w:r>
      <w:r>
        <w:rPr>
          <w:rFonts w:hint="eastAsia"/>
        </w:rPr>
        <w:t>加快推进基础设施建设，全力塑造县域发展新优势</w:t>
      </w:r>
      <w:bookmarkEnd w:id="86"/>
      <w:bookmarkEnd w:id="87"/>
    </w:p>
    <w:p w14:paraId="401D2694"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按照“统筹规划、适度超前、合理布局、短中长相结合”的要求，坚持传统基础设施与新型基础设施并重，实施一批强基础、增功能、利长远的重大项目，强化基础设施对经济社会发展的重要支撑作用。</w:t>
      </w:r>
    </w:p>
    <w:p w14:paraId="395DDC0D" w14:textId="77777777" w:rsidR="00EE55DB" w:rsidRDefault="00000000">
      <w:pPr>
        <w:pStyle w:val="2"/>
        <w:spacing w:before="156" w:after="156"/>
      </w:pPr>
      <w:bookmarkStart w:id="88" w:name="_Toc12500"/>
      <w:bookmarkStart w:id="89" w:name="_Toc11242"/>
      <w:r>
        <w:rPr>
          <w:rFonts w:hint="eastAsia"/>
        </w:rPr>
        <w:t>第一节</w:t>
      </w:r>
      <w:r>
        <w:t xml:space="preserve"> </w:t>
      </w:r>
      <w:r>
        <w:rPr>
          <w:rFonts w:hint="eastAsia"/>
        </w:rPr>
        <w:t>不断完善现代交通网络</w:t>
      </w:r>
      <w:bookmarkEnd w:id="88"/>
      <w:bookmarkEnd w:id="89"/>
    </w:p>
    <w:p w14:paraId="60CFA1DB"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加快建设畅通高效的公路网络。围绕打通瓶颈路段、提升公路等级，全力构建以“国省道为主干线、县道为次干线、乡道为辐射线”的公路路网体系，积极对接赣江新区和大南昌都市</w:t>
      </w:r>
      <w:proofErr w:type="gramStart"/>
      <w:r>
        <w:rPr>
          <w:rFonts w:ascii="仿宋_GB2312" w:eastAsia="仿宋_GB2312" w:hAnsi="仿宋_GB2312" w:cs="仿宋_GB2312" w:hint="eastAsia"/>
          <w:szCs w:val="32"/>
        </w:rPr>
        <w:t>圈交通</w:t>
      </w:r>
      <w:proofErr w:type="gramEnd"/>
      <w:r>
        <w:rPr>
          <w:rFonts w:ascii="仿宋_GB2312" w:eastAsia="仿宋_GB2312" w:hAnsi="仿宋_GB2312" w:cs="仿宋_GB2312" w:hint="eastAsia"/>
          <w:szCs w:val="32"/>
        </w:rPr>
        <w:t>规划，着力做好赣新大道、万宝路新建工程、永修至海昏侯遗址公园旅游公路、永修至都昌高速、</w:t>
      </w:r>
      <w:proofErr w:type="gramStart"/>
      <w:r>
        <w:rPr>
          <w:rFonts w:ascii="仿宋_GB2312" w:eastAsia="仿宋_GB2312" w:hAnsi="仿宋_GB2312" w:cs="仿宋_GB2312" w:hint="eastAsia"/>
          <w:szCs w:val="32"/>
        </w:rPr>
        <w:t>福银高速</w:t>
      </w:r>
      <w:proofErr w:type="gramEnd"/>
      <w:r>
        <w:rPr>
          <w:rFonts w:ascii="仿宋_GB2312" w:eastAsia="仿宋_GB2312" w:hAnsi="仿宋_GB2312" w:cs="仿宋_GB2312" w:hint="eastAsia"/>
          <w:szCs w:val="32"/>
        </w:rPr>
        <w:t>二通道等一批重大基础设施项目的规划、建设，对</w:t>
      </w:r>
      <w:r>
        <w:rPr>
          <w:rFonts w:ascii="仿宋_GB2312" w:eastAsia="仿宋_GB2312" w:hAnsi="仿宋_GB2312" w:cs="仿宋_GB2312"/>
          <w:szCs w:val="32"/>
        </w:rPr>
        <w:t>G316</w:t>
      </w:r>
      <w:r>
        <w:rPr>
          <w:rFonts w:ascii="仿宋_GB2312" w:eastAsia="仿宋_GB2312" w:hAnsi="仿宋_GB2312" w:cs="仿宋_GB2312" w:hint="eastAsia"/>
          <w:szCs w:val="32"/>
        </w:rPr>
        <w:t>、</w:t>
      </w:r>
      <w:r>
        <w:rPr>
          <w:rFonts w:ascii="仿宋_GB2312" w:eastAsia="仿宋_GB2312" w:hAnsi="仿宋_GB2312" w:cs="仿宋_GB2312"/>
          <w:szCs w:val="32"/>
        </w:rPr>
        <w:t>G105</w:t>
      </w:r>
      <w:r>
        <w:rPr>
          <w:rFonts w:ascii="仿宋_GB2312" w:eastAsia="仿宋_GB2312" w:hAnsi="仿宋_GB2312" w:cs="仿宋_GB2312" w:hint="eastAsia"/>
          <w:szCs w:val="32"/>
        </w:rPr>
        <w:t>等国省道统一布局，在国土空间上留有一级公路改造的用地规划，提高普通国省干线公路的通达能力和服务水平。加强农村公路网络建设，通过县道升级改造、县城至云山旅游公路、县城至吴城旅游公路、乡道双车道改造、通村公路</w:t>
      </w:r>
      <w:proofErr w:type="gramStart"/>
      <w:r>
        <w:rPr>
          <w:rFonts w:ascii="仿宋_GB2312" w:eastAsia="仿宋_GB2312" w:hAnsi="仿宋_GB2312" w:cs="仿宋_GB2312" w:hint="eastAsia"/>
          <w:szCs w:val="32"/>
        </w:rPr>
        <w:t>窄</w:t>
      </w:r>
      <w:proofErr w:type="gramEnd"/>
      <w:r>
        <w:rPr>
          <w:rFonts w:ascii="仿宋_GB2312" w:eastAsia="仿宋_GB2312" w:hAnsi="仿宋_GB2312" w:cs="仿宋_GB2312" w:hint="eastAsia"/>
          <w:szCs w:val="32"/>
        </w:rPr>
        <w:t>路面拓宽等项目，形成县城联通周边乡镇、园区、旅游景区、主要交通枢纽的农村道路网络，增强与周边地区的联系能力。</w:t>
      </w:r>
    </w:p>
    <w:p w14:paraId="1881452C" w14:textId="77777777" w:rsidR="00EE55DB" w:rsidRDefault="00EE55DB">
      <w:pPr>
        <w:pStyle w:val="a0"/>
        <w:ind w:firstLine="640"/>
      </w:pP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8"/>
      </w:tblGrid>
      <w:tr w:rsidR="00EE55DB" w14:paraId="79C968F9" w14:textId="77777777">
        <w:trPr>
          <w:jc w:val="center"/>
        </w:trPr>
        <w:tc>
          <w:tcPr>
            <w:tcW w:w="8308" w:type="dxa"/>
            <w:vAlign w:val="center"/>
          </w:tcPr>
          <w:p w14:paraId="32477111" w14:textId="77777777" w:rsidR="00EE55DB" w:rsidRDefault="00000000">
            <w:pPr>
              <w:pStyle w:val="21"/>
              <w:ind w:firstLine="482"/>
              <w:jc w:val="center"/>
              <w:rPr>
                <w:rFonts w:cs="黑体"/>
              </w:rPr>
            </w:pPr>
            <w:r>
              <w:rPr>
                <w:rFonts w:cs="黑体" w:hint="eastAsia"/>
                <w:b/>
                <w:bCs/>
              </w:rPr>
              <w:t>专栏</w:t>
            </w:r>
            <w:r>
              <w:rPr>
                <w:rFonts w:cs="黑体"/>
                <w:b/>
                <w:bCs/>
              </w:rPr>
              <w:t xml:space="preserve">16  </w:t>
            </w:r>
            <w:r>
              <w:rPr>
                <w:rFonts w:cs="黑体" w:hint="eastAsia"/>
                <w:b/>
                <w:bCs/>
              </w:rPr>
              <w:t>农村公路建设重点工程</w:t>
            </w:r>
          </w:p>
        </w:tc>
      </w:tr>
      <w:tr w:rsidR="00EE55DB" w14:paraId="14E4D5ED" w14:textId="77777777">
        <w:trPr>
          <w:jc w:val="center"/>
        </w:trPr>
        <w:tc>
          <w:tcPr>
            <w:tcW w:w="8308" w:type="dxa"/>
          </w:tcPr>
          <w:p w14:paraId="3ECD0374" w14:textId="77777777" w:rsidR="00EE55DB" w:rsidRDefault="00000000">
            <w:pPr>
              <w:pStyle w:val="21"/>
              <w:numPr>
                <w:ilvl w:val="0"/>
                <w:numId w:val="3"/>
              </w:numPr>
              <w:ind w:firstLine="482"/>
              <w:rPr>
                <w:rFonts w:cs="黑体"/>
                <w:b/>
                <w:bCs/>
              </w:rPr>
            </w:pPr>
            <w:r>
              <w:rPr>
                <w:rFonts w:cs="黑体" w:hint="eastAsia"/>
                <w:b/>
                <w:bCs/>
              </w:rPr>
              <w:lastRenderedPageBreak/>
              <w:t>县道提升工程</w:t>
            </w:r>
          </w:p>
          <w:p w14:paraId="5A0A61AA" w14:textId="77777777" w:rsidR="00EE55DB" w:rsidRDefault="00000000">
            <w:pPr>
              <w:pStyle w:val="21"/>
              <w:ind w:firstLine="480"/>
              <w:rPr>
                <w:rFonts w:cs="黑体"/>
              </w:rPr>
            </w:pPr>
            <w:r>
              <w:rPr>
                <w:rFonts w:cs="黑体" w:hint="eastAsia"/>
              </w:rPr>
              <w:t>三、四级公路升级改造为二级公路及以上公路建设合计</w:t>
            </w:r>
            <w:r>
              <w:rPr>
                <w:rFonts w:cs="黑体"/>
              </w:rPr>
              <w:t>45</w:t>
            </w:r>
            <w:r>
              <w:rPr>
                <w:rFonts w:cs="黑体" w:hint="eastAsia"/>
              </w:rPr>
              <w:t>公里，其中</w:t>
            </w:r>
            <w:proofErr w:type="gramStart"/>
            <w:r>
              <w:rPr>
                <w:rFonts w:cs="黑体" w:hint="eastAsia"/>
              </w:rPr>
              <w:t>吴罗线</w:t>
            </w:r>
            <w:proofErr w:type="gramEnd"/>
            <w:r>
              <w:rPr>
                <w:rFonts w:cs="黑体" w:hint="eastAsia"/>
              </w:rPr>
              <w:t>新城至望</w:t>
            </w:r>
            <w:proofErr w:type="gramStart"/>
            <w:r>
              <w:rPr>
                <w:rFonts w:cs="黑体" w:hint="eastAsia"/>
              </w:rPr>
              <w:t>湖亭段</w:t>
            </w:r>
            <w:proofErr w:type="gramEnd"/>
            <w:r>
              <w:rPr>
                <w:rFonts w:cs="黑体"/>
              </w:rPr>
              <w:t>20</w:t>
            </w:r>
            <w:r>
              <w:rPr>
                <w:rFonts w:cs="黑体" w:hint="eastAsia"/>
              </w:rPr>
              <w:t>公里，桐万线新</w:t>
            </w:r>
            <w:proofErr w:type="gramStart"/>
            <w:r>
              <w:rPr>
                <w:rFonts w:cs="黑体" w:hint="eastAsia"/>
              </w:rPr>
              <w:t>祺</w:t>
            </w:r>
            <w:proofErr w:type="gramEnd"/>
            <w:r>
              <w:rPr>
                <w:rFonts w:cs="黑体" w:hint="eastAsia"/>
              </w:rPr>
              <w:t>周高速公路涵洞至马口街段</w:t>
            </w:r>
            <w:r>
              <w:rPr>
                <w:rFonts w:cs="黑体"/>
              </w:rPr>
              <w:t>5</w:t>
            </w:r>
            <w:r>
              <w:rPr>
                <w:rFonts w:cs="黑体" w:hint="eastAsia"/>
              </w:rPr>
              <w:t>公里，</w:t>
            </w:r>
            <w:proofErr w:type="gramStart"/>
            <w:r>
              <w:rPr>
                <w:rFonts w:cs="黑体" w:hint="eastAsia"/>
              </w:rPr>
              <w:t>杨棋线</w:t>
            </w:r>
            <w:proofErr w:type="gramEnd"/>
            <w:r>
              <w:rPr>
                <w:rFonts w:cs="黑体"/>
              </w:rPr>
              <w:t>316</w:t>
            </w:r>
            <w:r>
              <w:rPr>
                <w:rFonts w:cs="黑体" w:hint="eastAsia"/>
              </w:rPr>
              <w:t>国道至军山段</w:t>
            </w:r>
            <w:r>
              <w:rPr>
                <w:rFonts w:cs="黑体"/>
              </w:rPr>
              <w:t>5</w:t>
            </w:r>
            <w:r>
              <w:rPr>
                <w:rFonts w:cs="黑体" w:hint="eastAsia"/>
              </w:rPr>
              <w:t>公里，长国</w:t>
            </w:r>
            <w:proofErr w:type="gramStart"/>
            <w:r>
              <w:rPr>
                <w:rFonts w:cs="黑体" w:hint="eastAsia"/>
              </w:rPr>
              <w:t>线靖罗线</w:t>
            </w:r>
            <w:proofErr w:type="gramEnd"/>
            <w:r>
              <w:rPr>
                <w:rFonts w:cs="黑体" w:hint="eastAsia"/>
              </w:rPr>
              <w:t>至龙</w:t>
            </w:r>
            <w:proofErr w:type="gramStart"/>
            <w:r>
              <w:rPr>
                <w:rFonts w:cs="黑体" w:hint="eastAsia"/>
              </w:rPr>
              <w:t>源峡段</w:t>
            </w:r>
            <w:proofErr w:type="gramEnd"/>
            <w:r>
              <w:rPr>
                <w:rFonts w:cs="黑体"/>
              </w:rPr>
              <w:t>5</w:t>
            </w:r>
            <w:r>
              <w:rPr>
                <w:rFonts w:cs="黑体" w:hint="eastAsia"/>
              </w:rPr>
              <w:t>公里。</w:t>
            </w:r>
          </w:p>
          <w:p w14:paraId="5B519F82" w14:textId="77777777" w:rsidR="00EE55DB" w:rsidRDefault="00000000">
            <w:pPr>
              <w:pStyle w:val="21"/>
              <w:ind w:firstLine="480"/>
              <w:rPr>
                <w:rFonts w:cs="黑体"/>
              </w:rPr>
            </w:pPr>
            <w:r>
              <w:rPr>
                <w:rFonts w:cs="黑体" w:hint="eastAsia"/>
              </w:rPr>
              <w:t>四级公路升级改造为三级公路建设合计</w:t>
            </w:r>
            <w:r>
              <w:rPr>
                <w:rFonts w:cs="黑体"/>
              </w:rPr>
              <w:t>49</w:t>
            </w:r>
            <w:r>
              <w:rPr>
                <w:rFonts w:cs="黑体" w:hint="eastAsia"/>
              </w:rPr>
              <w:t>公里。其中</w:t>
            </w:r>
            <w:proofErr w:type="gramStart"/>
            <w:r>
              <w:rPr>
                <w:rFonts w:cs="黑体" w:hint="eastAsia"/>
              </w:rPr>
              <w:t>恒滩线昌</w:t>
            </w:r>
            <w:proofErr w:type="gramEnd"/>
            <w:r>
              <w:rPr>
                <w:rFonts w:cs="黑体" w:hint="eastAsia"/>
              </w:rPr>
              <w:t>九大道</w:t>
            </w:r>
            <w:r>
              <w:rPr>
                <w:rFonts w:cs="黑体"/>
              </w:rPr>
              <w:t>-</w:t>
            </w:r>
            <w:r>
              <w:rPr>
                <w:rFonts w:cs="黑体" w:hint="eastAsia"/>
              </w:rPr>
              <w:t>立新</w:t>
            </w:r>
            <w:r>
              <w:rPr>
                <w:rFonts w:cs="黑体"/>
              </w:rPr>
              <w:t>-</w:t>
            </w:r>
            <w:proofErr w:type="gramStart"/>
            <w:r>
              <w:rPr>
                <w:rFonts w:cs="黑体" w:hint="eastAsia"/>
              </w:rPr>
              <w:t>滩溪镇</w:t>
            </w:r>
            <w:proofErr w:type="gramEnd"/>
            <w:r>
              <w:rPr>
                <w:rFonts w:cs="黑体"/>
              </w:rPr>
              <w:t>-105</w:t>
            </w:r>
            <w:r>
              <w:rPr>
                <w:rFonts w:cs="黑体" w:hint="eastAsia"/>
              </w:rPr>
              <w:t>国道</w:t>
            </w:r>
            <w:r>
              <w:rPr>
                <w:rFonts w:cs="黑体"/>
              </w:rPr>
              <w:t>25</w:t>
            </w:r>
            <w:r>
              <w:rPr>
                <w:rFonts w:cs="黑体" w:hint="eastAsia"/>
              </w:rPr>
              <w:t>公里，</w:t>
            </w:r>
            <w:proofErr w:type="gramStart"/>
            <w:r>
              <w:rPr>
                <w:rFonts w:cs="黑体" w:hint="eastAsia"/>
              </w:rPr>
              <w:t>吴罗线昌</w:t>
            </w:r>
            <w:proofErr w:type="gramEnd"/>
            <w:r>
              <w:rPr>
                <w:rFonts w:cs="黑体" w:hint="eastAsia"/>
              </w:rPr>
              <w:t>九大道</w:t>
            </w:r>
            <w:proofErr w:type="gramStart"/>
            <w:r>
              <w:rPr>
                <w:rFonts w:cs="黑体" w:hint="eastAsia"/>
              </w:rPr>
              <w:t>至周坊</w:t>
            </w:r>
            <w:r>
              <w:rPr>
                <w:rFonts w:cs="黑体"/>
              </w:rPr>
              <w:t>3</w:t>
            </w:r>
            <w:r>
              <w:rPr>
                <w:rFonts w:cs="黑体" w:hint="eastAsia"/>
              </w:rPr>
              <w:t>公里</w:t>
            </w:r>
            <w:proofErr w:type="gramEnd"/>
            <w:r>
              <w:rPr>
                <w:rFonts w:cs="黑体" w:hint="eastAsia"/>
              </w:rPr>
              <w:t>，燕梅</w:t>
            </w:r>
            <w:proofErr w:type="gramStart"/>
            <w:r>
              <w:rPr>
                <w:rFonts w:cs="黑体" w:hint="eastAsia"/>
              </w:rPr>
              <w:t>线燕坊至</w:t>
            </w:r>
            <w:proofErr w:type="gramEnd"/>
            <w:r>
              <w:rPr>
                <w:rFonts w:cs="黑体" w:hint="eastAsia"/>
              </w:rPr>
              <w:t>梅棠</w:t>
            </w:r>
            <w:r>
              <w:rPr>
                <w:rFonts w:cs="黑体"/>
              </w:rPr>
              <w:t>12</w:t>
            </w:r>
            <w:r>
              <w:rPr>
                <w:rFonts w:cs="黑体" w:hint="eastAsia"/>
              </w:rPr>
              <w:t>公里，</w:t>
            </w:r>
            <w:proofErr w:type="gramStart"/>
            <w:r>
              <w:rPr>
                <w:rFonts w:cs="黑体" w:hint="eastAsia"/>
              </w:rPr>
              <w:t>青白线青龙</w:t>
            </w:r>
            <w:proofErr w:type="gramEnd"/>
            <w:r>
              <w:rPr>
                <w:rFonts w:cs="黑体" w:hint="eastAsia"/>
              </w:rPr>
              <w:t>桥至大塘</w:t>
            </w:r>
            <w:r>
              <w:rPr>
                <w:rFonts w:cs="黑体"/>
              </w:rPr>
              <w:t>9</w:t>
            </w:r>
            <w:r>
              <w:rPr>
                <w:rFonts w:cs="黑体" w:hint="eastAsia"/>
              </w:rPr>
              <w:t>公里。</w:t>
            </w:r>
          </w:p>
          <w:p w14:paraId="65611584" w14:textId="77777777" w:rsidR="00EE55DB" w:rsidRDefault="00000000">
            <w:pPr>
              <w:pStyle w:val="21"/>
              <w:ind w:firstLine="482"/>
              <w:rPr>
                <w:rFonts w:cs="黑体"/>
                <w:b/>
                <w:bCs/>
              </w:rPr>
            </w:pPr>
            <w:r>
              <w:rPr>
                <w:rFonts w:cs="黑体" w:hint="eastAsia"/>
                <w:b/>
                <w:bCs/>
              </w:rPr>
              <w:t>（二）县道扩容工程</w:t>
            </w:r>
          </w:p>
          <w:p w14:paraId="58835A3E" w14:textId="77777777" w:rsidR="00EE55DB" w:rsidRDefault="00000000">
            <w:pPr>
              <w:pStyle w:val="21"/>
              <w:ind w:firstLine="480"/>
              <w:rPr>
                <w:rFonts w:cs="黑体"/>
              </w:rPr>
            </w:pPr>
            <w:r>
              <w:rPr>
                <w:rFonts w:cs="黑体" w:hint="eastAsia"/>
              </w:rPr>
              <w:t>四级公路升级改造为四级双车道公路建设合计</w:t>
            </w:r>
            <w:r>
              <w:rPr>
                <w:rFonts w:cs="黑体"/>
              </w:rPr>
              <w:t>160</w:t>
            </w:r>
            <w:r>
              <w:rPr>
                <w:rFonts w:cs="黑体" w:hint="eastAsia"/>
              </w:rPr>
              <w:t>公里。四级公路建设要求路面宽度为双车道达到</w:t>
            </w:r>
            <w:r>
              <w:rPr>
                <w:rFonts w:cs="黑体"/>
              </w:rPr>
              <w:t>6</w:t>
            </w:r>
            <w:r>
              <w:rPr>
                <w:rFonts w:cs="黑体" w:hint="eastAsia"/>
              </w:rPr>
              <w:t>米宽。</w:t>
            </w:r>
          </w:p>
          <w:p w14:paraId="4229EEF0" w14:textId="77777777" w:rsidR="00EE55DB" w:rsidRDefault="00000000">
            <w:pPr>
              <w:pStyle w:val="21"/>
              <w:ind w:firstLine="480"/>
              <w:rPr>
                <w:rFonts w:cs="黑体"/>
              </w:rPr>
            </w:pPr>
            <w:r>
              <w:rPr>
                <w:rFonts w:cs="黑体" w:hint="eastAsia"/>
              </w:rPr>
              <w:t>乡村旅游路、资源路、产业路建设</w:t>
            </w:r>
            <w:r>
              <w:rPr>
                <w:rFonts w:cs="黑体"/>
              </w:rPr>
              <w:t>41</w:t>
            </w:r>
            <w:r>
              <w:rPr>
                <w:rFonts w:cs="黑体" w:hint="eastAsia"/>
              </w:rPr>
              <w:t>公里。其中永修县西部通道即永修县县城至云山</w:t>
            </w:r>
            <w:r>
              <w:rPr>
                <w:rFonts w:cs="黑体"/>
              </w:rPr>
              <w:t>21</w:t>
            </w:r>
            <w:r>
              <w:rPr>
                <w:rFonts w:cs="黑体" w:hint="eastAsia"/>
              </w:rPr>
              <w:t>公里，吴</w:t>
            </w:r>
            <w:proofErr w:type="gramStart"/>
            <w:r>
              <w:rPr>
                <w:rFonts w:cs="黑体" w:hint="eastAsia"/>
              </w:rPr>
              <w:t>城镇环</w:t>
            </w:r>
            <w:proofErr w:type="gramEnd"/>
            <w:r>
              <w:rPr>
                <w:rFonts w:cs="黑体" w:hint="eastAsia"/>
              </w:rPr>
              <w:t>湖公路建设</w:t>
            </w:r>
            <w:r>
              <w:rPr>
                <w:rFonts w:cs="黑体"/>
              </w:rPr>
              <w:t>20</w:t>
            </w:r>
            <w:r>
              <w:rPr>
                <w:rFonts w:cs="黑体" w:hint="eastAsia"/>
              </w:rPr>
              <w:t>公里。</w:t>
            </w:r>
          </w:p>
          <w:p w14:paraId="5DC05509" w14:textId="77777777" w:rsidR="00EE55DB" w:rsidRDefault="00000000">
            <w:pPr>
              <w:pStyle w:val="21"/>
              <w:ind w:firstLine="482"/>
              <w:rPr>
                <w:rFonts w:cs="黑体"/>
                <w:b/>
                <w:bCs/>
              </w:rPr>
            </w:pPr>
            <w:r>
              <w:rPr>
                <w:rFonts w:cs="黑体" w:hint="eastAsia"/>
                <w:b/>
                <w:bCs/>
              </w:rPr>
              <w:t>（三）其他工程</w:t>
            </w:r>
          </w:p>
          <w:p w14:paraId="368B3108" w14:textId="77777777" w:rsidR="00EE55DB" w:rsidRDefault="00000000">
            <w:pPr>
              <w:pStyle w:val="21"/>
              <w:ind w:firstLine="480"/>
              <w:rPr>
                <w:rFonts w:cs="黑体"/>
              </w:rPr>
            </w:pPr>
            <w:r>
              <w:rPr>
                <w:rFonts w:cs="黑体" w:hint="eastAsia"/>
              </w:rPr>
              <w:t>新增农村公路村道安保工程</w:t>
            </w:r>
            <w:r>
              <w:rPr>
                <w:rFonts w:cs="黑体"/>
              </w:rPr>
              <w:t>200</w:t>
            </w:r>
            <w:r>
              <w:rPr>
                <w:rFonts w:cs="黑体" w:hint="eastAsia"/>
              </w:rPr>
              <w:t>公里，危桥改造完成</w:t>
            </w:r>
            <w:r>
              <w:rPr>
                <w:rFonts w:cs="黑体"/>
              </w:rPr>
              <w:t>20</w:t>
            </w:r>
            <w:r>
              <w:rPr>
                <w:rFonts w:cs="黑体" w:hint="eastAsia"/>
              </w:rPr>
              <w:t>座，新增</w:t>
            </w:r>
            <w:proofErr w:type="gramStart"/>
            <w:r>
              <w:rPr>
                <w:rFonts w:cs="黑体" w:hint="eastAsia"/>
              </w:rPr>
              <w:t>渡改桥</w:t>
            </w:r>
            <w:proofErr w:type="gramEnd"/>
            <w:r>
              <w:rPr>
                <w:rFonts w:cs="黑体"/>
              </w:rPr>
              <w:t>2</w:t>
            </w:r>
            <w:r>
              <w:rPr>
                <w:rFonts w:cs="黑体" w:hint="eastAsia"/>
              </w:rPr>
              <w:t>座；</w:t>
            </w:r>
            <w:r>
              <w:rPr>
                <w:rFonts w:cs="黑体"/>
              </w:rPr>
              <w:t>3.5</w:t>
            </w:r>
            <w:r>
              <w:rPr>
                <w:rFonts w:cs="黑体" w:hint="eastAsia"/>
              </w:rPr>
              <w:t>米及以下</w:t>
            </w:r>
            <w:proofErr w:type="gramStart"/>
            <w:r>
              <w:rPr>
                <w:rFonts w:cs="黑体" w:hint="eastAsia"/>
              </w:rPr>
              <w:t>窄</w:t>
            </w:r>
            <w:proofErr w:type="gramEnd"/>
            <w:r>
              <w:rPr>
                <w:rFonts w:cs="黑体" w:hint="eastAsia"/>
              </w:rPr>
              <w:t>路基路面公路拓宽改造合计</w:t>
            </w:r>
            <w:r>
              <w:rPr>
                <w:rFonts w:cs="黑体"/>
              </w:rPr>
              <w:t>75</w:t>
            </w:r>
            <w:r>
              <w:rPr>
                <w:rFonts w:cs="黑体" w:hint="eastAsia"/>
              </w:rPr>
              <w:t>公里，依据乡镇近几年农村公路的需求考虑每年大概</w:t>
            </w:r>
            <w:r>
              <w:rPr>
                <w:rFonts w:cs="黑体"/>
              </w:rPr>
              <w:t>15</w:t>
            </w:r>
            <w:r>
              <w:rPr>
                <w:rFonts w:cs="黑体" w:hint="eastAsia"/>
              </w:rPr>
              <w:t>公里；农村联网公路建设</w:t>
            </w:r>
            <w:r>
              <w:rPr>
                <w:rFonts w:cs="黑体"/>
              </w:rPr>
              <w:t>30</w:t>
            </w:r>
            <w:r>
              <w:rPr>
                <w:rFonts w:cs="黑体" w:hint="eastAsia"/>
              </w:rPr>
              <w:t>公里。初步</w:t>
            </w:r>
            <w:proofErr w:type="gramStart"/>
            <w:r>
              <w:rPr>
                <w:rFonts w:cs="黑体" w:hint="eastAsia"/>
              </w:rPr>
              <w:t>考虑麻洲村</w:t>
            </w:r>
            <w:proofErr w:type="gramEnd"/>
            <w:r>
              <w:rPr>
                <w:rFonts w:cs="黑体" w:hint="eastAsia"/>
              </w:rPr>
              <w:t>通往军山的公路建设等，并预留部分机动数；美丽农村公路改造建设</w:t>
            </w:r>
            <w:r>
              <w:rPr>
                <w:rFonts w:cs="黑体"/>
              </w:rPr>
              <w:t>45</w:t>
            </w:r>
            <w:r>
              <w:rPr>
                <w:rFonts w:cs="黑体" w:hint="eastAsia"/>
              </w:rPr>
              <w:t>公里。考虑在规划的升级改造为二级公路及以上公路建设公路同时建设美丽农村公路；桥梁新改建</w:t>
            </w:r>
            <w:r>
              <w:rPr>
                <w:rFonts w:cs="黑体"/>
              </w:rPr>
              <w:t>10</w:t>
            </w:r>
            <w:r>
              <w:rPr>
                <w:rFonts w:cs="黑体" w:hint="eastAsia"/>
              </w:rPr>
              <w:t>座。</w:t>
            </w:r>
          </w:p>
        </w:tc>
      </w:tr>
    </w:tbl>
    <w:p w14:paraId="29EFACA8" w14:textId="77777777" w:rsidR="00EE55DB" w:rsidRDefault="00000000">
      <w:pPr>
        <w:pStyle w:val="2"/>
        <w:spacing w:before="156" w:after="156"/>
      </w:pPr>
      <w:bookmarkStart w:id="90" w:name="_Toc19130"/>
      <w:bookmarkStart w:id="91" w:name="_Toc23812"/>
      <w:r>
        <w:rPr>
          <w:rFonts w:hint="eastAsia"/>
        </w:rPr>
        <w:t>第二节</w:t>
      </w:r>
      <w:r>
        <w:t xml:space="preserve"> </w:t>
      </w:r>
      <w:r>
        <w:rPr>
          <w:rFonts w:hint="eastAsia"/>
        </w:rPr>
        <w:t>加快构建现代能源体系</w:t>
      </w:r>
      <w:bookmarkEnd w:id="90"/>
      <w:bookmarkEnd w:id="91"/>
    </w:p>
    <w:p w14:paraId="6ABF6E6A"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坚持“适度超前、内优外引、以电为主、多能互补”的原则，加快构建安全、高效、清洁、低碳的现代能源体系，进一步提升能源保障水平。持续优化能源供给结构。大力发展绿色低碳能源，加快天然气管网建设和可再生能源利用，有序开发水电、风能资源，因地制宜发展太阳能光伏发电，大力推进煤炭清洁高效利用，控制煤炭消费总量，不断提高</w:t>
      </w:r>
      <w:r>
        <w:rPr>
          <w:rFonts w:ascii="仿宋_GB2312" w:eastAsia="仿宋_GB2312" w:hAnsi="仿宋_GB2312" w:cs="仿宋_GB2312" w:hint="eastAsia"/>
          <w:szCs w:val="32"/>
        </w:rPr>
        <w:lastRenderedPageBreak/>
        <w:t>清洁能源比重。大力完善能源输送网络。推进城乡一体化的电网建设，全面提高电网通达水平、输送能力、电能储备与供电可靠性，保障城乡安全高效用电。</w:t>
      </w:r>
    </w:p>
    <w:p w14:paraId="4CFBB9FD" w14:textId="77777777" w:rsidR="00EE55DB" w:rsidRDefault="00000000">
      <w:pPr>
        <w:pStyle w:val="2"/>
        <w:spacing w:before="156" w:after="156"/>
      </w:pPr>
      <w:bookmarkStart w:id="92" w:name="_Toc13954"/>
      <w:bookmarkStart w:id="93" w:name="_Toc9750"/>
      <w:r>
        <w:rPr>
          <w:rFonts w:hint="eastAsia"/>
        </w:rPr>
        <w:t>第三节</w:t>
      </w:r>
      <w:r>
        <w:t xml:space="preserve"> </w:t>
      </w:r>
      <w:r>
        <w:rPr>
          <w:rFonts w:hint="eastAsia"/>
        </w:rPr>
        <w:t>完善民生水利安全与保障体系</w:t>
      </w:r>
      <w:bookmarkEnd w:id="92"/>
      <w:bookmarkEnd w:id="93"/>
    </w:p>
    <w:p w14:paraId="701B04CF" w14:textId="77777777" w:rsidR="00EE55DB" w:rsidRDefault="00000000">
      <w:pPr>
        <w:ind w:firstLine="640"/>
      </w:pPr>
      <w:r>
        <w:rPr>
          <w:rFonts w:ascii="仿宋_GB2312" w:eastAsia="仿宋_GB2312" w:hAnsi="仿宋_GB2312" w:cs="仿宋_GB2312" w:hint="eastAsia"/>
          <w:b/>
          <w:bCs/>
          <w:szCs w:val="32"/>
        </w:rPr>
        <w:t>加强防洪抗旱安全能力建设。</w:t>
      </w:r>
      <w:r>
        <w:rPr>
          <w:rFonts w:ascii="仿宋_GB2312" w:eastAsia="仿宋_GB2312" w:hAnsi="仿宋_GB2312" w:cs="仿宋_GB2312" w:hint="eastAsia"/>
          <w:szCs w:val="32"/>
        </w:rPr>
        <w:t>坚持“节水优先、空间均衡、系统治理、两手发力”的治水方针，突出“水利工程补短板，水利行业强监管”的总体要求，严格落实中央、省、市、</w:t>
      </w:r>
      <w:proofErr w:type="gramStart"/>
      <w:r>
        <w:rPr>
          <w:rFonts w:ascii="仿宋_GB2312" w:eastAsia="仿宋_GB2312" w:hAnsi="仿宋_GB2312" w:cs="仿宋_GB2312" w:hint="eastAsia"/>
          <w:szCs w:val="32"/>
        </w:rPr>
        <w:t>县决策</w:t>
      </w:r>
      <w:proofErr w:type="gramEnd"/>
      <w:r>
        <w:rPr>
          <w:rFonts w:ascii="仿宋_GB2312" w:eastAsia="仿宋_GB2312" w:hAnsi="仿宋_GB2312" w:cs="仿宋_GB2312" w:hint="eastAsia"/>
          <w:szCs w:val="32"/>
        </w:rPr>
        <w:t>部署，全面加快水利发展改革，积极</w:t>
      </w:r>
      <w:proofErr w:type="gramStart"/>
      <w:r>
        <w:rPr>
          <w:rFonts w:ascii="仿宋_GB2312" w:eastAsia="仿宋_GB2312" w:hAnsi="仿宋_GB2312" w:cs="仿宋_GB2312" w:hint="eastAsia"/>
          <w:szCs w:val="32"/>
        </w:rPr>
        <w:t>践行</w:t>
      </w:r>
      <w:proofErr w:type="gramEnd"/>
      <w:r>
        <w:rPr>
          <w:rFonts w:ascii="仿宋_GB2312" w:eastAsia="仿宋_GB2312" w:hAnsi="仿宋_GB2312" w:cs="仿宋_GB2312" w:hint="eastAsia"/>
          <w:szCs w:val="32"/>
        </w:rPr>
        <w:t>可持续发展治水思路，扎实有效地开展防汛抗旱、水利工程建设、河湖长制、水行政执法、水利扶贫等民生水利工作。提高全县的防洪能力。基本建成流域内主要河流综合防洪排涝减灾体系，城区及重点涝区排涝能力、中小河流和山洪灾害防治区的防洪能力得到提高，重点地区中小河流基本达到防御</w:t>
      </w:r>
      <w:r>
        <w:rPr>
          <w:rFonts w:ascii="仿宋_GB2312" w:eastAsia="仿宋_GB2312" w:hAnsi="仿宋_GB2312" w:cs="仿宋_GB2312"/>
          <w:szCs w:val="32"/>
        </w:rPr>
        <w:t>10</w:t>
      </w:r>
      <w:r>
        <w:rPr>
          <w:rFonts w:ascii="仿宋_GB2312" w:eastAsia="仿宋_GB2312" w:hAnsi="仿宋_GB2312" w:cs="仿宋_GB2312" w:hint="eastAsia"/>
          <w:szCs w:val="32"/>
        </w:rPr>
        <w:t>～</w:t>
      </w:r>
      <w:r>
        <w:rPr>
          <w:rFonts w:ascii="仿宋_GB2312" w:eastAsia="仿宋_GB2312" w:hAnsi="仿宋_GB2312" w:cs="仿宋_GB2312"/>
          <w:szCs w:val="32"/>
        </w:rPr>
        <w:t>20</w:t>
      </w:r>
      <w:r>
        <w:rPr>
          <w:rFonts w:ascii="仿宋_GB2312" w:eastAsia="仿宋_GB2312" w:hAnsi="仿宋_GB2312" w:cs="仿宋_GB2312" w:hint="eastAsia"/>
          <w:szCs w:val="32"/>
        </w:rPr>
        <w:t>年一遇洪水标准，洪涝灾害损失率降至</w:t>
      </w:r>
      <w:r>
        <w:rPr>
          <w:rFonts w:ascii="仿宋_GB2312" w:eastAsia="仿宋_GB2312" w:hAnsi="仿宋_GB2312" w:cs="仿宋_GB2312"/>
          <w:szCs w:val="32"/>
        </w:rPr>
        <w:t>1.0%</w:t>
      </w:r>
      <w:r>
        <w:rPr>
          <w:rFonts w:ascii="仿宋_GB2312" w:eastAsia="仿宋_GB2312" w:hAnsi="仿宋_GB2312" w:cs="仿宋_GB2312" w:hint="eastAsia"/>
          <w:szCs w:val="32"/>
        </w:rPr>
        <w:t>以下。加强全县的抗旱能力。在发生中等干旱时，城乡生活、工业生产用水有保障，农业生产和生态环境不遭受重大影响；发生严重干旱时，城乡生活用水有保障，工农业生产损失降到最低程度；发生特大干旱时，保障城乡居民生活饮用水安全，尽量保证重点部门、单位和企业用水。</w:t>
      </w:r>
    </w:p>
    <w:p w14:paraId="57947A99"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推进供水安全保障工程。</w:t>
      </w:r>
      <w:r>
        <w:rPr>
          <w:rFonts w:ascii="仿宋_GB2312" w:eastAsia="仿宋_GB2312" w:hAnsi="仿宋_GB2312" w:cs="仿宋_GB2312" w:hint="eastAsia"/>
          <w:szCs w:val="32"/>
        </w:rPr>
        <w:t>加快城乡供水一体化建设，加强云山水库水源地保护，完成涂埠、艾城、三角、虬津、恒丰等乡镇的水厂收（并）购，实施军</w:t>
      </w:r>
      <w:proofErr w:type="gramStart"/>
      <w:r>
        <w:rPr>
          <w:rFonts w:ascii="仿宋_GB2312" w:eastAsia="仿宋_GB2312" w:hAnsi="仿宋_GB2312" w:cs="仿宋_GB2312" w:hint="eastAsia"/>
          <w:szCs w:val="32"/>
        </w:rPr>
        <w:t>山水厂改扩建</w:t>
      </w:r>
      <w:proofErr w:type="gramEnd"/>
      <w:r>
        <w:rPr>
          <w:rFonts w:ascii="仿宋_GB2312" w:eastAsia="仿宋_GB2312" w:hAnsi="仿宋_GB2312" w:cs="仿宋_GB2312" w:hint="eastAsia"/>
          <w:szCs w:val="32"/>
        </w:rPr>
        <w:t>及管网延</w:t>
      </w:r>
      <w:r>
        <w:rPr>
          <w:rFonts w:ascii="仿宋_GB2312" w:eastAsia="仿宋_GB2312" w:hAnsi="仿宋_GB2312" w:cs="仿宋_GB2312" w:hint="eastAsia"/>
          <w:szCs w:val="32"/>
        </w:rPr>
        <w:lastRenderedPageBreak/>
        <w:t>伸至艾城、恒丰工程，完成湖东第二水厂至三角、</w:t>
      </w:r>
      <w:proofErr w:type="gramStart"/>
      <w:r>
        <w:rPr>
          <w:rFonts w:ascii="仿宋_GB2312" w:eastAsia="仿宋_GB2312" w:hAnsi="仿宋_GB2312" w:cs="仿宋_GB2312" w:hint="eastAsia"/>
          <w:szCs w:val="32"/>
        </w:rPr>
        <w:t>九合主管网</w:t>
      </w:r>
      <w:proofErr w:type="gramEnd"/>
      <w:r>
        <w:rPr>
          <w:rFonts w:ascii="仿宋_GB2312" w:eastAsia="仿宋_GB2312" w:hAnsi="仿宋_GB2312" w:cs="仿宋_GB2312" w:hint="eastAsia"/>
          <w:szCs w:val="32"/>
        </w:rPr>
        <w:t>土建及管网入户工程，基本实现农村自来水全覆盖。切实提高供水能力和保证率，继续实施以小型水库为主的病险水库除险加固，使病险水库比例进一步降低。加快推进城市备用水源地和管网建设，努力形成保障民生、服务民生、改善民生的水利发展格局，进一步改善和提高人民群众生产生活条件，促进基本公共服务均等化，使人人共享水利发展与改革成果，完全解决农村饮水安全问题。</w:t>
      </w:r>
    </w:p>
    <w:p w14:paraId="76303418" w14:textId="77777777" w:rsidR="00EE55DB" w:rsidRDefault="00000000">
      <w:pPr>
        <w:pStyle w:val="2"/>
        <w:spacing w:before="156" w:after="156"/>
      </w:pPr>
      <w:bookmarkStart w:id="94" w:name="_Toc14326"/>
      <w:bookmarkStart w:id="95" w:name="_Toc1933"/>
      <w:r>
        <w:rPr>
          <w:rFonts w:hint="eastAsia"/>
        </w:rPr>
        <w:t>第四节</w:t>
      </w:r>
      <w:r>
        <w:t xml:space="preserve"> </w:t>
      </w:r>
      <w:r>
        <w:rPr>
          <w:rFonts w:hint="eastAsia"/>
        </w:rPr>
        <w:t>加强新型基础设施建设</w:t>
      </w:r>
      <w:bookmarkEnd w:id="94"/>
      <w:bookmarkEnd w:id="95"/>
    </w:p>
    <w:p w14:paraId="324B67DE"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加快信息基础设施建设。</w:t>
      </w:r>
      <w:r>
        <w:rPr>
          <w:rFonts w:ascii="仿宋_GB2312" w:eastAsia="仿宋_GB2312" w:hAnsi="仿宋_GB2312" w:cs="仿宋_GB2312" w:hint="eastAsia"/>
          <w:szCs w:val="32"/>
        </w:rPr>
        <w:t>以永修与中国移动九江分公司签署新基建</w:t>
      </w:r>
      <w:r>
        <w:rPr>
          <w:rFonts w:ascii="仿宋_GB2312" w:eastAsia="仿宋_GB2312" w:hAnsi="仿宋_GB2312" w:cs="仿宋_GB2312"/>
          <w:szCs w:val="32"/>
        </w:rPr>
        <w:t>5G</w:t>
      </w:r>
      <w:r>
        <w:rPr>
          <w:rFonts w:ascii="仿宋_GB2312" w:eastAsia="仿宋_GB2312" w:hAnsi="仿宋_GB2312" w:cs="仿宋_GB2312" w:hint="eastAsia"/>
          <w:szCs w:val="32"/>
        </w:rPr>
        <w:t>应用示范县建设战略合作协议为契机，加快实施</w:t>
      </w:r>
      <w:r>
        <w:rPr>
          <w:rFonts w:ascii="仿宋_GB2312" w:eastAsia="仿宋_GB2312" w:hAnsi="仿宋_GB2312" w:cs="仿宋_GB2312"/>
          <w:szCs w:val="32"/>
        </w:rPr>
        <w:t>5G</w:t>
      </w:r>
      <w:r>
        <w:rPr>
          <w:rFonts w:ascii="仿宋_GB2312" w:eastAsia="仿宋_GB2312" w:hAnsi="仿宋_GB2312" w:cs="仿宋_GB2312" w:hint="eastAsia"/>
          <w:szCs w:val="32"/>
        </w:rPr>
        <w:t>网络、物联网感知设施，高速智能信息网络、一体化大数据中心、人工智能等重点领域建设行动。实施</w:t>
      </w:r>
      <w:r>
        <w:rPr>
          <w:rFonts w:ascii="仿宋_GB2312" w:eastAsia="仿宋_GB2312" w:hAnsi="仿宋_GB2312" w:cs="仿宋_GB2312"/>
          <w:szCs w:val="32"/>
        </w:rPr>
        <w:t>5G</w:t>
      </w:r>
      <w:r>
        <w:rPr>
          <w:rFonts w:ascii="仿宋_GB2312" w:eastAsia="仿宋_GB2312" w:hAnsi="仿宋_GB2312" w:cs="仿宋_GB2312" w:hint="eastAsia"/>
          <w:szCs w:val="32"/>
        </w:rPr>
        <w:t>网络新建工程和室内分布系统工程，优化</w:t>
      </w:r>
      <w:r>
        <w:rPr>
          <w:rFonts w:ascii="仿宋_GB2312" w:eastAsia="仿宋_GB2312" w:hAnsi="仿宋_GB2312" w:cs="仿宋_GB2312"/>
          <w:szCs w:val="32"/>
        </w:rPr>
        <w:t>5G</w:t>
      </w:r>
      <w:r>
        <w:rPr>
          <w:rFonts w:ascii="仿宋_GB2312" w:eastAsia="仿宋_GB2312" w:hAnsi="仿宋_GB2312" w:cs="仿宋_GB2312" w:hint="eastAsia"/>
          <w:szCs w:val="32"/>
        </w:rPr>
        <w:t>通信基站分布，加快</w:t>
      </w:r>
      <w:r>
        <w:rPr>
          <w:rFonts w:ascii="仿宋_GB2312" w:eastAsia="仿宋_GB2312" w:hAnsi="仿宋_GB2312" w:cs="仿宋_GB2312"/>
          <w:szCs w:val="32"/>
        </w:rPr>
        <w:t>5G</w:t>
      </w:r>
      <w:r>
        <w:rPr>
          <w:rFonts w:ascii="仿宋_GB2312" w:eastAsia="仿宋_GB2312" w:hAnsi="仿宋_GB2312" w:cs="仿宋_GB2312" w:hint="eastAsia"/>
          <w:szCs w:val="32"/>
        </w:rPr>
        <w:t>基站和配套基础设施建设。实施移动物联网感知设施智能化改造工程，建立协同发展的</w:t>
      </w:r>
      <w:proofErr w:type="gramStart"/>
      <w:r>
        <w:rPr>
          <w:rFonts w:ascii="仿宋_GB2312" w:eastAsia="仿宋_GB2312" w:hAnsi="仿宋_GB2312" w:cs="仿宋_GB2312" w:hint="eastAsia"/>
          <w:szCs w:val="32"/>
        </w:rPr>
        <w:t>窄宽物</w:t>
      </w:r>
      <w:proofErr w:type="gramEnd"/>
      <w:r>
        <w:rPr>
          <w:rFonts w:ascii="仿宋_GB2312" w:eastAsia="仿宋_GB2312" w:hAnsi="仿宋_GB2312" w:cs="仿宋_GB2312" w:hint="eastAsia"/>
          <w:szCs w:val="32"/>
        </w:rPr>
        <w:t>联网（</w:t>
      </w:r>
      <w:r>
        <w:rPr>
          <w:rFonts w:ascii="仿宋_GB2312" w:eastAsia="仿宋_GB2312" w:hAnsi="仿宋_GB2312" w:cs="仿宋_GB2312"/>
          <w:szCs w:val="32"/>
        </w:rPr>
        <w:t>NB-IoT</w:t>
      </w:r>
      <w:r>
        <w:rPr>
          <w:rFonts w:ascii="仿宋_GB2312" w:eastAsia="仿宋_GB2312" w:hAnsi="仿宋_GB2312" w:cs="仿宋_GB2312" w:hint="eastAsia"/>
          <w:szCs w:val="32"/>
        </w:rPr>
        <w:t>）</w:t>
      </w:r>
      <w:r>
        <w:rPr>
          <w:rFonts w:ascii="仿宋_GB2312" w:eastAsia="仿宋_GB2312" w:hAnsi="仿宋_GB2312" w:cs="仿宋_GB2312"/>
          <w:szCs w:val="32"/>
        </w:rPr>
        <w:t>/4G/5G</w:t>
      </w:r>
      <w:r>
        <w:rPr>
          <w:rFonts w:ascii="仿宋_GB2312" w:eastAsia="仿宋_GB2312" w:hAnsi="仿宋_GB2312" w:cs="仿宋_GB2312" w:hint="eastAsia"/>
          <w:szCs w:val="32"/>
        </w:rPr>
        <w:t>移动物联网综合生态体系，实现基础设施数字化和联网化。聚焦永修信息化产业，重点实施</w:t>
      </w:r>
      <w:r>
        <w:rPr>
          <w:rFonts w:ascii="仿宋_GB2312" w:eastAsia="仿宋_GB2312" w:hAnsi="仿宋_GB2312" w:cs="仿宋_GB2312"/>
          <w:szCs w:val="32"/>
        </w:rPr>
        <w:t>5G</w:t>
      </w:r>
      <w:r>
        <w:rPr>
          <w:rFonts w:ascii="仿宋_GB2312" w:eastAsia="仿宋_GB2312" w:hAnsi="仿宋_GB2312" w:cs="仿宋_GB2312" w:hint="eastAsia"/>
          <w:szCs w:val="32"/>
        </w:rPr>
        <w:t>网络建设合作、</w:t>
      </w:r>
      <w:r>
        <w:rPr>
          <w:rFonts w:ascii="仿宋_GB2312" w:eastAsia="仿宋_GB2312" w:hAnsi="仿宋_GB2312" w:cs="仿宋_GB2312"/>
          <w:szCs w:val="32"/>
        </w:rPr>
        <w:t>5G</w:t>
      </w:r>
      <w:r>
        <w:rPr>
          <w:rFonts w:ascii="仿宋_GB2312" w:eastAsia="仿宋_GB2312" w:hAnsi="仿宋_GB2312" w:cs="仿宋_GB2312" w:hint="eastAsia"/>
          <w:szCs w:val="32"/>
        </w:rPr>
        <w:t>应用示范合作</w:t>
      </w:r>
      <w:r>
        <w:rPr>
          <w:rFonts w:ascii="仿宋_GB2312" w:eastAsia="仿宋_GB2312" w:hAnsi="仿宋_GB2312" w:cs="仿宋_GB2312"/>
          <w:szCs w:val="32"/>
        </w:rPr>
        <w:t>(</w:t>
      </w:r>
      <w:r>
        <w:rPr>
          <w:rFonts w:ascii="仿宋_GB2312" w:eastAsia="仿宋_GB2312" w:hAnsi="仿宋_GB2312" w:cs="仿宋_GB2312" w:hint="eastAsia"/>
          <w:szCs w:val="32"/>
        </w:rPr>
        <w:t>智慧城市建设、智慧工业园区建设、</w:t>
      </w:r>
      <w:r>
        <w:rPr>
          <w:rFonts w:ascii="仿宋_GB2312" w:eastAsia="仿宋_GB2312" w:hAnsi="仿宋_GB2312" w:cs="仿宋_GB2312"/>
          <w:szCs w:val="32"/>
        </w:rPr>
        <w:t>5G+</w:t>
      </w:r>
      <w:r>
        <w:rPr>
          <w:rFonts w:ascii="仿宋_GB2312" w:eastAsia="仿宋_GB2312" w:hAnsi="仿宋_GB2312" w:cs="仿宋_GB2312" w:hint="eastAsia"/>
          <w:szCs w:val="32"/>
        </w:rPr>
        <w:t>平安城市建设、</w:t>
      </w:r>
      <w:r>
        <w:rPr>
          <w:rFonts w:ascii="仿宋_GB2312" w:eastAsia="仿宋_GB2312" w:hAnsi="仿宋_GB2312" w:cs="仿宋_GB2312"/>
          <w:szCs w:val="32"/>
        </w:rPr>
        <w:t>5G+</w:t>
      </w:r>
      <w:r>
        <w:rPr>
          <w:rFonts w:ascii="仿宋_GB2312" w:eastAsia="仿宋_GB2312" w:hAnsi="仿宋_GB2312" w:cs="仿宋_GB2312" w:hint="eastAsia"/>
          <w:szCs w:val="32"/>
        </w:rPr>
        <w:t>智慧环保、</w:t>
      </w:r>
      <w:r>
        <w:rPr>
          <w:rFonts w:ascii="仿宋_GB2312" w:eastAsia="仿宋_GB2312" w:hAnsi="仿宋_GB2312" w:cs="仿宋_GB2312"/>
          <w:szCs w:val="32"/>
        </w:rPr>
        <w:t>5G+</w:t>
      </w:r>
      <w:r>
        <w:rPr>
          <w:rFonts w:ascii="仿宋_GB2312" w:eastAsia="仿宋_GB2312" w:hAnsi="仿宋_GB2312" w:cs="仿宋_GB2312" w:hint="eastAsia"/>
          <w:szCs w:val="32"/>
        </w:rPr>
        <w:t>智慧农业、</w:t>
      </w:r>
      <w:r>
        <w:rPr>
          <w:rFonts w:ascii="仿宋_GB2312" w:eastAsia="仿宋_GB2312" w:hAnsi="仿宋_GB2312" w:cs="仿宋_GB2312"/>
          <w:szCs w:val="32"/>
        </w:rPr>
        <w:t>5G+</w:t>
      </w:r>
      <w:r>
        <w:rPr>
          <w:rFonts w:ascii="仿宋_GB2312" w:eastAsia="仿宋_GB2312" w:hAnsi="仿宋_GB2312" w:cs="仿宋_GB2312" w:hint="eastAsia"/>
          <w:szCs w:val="32"/>
        </w:rPr>
        <w:t>智慧旅游建设、</w:t>
      </w:r>
      <w:r>
        <w:rPr>
          <w:rFonts w:ascii="仿宋_GB2312" w:eastAsia="仿宋_GB2312" w:hAnsi="仿宋_GB2312" w:cs="仿宋_GB2312"/>
          <w:szCs w:val="32"/>
          <w:highlight w:val="yellow"/>
        </w:rPr>
        <w:t>5G+</w:t>
      </w:r>
      <w:r>
        <w:rPr>
          <w:rFonts w:ascii="仿宋_GB2312" w:eastAsia="仿宋_GB2312" w:hAnsi="仿宋_GB2312" w:cs="仿宋_GB2312" w:hint="eastAsia"/>
          <w:szCs w:val="32"/>
          <w:highlight w:val="yellow"/>
        </w:rPr>
        <w:t>智慧气象、</w:t>
      </w:r>
      <w:r>
        <w:rPr>
          <w:rFonts w:ascii="仿宋_GB2312" w:eastAsia="仿宋_GB2312" w:hAnsi="仿宋_GB2312" w:cs="仿宋_GB2312" w:hint="eastAsia"/>
          <w:szCs w:val="32"/>
        </w:rPr>
        <w:t>智慧教育文化服务建设、智慧医疗建设</w:t>
      </w:r>
      <w:r>
        <w:rPr>
          <w:rFonts w:ascii="仿宋_GB2312" w:eastAsia="仿宋_GB2312" w:hAnsi="仿宋_GB2312" w:cs="仿宋_GB2312"/>
          <w:szCs w:val="32"/>
        </w:rPr>
        <w:t>)</w:t>
      </w:r>
      <w:r>
        <w:rPr>
          <w:rFonts w:ascii="仿宋_GB2312" w:eastAsia="仿宋_GB2312" w:hAnsi="仿宋_GB2312" w:cs="仿宋_GB2312" w:hint="eastAsia"/>
          <w:szCs w:val="32"/>
        </w:rPr>
        <w:t>等方面的内容，实现</w:t>
      </w:r>
      <w:r>
        <w:rPr>
          <w:rFonts w:ascii="仿宋_GB2312" w:eastAsia="仿宋_GB2312" w:hAnsi="仿宋_GB2312" w:cs="仿宋_GB2312"/>
          <w:szCs w:val="32"/>
        </w:rPr>
        <w:t>5G</w:t>
      </w:r>
      <w:r>
        <w:rPr>
          <w:rFonts w:ascii="仿宋_GB2312" w:eastAsia="仿宋_GB2312" w:hAnsi="仿宋_GB2312" w:cs="仿宋_GB2312" w:hint="eastAsia"/>
          <w:szCs w:val="32"/>
        </w:rPr>
        <w:t>技术带动信息化产业的新业态、</w:t>
      </w:r>
      <w:r>
        <w:rPr>
          <w:rFonts w:ascii="仿宋_GB2312" w:eastAsia="仿宋_GB2312" w:hAnsi="仿宋_GB2312" w:cs="仿宋_GB2312" w:hint="eastAsia"/>
          <w:szCs w:val="32"/>
        </w:rPr>
        <w:lastRenderedPageBreak/>
        <w:t>新模式、新服务发展，将永修加快打造成</w:t>
      </w:r>
      <w:r>
        <w:rPr>
          <w:rFonts w:ascii="仿宋_GB2312" w:eastAsia="仿宋_GB2312" w:hAnsi="仿宋_GB2312" w:cs="仿宋_GB2312"/>
          <w:szCs w:val="32"/>
        </w:rPr>
        <w:t>5G</w:t>
      </w:r>
      <w:r>
        <w:rPr>
          <w:rFonts w:ascii="仿宋_GB2312" w:eastAsia="仿宋_GB2312" w:hAnsi="仿宋_GB2312" w:cs="仿宋_GB2312" w:hint="eastAsia"/>
          <w:szCs w:val="32"/>
        </w:rPr>
        <w:t>应用示范县。</w:t>
      </w:r>
    </w:p>
    <w:p w14:paraId="11DC7FE6" w14:textId="77777777" w:rsidR="00EE55DB" w:rsidRDefault="00000000">
      <w:pPr>
        <w:ind w:firstLine="640"/>
      </w:pPr>
      <w:r>
        <w:rPr>
          <w:rFonts w:ascii="仿宋_GB2312" w:eastAsia="仿宋_GB2312" w:hAnsi="仿宋_GB2312" w:cs="仿宋_GB2312" w:hint="eastAsia"/>
          <w:b/>
          <w:bCs/>
          <w:szCs w:val="32"/>
        </w:rPr>
        <w:t>促进传统基础设施改造升级。</w:t>
      </w:r>
      <w:r>
        <w:rPr>
          <w:rFonts w:ascii="仿宋_GB2312" w:eastAsia="仿宋_GB2312" w:hAnsi="仿宋_GB2312" w:cs="仿宋_GB2312" w:hint="eastAsia"/>
          <w:szCs w:val="32"/>
        </w:rPr>
        <w:t>充分利用互联网、大数据、人工智能等领域的前沿技术，支撑传统基础设施改造升级，加快推进企业“</w:t>
      </w:r>
      <w:r>
        <w:rPr>
          <w:rFonts w:ascii="仿宋_GB2312" w:eastAsia="仿宋_GB2312" w:hAnsi="仿宋_GB2312" w:cs="仿宋_GB2312"/>
          <w:szCs w:val="32"/>
        </w:rPr>
        <w:t>5G+</w:t>
      </w:r>
      <w:r>
        <w:rPr>
          <w:rFonts w:ascii="仿宋_GB2312" w:eastAsia="仿宋_GB2312" w:hAnsi="仿宋_GB2312" w:cs="仿宋_GB2312" w:hint="eastAsia"/>
          <w:szCs w:val="32"/>
        </w:rPr>
        <w:t>工业互联网”升级工程，鼓励龙头企业开展</w:t>
      </w:r>
      <w:r>
        <w:rPr>
          <w:rFonts w:ascii="仿宋_GB2312" w:eastAsia="仿宋_GB2312" w:hAnsi="仿宋_GB2312" w:cs="仿宋_GB2312"/>
          <w:szCs w:val="32"/>
        </w:rPr>
        <w:t>5G</w:t>
      </w:r>
      <w:r>
        <w:rPr>
          <w:rFonts w:ascii="仿宋_GB2312" w:eastAsia="仿宋_GB2312" w:hAnsi="仿宋_GB2312" w:cs="仿宋_GB2312" w:hint="eastAsia"/>
          <w:szCs w:val="32"/>
        </w:rPr>
        <w:t>技术在工业生产中的应用，重点支持蓝星星火有机硅与中国电信合作的“</w:t>
      </w:r>
      <w:r>
        <w:rPr>
          <w:rFonts w:ascii="仿宋_GB2312" w:eastAsia="仿宋_GB2312" w:hAnsi="仿宋_GB2312" w:cs="仿宋_GB2312"/>
          <w:szCs w:val="32"/>
        </w:rPr>
        <w:t>5G+</w:t>
      </w:r>
      <w:r>
        <w:rPr>
          <w:rFonts w:ascii="仿宋_GB2312" w:eastAsia="仿宋_GB2312" w:hAnsi="仿宋_GB2312" w:cs="仿宋_GB2312" w:hint="eastAsia"/>
          <w:szCs w:val="32"/>
        </w:rPr>
        <w:t>智能化工”项目，加快大数据、</w:t>
      </w:r>
      <w:proofErr w:type="gramStart"/>
      <w:r>
        <w:rPr>
          <w:rFonts w:ascii="仿宋_GB2312" w:eastAsia="仿宋_GB2312" w:hAnsi="仿宋_GB2312" w:cs="仿宋_GB2312" w:hint="eastAsia"/>
          <w:szCs w:val="32"/>
        </w:rPr>
        <w:t>云计算</w:t>
      </w:r>
      <w:proofErr w:type="gramEnd"/>
      <w:r>
        <w:rPr>
          <w:rFonts w:ascii="仿宋_GB2312" w:eastAsia="仿宋_GB2312" w:hAnsi="仿宋_GB2312" w:cs="仿宋_GB2312" w:hint="eastAsia"/>
          <w:szCs w:val="32"/>
        </w:rPr>
        <w:t>平台建设，拓展公共服务领域的智能化应用。</w:t>
      </w:r>
    </w:p>
    <w:p w14:paraId="532362A3" w14:textId="77777777" w:rsidR="00EE55DB" w:rsidRDefault="00EE55DB">
      <w:pPr>
        <w:pStyle w:val="21"/>
        <w:ind w:firstLine="480"/>
      </w:pPr>
    </w:p>
    <w:p w14:paraId="0F8BD704" w14:textId="77777777" w:rsidR="00EE55DB" w:rsidRDefault="00EE55DB">
      <w:pPr>
        <w:ind w:firstLineChars="0" w:firstLine="0"/>
      </w:pPr>
    </w:p>
    <w:p w14:paraId="02C47917" w14:textId="77777777" w:rsidR="00EE55DB" w:rsidRDefault="00EE55DB">
      <w:pPr>
        <w:pStyle w:val="a0"/>
        <w:ind w:firstLine="640"/>
      </w:pPr>
    </w:p>
    <w:p w14:paraId="46662984" w14:textId="77777777" w:rsidR="00EE55DB" w:rsidRDefault="00EE55DB">
      <w:pPr>
        <w:ind w:firstLine="640"/>
      </w:pPr>
    </w:p>
    <w:p w14:paraId="585395B4" w14:textId="77777777" w:rsidR="00EE55DB" w:rsidRDefault="00EE55DB">
      <w:pPr>
        <w:ind w:firstLine="640"/>
      </w:pPr>
    </w:p>
    <w:p w14:paraId="19A308B0" w14:textId="77777777" w:rsidR="00EE55DB" w:rsidRDefault="00EE55DB">
      <w:pPr>
        <w:pStyle w:val="a0"/>
        <w:ind w:firstLine="640"/>
      </w:pPr>
    </w:p>
    <w:p w14:paraId="1E9109CD" w14:textId="77777777" w:rsidR="00EE55DB" w:rsidRDefault="00EE55DB">
      <w:pPr>
        <w:ind w:firstLine="640"/>
      </w:pPr>
    </w:p>
    <w:p w14:paraId="3D31CA59" w14:textId="77777777" w:rsidR="00EE55DB" w:rsidRDefault="00EE55DB">
      <w:pPr>
        <w:pStyle w:val="a0"/>
        <w:ind w:firstLineChars="0" w:firstLine="0"/>
      </w:pPr>
    </w:p>
    <w:p w14:paraId="3A2CA01C" w14:textId="77777777" w:rsidR="00EE55DB" w:rsidRDefault="00000000">
      <w:pPr>
        <w:ind w:firstLine="640"/>
      </w:pPr>
      <w:r>
        <w:br w:type="page"/>
      </w:r>
    </w:p>
    <w:p w14:paraId="5D071B9A" w14:textId="77777777" w:rsidR="00EE55DB" w:rsidRDefault="00000000">
      <w:pPr>
        <w:pStyle w:val="1"/>
        <w:spacing w:before="156" w:after="156"/>
      </w:pPr>
      <w:bookmarkStart w:id="96" w:name="_Toc4476"/>
      <w:r>
        <w:rPr>
          <w:rFonts w:hint="eastAsia"/>
        </w:rPr>
        <w:lastRenderedPageBreak/>
        <w:t>第九章</w:t>
      </w:r>
      <w:r>
        <w:t xml:space="preserve"> </w:t>
      </w:r>
      <w:r>
        <w:rPr>
          <w:rFonts w:hint="eastAsia"/>
        </w:rPr>
        <w:t>坚持绿色低碳发展，谱写生态文明发展新篇章</w:t>
      </w:r>
      <w:bookmarkEnd w:id="96"/>
    </w:p>
    <w:p w14:paraId="74BABD15" w14:textId="77777777" w:rsidR="00EE55DB" w:rsidRDefault="00000000">
      <w:pPr>
        <w:ind w:firstLine="640"/>
        <w:rPr>
          <w:rFonts w:ascii="仿宋_GB2312" w:eastAsia="仿宋_GB2312" w:hAnsi="仿宋_GB2312" w:cs="仿宋_GB2312"/>
          <w:szCs w:val="32"/>
        </w:rPr>
      </w:pPr>
      <w:proofErr w:type="gramStart"/>
      <w:r>
        <w:rPr>
          <w:rFonts w:ascii="仿宋_GB2312" w:eastAsia="仿宋_GB2312" w:hAnsi="仿宋_GB2312" w:cs="仿宋_GB2312" w:hint="eastAsia"/>
          <w:szCs w:val="32"/>
        </w:rPr>
        <w:t>践行</w:t>
      </w:r>
      <w:proofErr w:type="gramEnd"/>
      <w:r>
        <w:rPr>
          <w:rFonts w:ascii="仿宋_GB2312" w:eastAsia="仿宋_GB2312" w:hAnsi="仿宋_GB2312" w:cs="仿宋_GB2312" w:hint="eastAsia"/>
          <w:szCs w:val="32"/>
        </w:rPr>
        <w:t>“绿水青山就是金山银山”的理念，坚持节约资源和保护环境的基本国策，坚持节约优先、保护优先、自然恢复为主的方针，高举绿色发展大旗，坚定走生产发展、生活富裕、生态良好的文明发展道路，全力打造天蓝地绿水清的美丽家园。</w:t>
      </w:r>
    </w:p>
    <w:p w14:paraId="3AF4BC2D" w14:textId="77777777" w:rsidR="00EE55DB" w:rsidRDefault="00000000">
      <w:pPr>
        <w:pStyle w:val="2"/>
        <w:spacing w:before="156" w:after="156"/>
      </w:pPr>
      <w:bookmarkStart w:id="97" w:name="_Toc1159"/>
      <w:r>
        <w:rPr>
          <w:rFonts w:hint="eastAsia"/>
        </w:rPr>
        <w:t>第一节</w:t>
      </w:r>
      <w:r>
        <w:t xml:space="preserve"> </w:t>
      </w:r>
      <w:r>
        <w:rPr>
          <w:rFonts w:hint="eastAsia"/>
        </w:rPr>
        <w:t>改善生态环境质量</w:t>
      </w:r>
      <w:bookmarkEnd w:id="97"/>
    </w:p>
    <w:p w14:paraId="59E3D367" w14:textId="77777777" w:rsidR="00EE55DB" w:rsidRDefault="00000000">
      <w:pPr>
        <w:ind w:firstLine="643"/>
        <w:rPr>
          <w:rFonts w:ascii="仿宋_GB2312" w:eastAsia="仿宋_GB2312" w:hAnsi="仿宋_GB2312" w:cs="仿宋_GB2312"/>
          <w:szCs w:val="32"/>
        </w:rPr>
      </w:pPr>
      <w:r>
        <w:rPr>
          <w:rFonts w:hint="eastAsia"/>
          <w:b/>
          <w:bCs/>
        </w:rPr>
        <w:t>全力打造鄱阳湖最美岸线。</w:t>
      </w:r>
      <w:r>
        <w:rPr>
          <w:rFonts w:ascii="仿宋_GB2312" w:eastAsia="仿宋_GB2312" w:hAnsi="仿宋_GB2312" w:cs="仿宋_GB2312" w:hint="eastAsia"/>
          <w:szCs w:val="32"/>
        </w:rPr>
        <w:t>深入实施“河长制”“湖长制”，大力开展云山水库水源地综合治理，加强艾城、恒丰、军山、吴城等已建成集镇污水厂和中心村污水处理设施运营维护。制定实施重点生态功能</w:t>
      </w:r>
      <w:proofErr w:type="gramStart"/>
      <w:r>
        <w:rPr>
          <w:rFonts w:ascii="仿宋_GB2312" w:eastAsia="仿宋_GB2312" w:hAnsi="仿宋_GB2312" w:cs="仿宋_GB2312" w:hint="eastAsia"/>
          <w:szCs w:val="32"/>
        </w:rPr>
        <w:t>区产业</w:t>
      </w:r>
      <w:proofErr w:type="gramEnd"/>
      <w:r>
        <w:rPr>
          <w:rFonts w:ascii="仿宋_GB2312" w:eastAsia="仿宋_GB2312" w:hAnsi="仿宋_GB2312" w:cs="仿宋_GB2312" w:hint="eastAsia"/>
          <w:szCs w:val="32"/>
        </w:rPr>
        <w:t>准入负面清单，实施基本农田保护和重点河流生态修复示范工程。打造吴城</w:t>
      </w:r>
      <w:proofErr w:type="gramStart"/>
      <w:r>
        <w:rPr>
          <w:rFonts w:ascii="仿宋_GB2312" w:eastAsia="仿宋_GB2312" w:hAnsi="仿宋_GB2312" w:cs="仿宋_GB2312" w:hint="eastAsia"/>
          <w:szCs w:val="32"/>
        </w:rPr>
        <w:t>望湖亭周边</w:t>
      </w:r>
      <w:proofErr w:type="gramEnd"/>
      <w:r>
        <w:rPr>
          <w:rFonts w:ascii="仿宋_GB2312" w:eastAsia="仿宋_GB2312" w:hAnsi="仿宋_GB2312" w:cs="仿宋_GB2312" w:hint="eastAsia"/>
          <w:szCs w:val="32"/>
        </w:rPr>
        <w:t>最美岸线，重点做好土地整理和基底修复，湿地植物种植的绿化工程，使修河河岸湿地成为一条视野宽阔、风景秀丽的鄱阳湖最美岸线。</w:t>
      </w:r>
    </w:p>
    <w:p w14:paraId="1431F415" w14:textId="77777777" w:rsidR="00EE55DB" w:rsidRDefault="00000000">
      <w:pPr>
        <w:ind w:firstLine="643"/>
        <w:rPr>
          <w:rFonts w:ascii="仿宋_GB2312" w:eastAsia="仿宋_GB2312" w:hAnsi="仿宋_GB2312" w:cs="仿宋_GB2312"/>
          <w:szCs w:val="32"/>
        </w:rPr>
      </w:pPr>
      <w:r>
        <w:rPr>
          <w:rFonts w:hint="eastAsia"/>
          <w:b/>
          <w:bCs/>
        </w:rPr>
        <w:t>加强林业生态建设。</w:t>
      </w:r>
      <w:r>
        <w:rPr>
          <w:rFonts w:ascii="仿宋_GB2312" w:eastAsia="仿宋_GB2312" w:hAnsi="仿宋_GB2312" w:cs="仿宋_GB2312" w:hint="eastAsia"/>
          <w:szCs w:val="32"/>
        </w:rPr>
        <w:t>严格落实“林长制”，进一步完善“一长两员”监管体系。加强非煤矿山管理，加快废弃、关闭矿山复耕复绿，打造生态文明示范乡镇，开展省级森林乡村创建工作，推进乡村森林公园建设，稳定森林覆盖率。打造</w:t>
      </w:r>
      <w:r>
        <w:rPr>
          <w:rFonts w:ascii="仿宋_GB2312" w:eastAsia="仿宋_GB2312" w:hAnsi="仿宋_GB2312" w:cs="仿宋_GB2312"/>
          <w:szCs w:val="32"/>
        </w:rPr>
        <w:t xml:space="preserve"> </w:t>
      </w:r>
      <w:r>
        <w:rPr>
          <w:rFonts w:ascii="仿宋_GB2312" w:eastAsia="仿宋_GB2312" w:hAnsi="仿宋_GB2312" w:cs="仿宋_GB2312" w:hint="eastAsia"/>
          <w:szCs w:val="32"/>
        </w:rPr>
        <w:t>“责任在县、运行在乡、管理在村”的森林资源源头管</w:t>
      </w:r>
      <w:r>
        <w:rPr>
          <w:rFonts w:ascii="仿宋_GB2312" w:eastAsia="仿宋_GB2312" w:hAnsi="仿宋_GB2312" w:cs="仿宋_GB2312" w:hint="eastAsia"/>
          <w:szCs w:val="32"/>
        </w:rPr>
        <w:lastRenderedPageBreak/>
        <w:t>理和护林员网格化管理新机制，</w:t>
      </w:r>
      <w:proofErr w:type="gramStart"/>
      <w:r>
        <w:rPr>
          <w:rFonts w:ascii="仿宋_GB2312" w:eastAsia="仿宋_GB2312" w:hAnsi="仿宋_GB2312" w:cs="仿宋_GB2312" w:hint="eastAsia"/>
          <w:szCs w:val="32"/>
        </w:rPr>
        <w:t>结合高</w:t>
      </w:r>
      <w:proofErr w:type="gramEnd"/>
      <w:r>
        <w:rPr>
          <w:rFonts w:ascii="仿宋_GB2312" w:eastAsia="仿宋_GB2312" w:hAnsi="仿宋_GB2312" w:cs="仿宋_GB2312" w:hint="eastAsia"/>
          <w:szCs w:val="32"/>
        </w:rPr>
        <w:t>清影像数据实现天、地、人一体化管理，定期向</w:t>
      </w:r>
      <w:proofErr w:type="gramStart"/>
      <w:r>
        <w:rPr>
          <w:rFonts w:ascii="仿宋_GB2312" w:eastAsia="仿宋_GB2312" w:hAnsi="仿宋_GB2312" w:cs="仿宋_GB2312" w:hint="eastAsia"/>
          <w:szCs w:val="32"/>
        </w:rPr>
        <w:t>乡镇林</w:t>
      </w:r>
      <w:proofErr w:type="gramEnd"/>
      <w:r>
        <w:rPr>
          <w:rFonts w:ascii="仿宋_GB2312" w:eastAsia="仿宋_GB2312" w:hAnsi="仿宋_GB2312" w:cs="仿宋_GB2312" w:hint="eastAsia"/>
          <w:szCs w:val="32"/>
        </w:rPr>
        <w:t>长</w:t>
      </w:r>
      <w:proofErr w:type="gramStart"/>
      <w:r>
        <w:rPr>
          <w:rFonts w:ascii="仿宋_GB2312" w:eastAsia="仿宋_GB2312" w:hAnsi="仿宋_GB2312" w:cs="仿宋_GB2312" w:hint="eastAsia"/>
          <w:szCs w:val="32"/>
        </w:rPr>
        <w:t>下达巡林提示</w:t>
      </w:r>
      <w:proofErr w:type="gramEnd"/>
      <w:r>
        <w:rPr>
          <w:rFonts w:ascii="仿宋_GB2312" w:eastAsia="仿宋_GB2312" w:hAnsi="仿宋_GB2312" w:cs="仿宋_GB2312" w:hint="eastAsia"/>
          <w:szCs w:val="32"/>
        </w:rPr>
        <w:t>单，</w:t>
      </w:r>
      <w:proofErr w:type="gramStart"/>
      <w:r>
        <w:rPr>
          <w:rFonts w:ascii="仿宋_GB2312" w:eastAsia="仿宋_GB2312" w:hAnsi="仿宋_GB2312" w:cs="仿宋_GB2312" w:hint="eastAsia"/>
          <w:szCs w:val="32"/>
        </w:rPr>
        <w:t>汇总巡林情况</w:t>
      </w:r>
      <w:proofErr w:type="gramEnd"/>
      <w:r>
        <w:rPr>
          <w:rFonts w:ascii="仿宋_GB2312" w:eastAsia="仿宋_GB2312" w:hAnsi="仿宋_GB2312" w:cs="仿宋_GB2312" w:hint="eastAsia"/>
          <w:szCs w:val="32"/>
        </w:rPr>
        <w:t>。整合专职护林员队伍，全面实施森林资源网格化管理。</w:t>
      </w:r>
    </w:p>
    <w:p w14:paraId="5B6D7F0D" w14:textId="77777777" w:rsidR="00EE55DB" w:rsidRDefault="00000000">
      <w:pPr>
        <w:ind w:firstLine="643"/>
        <w:rPr>
          <w:rFonts w:ascii="仿宋_GB2312" w:eastAsia="仿宋_GB2312" w:hAnsi="仿宋_GB2312" w:cs="仿宋_GB2312"/>
          <w:szCs w:val="32"/>
        </w:rPr>
      </w:pPr>
      <w:r>
        <w:rPr>
          <w:rFonts w:hint="eastAsia"/>
          <w:b/>
          <w:bCs/>
        </w:rPr>
        <w:t>加强生物多样性保护。</w:t>
      </w:r>
      <w:r>
        <w:rPr>
          <w:rFonts w:ascii="仿宋_GB2312" w:eastAsia="仿宋_GB2312" w:hAnsi="仿宋_GB2312" w:cs="仿宋_GB2312" w:hint="eastAsia"/>
          <w:szCs w:val="32"/>
        </w:rPr>
        <w:t>依托全国首家生物多样性司法保护基地的建设，秉承严格执法、维护权益、注重预防、修复为主、公众参与等现代环境资源司法理念，通过巡回审判、法制宣传等形式，积极构建与鄱阳湖国家级自然保护区管理局双向互动机制，在推进生态文明建设进程中，更加有效地发挥司法的服务和保障职能，共同保护鄱阳湖“一池清水”和生物多样性生态环境。通过建设以国家公园为主体的自然保护地体系，实施水生生物资源养护工程，加快推进修河国家湿地公园基础建设，加强湿地候鸟保护，严厉打击破坏生态环境违法行为，保护水域生态安全，进一步修复和改善珍稀候鸟栖息地环境。</w:t>
      </w:r>
    </w:p>
    <w:p w14:paraId="12B0031F" w14:textId="77777777" w:rsidR="00EE55DB" w:rsidRDefault="00000000">
      <w:pPr>
        <w:ind w:firstLine="643"/>
        <w:rPr>
          <w:rFonts w:ascii="仿宋_GB2312" w:eastAsia="仿宋_GB2312" w:hAnsi="仿宋_GB2312" w:cs="仿宋_GB2312"/>
          <w:szCs w:val="32"/>
        </w:rPr>
      </w:pPr>
      <w:r>
        <w:rPr>
          <w:rFonts w:hint="eastAsia"/>
          <w:b/>
          <w:bCs/>
        </w:rPr>
        <w:t>构建山水林田湖草生命共同体。</w:t>
      </w:r>
      <w:r>
        <w:rPr>
          <w:rFonts w:ascii="仿宋_GB2312" w:eastAsia="仿宋_GB2312" w:hAnsi="仿宋_GB2312" w:cs="仿宋_GB2312" w:hint="eastAsia"/>
          <w:szCs w:val="32"/>
        </w:rPr>
        <w:t>充分利用山、水、林、湿地等生态要素，有效组合各种自然资源和绿色空间，构建城乡一体化、点线面结合、和谐优美的生态环境建设体系。在“十四五”期间，通过实施生态保护修复重大工程，重点解决山水林田湖草生态保护修复中水土流失、矿山环境破坏、水环境污染等影响区域性生态安全问题，实施包括流域水环境保护与整治、矿山环境修复、水土流失治理、生态系统与</w:t>
      </w:r>
      <w:r>
        <w:rPr>
          <w:rFonts w:ascii="仿宋_GB2312" w:eastAsia="仿宋_GB2312" w:hAnsi="仿宋_GB2312" w:cs="仿宋_GB2312" w:hint="eastAsia"/>
          <w:szCs w:val="32"/>
        </w:rPr>
        <w:lastRenderedPageBreak/>
        <w:t>生物多样性保护、土地整治与土壤改良等五大工程。</w:t>
      </w:r>
    </w:p>
    <w:p w14:paraId="0574773C" w14:textId="77777777" w:rsidR="00EE55DB" w:rsidRDefault="00000000">
      <w:pPr>
        <w:pStyle w:val="2"/>
        <w:spacing w:before="156" w:after="156"/>
      </w:pPr>
      <w:bookmarkStart w:id="98" w:name="_Toc16001"/>
      <w:r>
        <w:rPr>
          <w:rFonts w:hint="eastAsia"/>
        </w:rPr>
        <w:t>第二节</w:t>
      </w:r>
      <w:r>
        <w:t xml:space="preserve"> </w:t>
      </w:r>
      <w:r>
        <w:rPr>
          <w:rFonts w:hint="eastAsia"/>
        </w:rPr>
        <w:t>深入推进环境整治</w:t>
      </w:r>
      <w:bookmarkEnd w:id="98"/>
    </w:p>
    <w:p w14:paraId="600EEA66"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坚决打赢污染防治攻坚战。</w:t>
      </w:r>
      <w:r>
        <w:rPr>
          <w:rFonts w:ascii="仿宋_GB2312" w:eastAsia="仿宋_GB2312" w:hAnsi="仿宋_GB2312" w:cs="仿宋_GB2312" w:hint="eastAsia"/>
          <w:szCs w:val="32"/>
        </w:rPr>
        <w:t>坚持精准治污、科学治污、依法治污、继续深入打好污染防治攻坚战，推动生态环境在较高水平上持续改善。纵深推进蓝天保卫战，在城市扬尘、城市餐饮油烟、工业废气、柴油货车污染、农作物秸秆综合利用与禁烧、城市烟花鞭炮禁放、船舶污染等问题上进行协同控制和协同治理，全县空气达到二级标准。全方位打好碧水保卫战，加大入河入湖排污口排查整治力度，坚决取缔非法排污口，实现排放水质实时监控，着力推进城乡河道整治全覆盖工程，完善水质监测监管体系，健全水源地长效治理和保护管理机制。高质量打好净土保卫战，强化建设用地污染管控与修复，组织开展建设用地污染防治专项行动，加强医疗废物和危险废物安全处置，加强塑料污染治理和塑料替代品推广，持续推进化肥农药减量化，确保土壤环境质量安全稳定。加强农业面源污染防治，以基本农田、重要农产品产地、特色农产品基地为监管重点，开展土壤污染防治和修复，严格管控畜禽养殖，实施农药化肥“负增长”行动，推广水产生态化养殖技术。加大城市环境噪声控制力度，充分利用环保举报、环保信访信息管理系统等平台，加强噪声污染信访投诉处置，畅通噪声污染投诉渠道，建立多部门的噪声污染投诉信息共享机制。加强与公安、交通、城管、铁路、</w:t>
      </w:r>
      <w:r>
        <w:rPr>
          <w:rFonts w:ascii="仿宋_GB2312" w:eastAsia="仿宋_GB2312" w:hAnsi="仿宋_GB2312" w:cs="仿宋_GB2312" w:hint="eastAsia"/>
          <w:szCs w:val="32"/>
        </w:rPr>
        <w:lastRenderedPageBreak/>
        <w:t>民航等部门协调联动，严格各领域噪声排放源单位监管。加大固体废弃物处置力度。强化固体废物污染防治，贯彻落实国家固体废物进口管理制度改革措施，组织开展危险废物规范化管理考核、适时开展打击危险废物擅自处置专项行动。</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0"/>
      </w:tblGrid>
      <w:tr w:rsidR="00EE55DB" w14:paraId="27556692" w14:textId="77777777">
        <w:trPr>
          <w:jc w:val="center"/>
        </w:trPr>
        <w:tc>
          <w:tcPr>
            <w:tcW w:w="8270" w:type="dxa"/>
          </w:tcPr>
          <w:p w14:paraId="37432E56" w14:textId="77777777" w:rsidR="00EE55DB" w:rsidRDefault="00000000">
            <w:pPr>
              <w:pStyle w:val="21"/>
              <w:ind w:firstLineChars="0" w:firstLine="0"/>
              <w:jc w:val="center"/>
              <w:rPr>
                <w:rFonts w:cs="黑体"/>
              </w:rPr>
            </w:pPr>
            <w:r>
              <w:rPr>
                <w:rFonts w:cs="黑体" w:hint="eastAsia"/>
                <w:b/>
                <w:bCs/>
              </w:rPr>
              <w:t>专栏</w:t>
            </w:r>
            <w:r>
              <w:rPr>
                <w:rFonts w:cs="黑体"/>
                <w:b/>
                <w:bCs/>
              </w:rPr>
              <w:t xml:space="preserve">17  </w:t>
            </w:r>
            <w:r>
              <w:rPr>
                <w:rFonts w:cs="黑体" w:hint="eastAsia"/>
                <w:b/>
                <w:bCs/>
              </w:rPr>
              <w:t>环境治理重大工程</w:t>
            </w:r>
          </w:p>
        </w:tc>
      </w:tr>
      <w:tr w:rsidR="00EE55DB" w14:paraId="4BE7187D" w14:textId="77777777">
        <w:trPr>
          <w:jc w:val="center"/>
        </w:trPr>
        <w:tc>
          <w:tcPr>
            <w:tcW w:w="8270" w:type="dxa"/>
          </w:tcPr>
          <w:p w14:paraId="124CB3E7" w14:textId="77777777" w:rsidR="00EE55DB" w:rsidRDefault="00000000">
            <w:pPr>
              <w:pStyle w:val="21"/>
              <w:ind w:firstLine="482"/>
              <w:rPr>
                <w:rFonts w:cs="黑体"/>
                <w:b/>
                <w:bCs/>
              </w:rPr>
            </w:pPr>
            <w:r>
              <w:rPr>
                <w:rFonts w:cs="黑体" w:hint="eastAsia"/>
                <w:b/>
                <w:bCs/>
              </w:rPr>
              <w:t>（一）</w:t>
            </w:r>
            <w:proofErr w:type="gramStart"/>
            <w:r>
              <w:rPr>
                <w:rFonts w:cs="黑体" w:hint="eastAsia"/>
                <w:b/>
                <w:bCs/>
              </w:rPr>
              <w:t>大气污染物减排</w:t>
            </w:r>
            <w:proofErr w:type="gramEnd"/>
            <w:r>
              <w:rPr>
                <w:rFonts w:cs="黑体" w:hint="eastAsia"/>
                <w:b/>
                <w:bCs/>
              </w:rPr>
              <w:t>工程</w:t>
            </w:r>
          </w:p>
          <w:p w14:paraId="239E55A0" w14:textId="77777777" w:rsidR="00EE55DB" w:rsidRDefault="00000000">
            <w:pPr>
              <w:pStyle w:val="21"/>
              <w:ind w:firstLine="480"/>
              <w:rPr>
                <w:rFonts w:cs="黑体"/>
              </w:rPr>
            </w:pPr>
            <w:r>
              <w:rPr>
                <w:rFonts w:cs="黑体" w:hint="eastAsia"/>
              </w:rPr>
              <w:t>对所有大气重点污染源企业完成自动监测安装、联网工作，充分利用星火工业园智慧平台实时监测数据和企业在线监测数据，建设九江市永修县星火工业园废气监控加密及智慧监控平台升级项目。</w:t>
            </w:r>
          </w:p>
          <w:p w14:paraId="0C479127" w14:textId="77777777" w:rsidR="00EE55DB" w:rsidRDefault="00000000">
            <w:pPr>
              <w:pStyle w:val="21"/>
              <w:ind w:firstLine="482"/>
              <w:rPr>
                <w:rFonts w:cs="黑体"/>
                <w:b/>
                <w:bCs/>
              </w:rPr>
            </w:pPr>
            <w:r>
              <w:rPr>
                <w:rFonts w:cs="黑体" w:hint="eastAsia"/>
                <w:b/>
                <w:bCs/>
              </w:rPr>
              <w:t>（二）水环境污染治理工程</w:t>
            </w:r>
          </w:p>
          <w:p w14:paraId="30983739" w14:textId="77777777" w:rsidR="00EE55DB" w:rsidRDefault="00000000">
            <w:pPr>
              <w:pStyle w:val="21"/>
              <w:ind w:firstLine="480"/>
              <w:rPr>
                <w:rFonts w:cs="黑体"/>
              </w:rPr>
            </w:pPr>
            <w:r>
              <w:rPr>
                <w:rFonts w:cs="黑体" w:hint="eastAsia"/>
              </w:rPr>
              <w:t>完善城镇污水处理管网工程建设，升级改造污水处理设施，强化脱氮除磷功能，落实好污泥处置等问题的整改。推进永修县水环境综合治理监管及应急预警体系建设项目，深入推进鄱阳湖沿线及修</w:t>
            </w:r>
            <w:proofErr w:type="gramStart"/>
            <w:r>
              <w:rPr>
                <w:rFonts w:cs="黑体" w:hint="eastAsia"/>
              </w:rPr>
              <w:t>潦河沿线吴城镇</w:t>
            </w:r>
            <w:proofErr w:type="gramEnd"/>
            <w:r>
              <w:rPr>
                <w:rFonts w:cs="黑体" w:hint="eastAsia"/>
              </w:rPr>
              <w:t>、恒丰企业集团、三角乡、马口镇、永丰垦殖场、涂埠镇等污水处理项目建设。巩固黑臭水体治理成效，保证城区黑臭水体长治久清，落实建设九江市永修县乡镇集镇污水处理设施及配套管网</w:t>
            </w:r>
            <w:r>
              <w:rPr>
                <w:rFonts w:cs="黑体"/>
              </w:rPr>
              <w:t>PPP</w:t>
            </w:r>
            <w:r>
              <w:rPr>
                <w:rFonts w:cs="黑体" w:hint="eastAsia"/>
              </w:rPr>
              <w:t>项目和九江市永修县星火、云山、城南</w:t>
            </w:r>
            <w:proofErr w:type="gramStart"/>
            <w:r>
              <w:rPr>
                <w:rFonts w:cs="黑体" w:hint="eastAsia"/>
              </w:rPr>
              <w:t>工业园雨污</w:t>
            </w:r>
            <w:proofErr w:type="gramEnd"/>
            <w:r>
              <w:rPr>
                <w:rFonts w:cs="黑体" w:hint="eastAsia"/>
              </w:rPr>
              <w:t>管网综合整治工程项目。</w:t>
            </w:r>
          </w:p>
          <w:p w14:paraId="5A8B4612" w14:textId="77777777" w:rsidR="00EE55DB" w:rsidRDefault="00000000">
            <w:pPr>
              <w:pStyle w:val="21"/>
              <w:ind w:firstLine="482"/>
              <w:rPr>
                <w:rFonts w:cs="黑体"/>
                <w:b/>
                <w:bCs/>
              </w:rPr>
            </w:pPr>
            <w:r>
              <w:rPr>
                <w:rFonts w:cs="黑体" w:hint="eastAsia"/>
                <w:b/>
                <w:bCs/>
              </w:rPr>
              <w:t>（三）土壤污染防治工程</w:t>
            </w:r>
          </w:p>
          <w:p w14:paraId="2C0BFB81" w14:textId="77777777" w:rsidR="00EE55DB" w:rsidRDefault="00000000">
            <w:pPr>
              <w:pStyle w:val="21"/>
              <w:ind w:firstLine="480"/>
              <w:rPr>
                <w:rFonts w:cs="黑体"/>
              </w:rPr>
            </w:pPr>
            <w:r>
              <w:rPr>
                <w:rFonts w:cs="黑体" w:hint="eastAsia"/>
              </w:rPr>
              <w:t>组织开展建设用地污染防治专项行动，持续推进重点行业企业用地土壤污染状况调查工作，完成基础信息采集和风险筛查，确定采样调查清单，启动初步采样调查工作，建立建设用地土壤污染风险管控和修复名录。</w:t>
            </w:r>
          </w:p>
          <w:p w14:paraId="62BC4AF8" w14:textId="77777777" w:rsidR="00EE55DB" w:rsidRDefault="00000000">
            <w:pPr>
              <w:pStyle w:val="21"/>
              <w:ind w:firstLine="482"/>
              <w:rPr>
                <w:rFonts w:cs="黑体"/>
                <w:b/>
                <w:bCs/>
              </w:rPr>
            </w:pPr>
            <w:r>
              <w:rPr>
                <w:rFonts w:cs="黑体" w:hint="eastAsia"/>
                <w:b/>
                <w:bCs/>
              </w:rPr>
              <w:t>（四）农业面源污染防治工程</w:t>
            </w:r>
          </w:p>
          <w:p w14:paraId="6C94F464" w14:textId="77777777" w:rsidR="00EE55DB" w:rsidRDefault="00000000">
            <w:pPr>
              <w:pStyle w:val="21"/>
              <w:ind w:firstLine="480"/>
              <w:rPr>
                <w:rFonts w:cs="黑体"/>
              </w:rPr>
            </w:pPr>
            <w:r>
              <w:rPr>
                <w:rFonts w:cs="黑体" w:hint="eastAsia"/>
              </w:rPr>
              <w:t>防治畜禽养殖污染。规模化畜禽养殖场（小区）应根据污染防治需要，配套建设粪水贮存、处理、利用设施，规模化畜禽养殖场（小区）配套建设，对废弃物依法依规处置，开展九江市永修县杨柳津河</w:t>
            </w:r>
            <w:r>
              <w:rPr>
                <w:rFonts w:cs="黑体"/>
              </w:rPr>
              <w:t>-</w:t>
            </w:r>
            <w:r>
              <w:rPr>
                <w:rFonts w:cs="黑体" w:hint="eastAsia"/>
              </w:rPr>
              <w:t>修河流域农业面源污染治理项目。</w:t>
            </w:r>
          </w:p>
          <w:p w14:paraId="29709A8A" w14:textId="77777777" w:rsidR="00EE55DB" w:rsidRDefault="00000000">
            <w:pPr>
              <w:pStyle w:val="21"/>
              <w:ind w:firstLine="482"/>
              <w:rPr>
                <w:rFonts w:cs="黑体"/>
                <w:b/>
                <w:bCs/>
              </w:rPr>
            </w:pPr>
            <w:r>
              <w:rPr>
                <w:rFonts w:cs="黑体" w:hint="eastAsia"/>
                <w:b/>
                <w:bCs/>
              </w:rPr>
              <w:t>（五）固体废物污染防治工程</w:t>
            </w:r>
          </w:p>
          <w:p w14:paraId="5FE55D7F" w14:textId="77777777" w:rsidR="00EE55DB" w:rsidRDefault="00000000">
            <w:pPr>
              <w:pStyle w:val="21"/>
              <w:ind w:firstLine="480"/>
              <w:rPr>
                <w:rFonts w:cs="黑体"/>
              </w:rPr>
            </w:pPr>
            <w:r>
              <w:rPr>
                <w:rFonts w:cs="黑体" w:hint="eastAsia"/>
              </w:rPr>
              <w:t>推进一般工业固体废物治理，支持因地制宜建设处置点。加快建设九江市</w:t>
            </w:r>
            <w:r>
              <w:rPr>
                <w:rFonts w:cs="黑体" w:hint="eastAsia"/>
              </w:rPr>
              <w:lastRenderedPageBreak/>
              <w:t>永修县垃圾焚烧发电厂项目，提升垃圾处理水平，改善生活环境质量。加快推进医疗废物处置能力建设。</w:t>
            </w:r>
          </w:p>
          <w:p w14:paraId="7D40C845" w14:textId="77777777" w:rsidR="00EE55DB" w:rsidRDefault="00000000">
            <w:pPr>
              <w:pStyle w:val="21"/>
              <w:ind w:firstLine="482"/>
              <w:rPr>
                <w:rFonts w:cs="黑体"/>
                <w:b/>
                <w:bCs/>
              </w:rPr>
            </w:pPr>
            <w:r>
              <w:rPr>
                <w:rFonts w:cs="黑体" w:hint="eastAsia"/>
                <w:b/>
                <w:bCs/>
              </w:rPr>
              <w:t>（六）生物多样性保护工程</w:t>
            </w:r>
          </w:p>
          <w:p w14:paraId="394FF7ED" w14:textId="77777777" w:rsidR="00EE55DB" w:rsidRDefault="00000000">
            <w:pPr>
              <w:pStyle w:val="21"/>
              <w:ind w:firstLine="480"/>
              <w:rPr>
                <w:rFonts w:cs="黑体"/>
              </w:rPr>
            </w:pPr>
            <w:r>
              <w:rPr>
                <w:rFonts w:cs="黑体" w:hint="eastAsia"/>
              </w:rPr>
              <w:t>健全生物多样性保护管理体系，加大自然保护区建设，组织开展野生动植物资源调查，推进永修县吴城候鸟小镇生态系统工程，打造候鸟保护品牌。</w:t>
            </w:r>
          </w:p>
        </w:tc>
      </w:tr>
    </w:tbl>
    <w:p w14:paraId="7BA341A2" w14:textId="77777777" w:rsidR="00EE55DB" w:rsidRDefault="00000000">
      <w:pPr>
        <w:pStyle w:val="2"/>
        <w:spacing w:before="156" w:after="156"/>
      </w:pPr>
      <w:bookmarkStart w:id="99" w:name="_Toc24941"/>
      <w:r>
        <w:rPr>
          <w:rFonts w:hint="eastAsia"/>
        </w:rPr>
        <w:lastRenderedPageBreak/>
        <w:t>第三节</w:t>
      </w:r>
      <w:r>
        <w:t xml:space="preserve"> </w:t>
      </w:r>
      <w:r>
        <w:rPr>
          <w:rFonts w:hint="eastAsia"/>
        </w:rPr>
        <w:t>加快推动绿色低碳发展</w:t>
      </w:r>
      <w:bookmarkEnd w:id="99"/>
    </w:p>
    <w:p w14:paraId="4119D5F8" w14:textId="77777777" w:rsidR="00EE55DB" w:rsidRDefault="00000000">
      <w:pPr>
        <w:ind w:firstLine="643"/>
        <w:rPr>
          <w:rFonts w:ascii="仿宋_GB2312" w:eastAsia="仿宋_GB2312" w:hAnsi="仿宋_GB2312" w:cs="仿宋_GB2312"/>
          <w:szCs w:val="32"/>
        </w:rPr>
      </w:pPr>
      <w:r>
        <w:rPr>
          <w:rFonts w:hint="eastAsia"/>
          <w:b/>
          <w:bCs/>
        </w:rPr>
        <w:t>推行绿色生产方式。</w:t>
      </w:r>
      <w:r>
        <w:rPr>
          <w:rFonts w:ascii="仿宋_GB2312" w:eastAsia="仿宋_GB2312" w:hAnsi="仿宋_GB2312" w:cs="仿宋_GB2312" w:hint="eastAsia"/>
          <w:szCs w:val="32"/>
        </w:rPr>
        <w:t>大力发展生态循环农业，打造生态环保产业基地，积极推进化肥、农药减量，加快节水农业、生态农业发展，打造绿色农业产业体系。加快传统产业绿色转型升级步伐，积极推动清洁能源低碳安全高效利用，引导企业加大绿色生产技术的应用，实现生产线绿色化改造，鼓励园区企业大力发展清洁生产、清洁能源、基础设施绿色升级等产业。完善绿色产业指导目录，健全落后产能退出机制。大力发展绿色建筑。创新发展绿色金融，支持金融机构创新绿色信贷产品和服务。</w:t>
      </w:r>
    </w:p>
    <w:p w14:paraId="17325726" w14:textId="77777777" w:rsidR="00EE55DB" w:rsidRDefault="00000000">
      <w:pPr>
        <w:ind w:firstLine="643"/>
        <w:rPr>
          <w:rFonts w:ascii="仿宋_GB2312" w:eastAsia="仿宋_GB2312" w:hAnsi="仿宋_GB2312" w:cs="仿宋_GB2312"/>
          <w:szCs w:val="32"/>
        </w:rPr>
      </w:pPr>
      <w:r>
        <w:rPr>
          <w:rFonts w:hint="eastAsia"/>
          <w:b/>
          <w:bCs/>
        </w:rPr>
        <w:t>倡导绿色生活和消费方式。</w:t>
      </w:r>
      <w:r>
        <w:rPr>
          <w:rFonts w:ascii="仿宋_GB2312" w:eastAsia="仿宋_GB2312" w:hAnsi="仿宋_GB2312" w:cs="仿宋_GB2312" w:hint="eastAsia"/>
          <w:szCs w:val="32"/>
        </w:rPr>
        <w:t>大力开展绿色生活创建活动，全面开展生活垃圾分类，着力构建垃圾分类回收利用和处理体系；推广使用可循环利用物品，推动资源化循环化利用；倡导绿色出行，引导公众养成绿色低碳的生活习惯和理念，实施节能新能源汽车，加快构建便利高效的充电网络体系，提升现代化客运服务水平，推进实施旅客联城联运，引导居民采用“步行</w:t>
      </w:r>
      <w:r>
        <w:rPr>
          <w:rFonts w:ascii="仿宋_GB2312" w:eastAsia="仿宋_GB2312" w:hAnsi="仿宋_GB2312" w:cs="仿宋_GB2312"/>
          <w:szCs w:val="32"/>
        </w:rPr>
        <w:t>+</w:t>
      </w:r>
      <w:r>
        <w:rPr>
          <w:rFonts w:ascii="仿宋_GB2312" w:eastAsia="仿宋_GB2312" w:hAnsi="仿宋_GB2312" w:cs="仿宋_GB2312" w:hint="eastAsia"/>
          <w:szCs w:val="32"/>
        </w:rPr>
        <w:t>公交”“自行车</w:t>
      </w:r>
      <w:r>
        <w:rPr>
          <w:rFonts w:ascii="仿宋_GB2312" w:eastAsia="仿宋_GB2312" w:hAnsi="仿宋_GB2312" w:cs="仿宋_GB2312"/>
          <w:szCs w:val="32"/>
        </w:rPr>
        <w:t>+</w:t>
      </w:r>
      <w:r>
        <w:rPr>
          <w:rFonts w:ascii="仿宋_GB2312" w:eastAsia="仿宋_GB2312" w:hAnsi="仿宋_GB2312" w:cs="仿宋_GB2312" w:hint="eastAsia"/>
          <w:szCs w:val="32"/>
        </w:rPr>
        <w:t>公交”的出行模式；全面实施绿色办公，建立废旧办公用品回收机制。建立</w:t>
      </w:r>
      <w:proofErr w:type="gramStart"/>
      <w:r>
        <w:rPr>
          <w:rFonts w:ascii="仿宋_GB2312" w:eastAsia="仿宋_GB2312" w:hAnsi="仿宋_GB2312" w:cs="仿宋_GB2312" w:hint="eastAsia"/>
          <w:szCs w:val="32"/>
        </w:rPr>
        <w:t>完善低</w:t>
      </w:r>
      <w:proofErr w:type="gramEnd"/>
      <w:r>
        <w:rPr>
          <w:rFonts w:ascii="仿宋_GB2312" w:eastAsia="仿宋_GB2312" w:hAnsi="仿宋_GB2312" w:cs="仿宋_GB2312" w:hint="eastAsia"/>
          <w:szCs w:val="32"/>
        </w:rPr>
        <w:t>碳</w:t>
      </w:r>
      <w:r>
        <w:rPr>
          <w:rFonts w:ascii="仿宋_GB2312" w:eastAsia="仿宋_GB2312" w:hAnsi="仿宋_GB2312" w:cs="仿宋_GB2312" w:hint="eastAsia"/>
          <w:szCs w:val="32"/>
        </w:rPr>
        <w:lastRenderedPageBreak/>
        <w:t>循环经济体系，增加绿色产品供给和消费。</w:t>
      </w:r>
    </w:p>
    <w:p w14:paraId="01460E4C" w14:textId="77777777" w:rsidR="00EE55DB" w:rsidRDefault="00000000">
      <w:pPr>
        <w:pStyle w:val="2"/>
        <w:spacing w:before="156" w:after="156"/>
      </w:pPr>
      <w:bookmarkStart w:id="100" w:name="_Toc10124"/>
      <w:r>
        <w:rPr>
          <w:rFonts w:hint="eastAsia"/>
        </w:rPr>
        <w:t>第四节</w:t>
      </w:r>
      <w:r>
        <w:t xml:space="preserve"> </w:t>
      </w:r>
      <w:r>
        <w:rPr>
          <w:rFonts w:hint="eastAsia"/>
        </w:rPr>
        <w:t>完善生态文明制度</w:t>
      </w:r>
      <w:bookmarkEnd w:id="100"/>
    </w:p>
    <w:p w14:paraId="779F23A4" w14:textId="77777777" w:rsidR="00EE55DB" w:rsidRDefault="00000000">
      <w:pPr>
        <w:ind w:firstLine="643"/>
        <w:rPr>
          <w:rFonts w:ascii="仿宋_GB2312" w:eastAsia="仿宋_GB2312" w:hAnsi="仿宋_GB2312" w:cs="仿宋_GB2312"/>
          <w:szCs w:val="32"/>
        </w:rPr>
      </w:pPr>
      <w:r>
        <w:rPr>
          <w:rFonts w:hint="eastAsia"/>
          <w:b/>
          <w:bCs/>
        </w:rPr>
        <w:t>完善资源高效利用制度。</w:t>
      </w:r>
      <w:r>
        <w:rPr>
          <w:rFonts w:ascii="仿宋_GB2312" w:eastAsia="仿宋_GB2312" w:hAnsi="仿宋_GB2312" w:cs="仿宋_GB2312" w:hint="eastAsia"/>
          <w:szCs w:val="32"/>
        </w:rPr>
        <w:t>完善环境保护、节能减排约束性指标管理，实行能源、水资源消耗、建设用地等总量和强度双控行动。建立碳排放和水资源刚性约束制度，完善空气污染物预警监测力度，精准科学实施季节性差异化管控措施，建立</w:t>
      </w:r>
      <w:proofErr w:type="gramStart"/>
      <w:r>
        <w:rPr>
          <w:rFonts w:ascii="仿宋_GB2312" w:eastAsia="仿宋_GB2312" w:hAnsi="仿宋_GB2312" w:cs="仿宋_GB2312" w:hint="eastAsia"/>
          <w:szCs w:val="32"/>
        </w:rPr>
        <w:t>健全重点</w:t>
      </w:r>
      <w:proofErr w:type="gramEnd"/>
      <w:r>
        <w:rPr>
          <w:rFonts w:ascii="仿宋_GB2312" w:eastAsia="仿宋_GB2312" w:hAnsi="仿宋_GB2312" w:cs="仿宋_GB2312" w:hint="eastAsia"/>
          <w:szCs w:val="32"/>
        </w:rPr>
        <w:t>领域资源环境价格制度，实现生态环境成本内部化；完善水质监测监管体系，健全水源地长效治理和保护管理机制。全面落实保护发展森林资源目标责任制，建立对重点行业企业用地土壤污染状况的监督和修复机制，建立健全化学品、持久性有机污染物、危险废物等环境风险防范与应急管理工作机制。</w:t>
      </w:r>
    </w:p>
    <w:p w14:paraId="2F2746F6" w14:textId="77777777" w:rsidR="00EE55DB" w:rsidRDefault="00000000">
      <w:pPr>
        <w:ind w:firstLine="643"/>
        <w:rPr>
          <w:rFonts w:ascii="仿宋_GB2312" w:eastAsia="仿宋_GB2312" w:hAnsi="仿宋_GB2312" w:cs="仿宋_GB2312"/>
          <w:szCs w:val="32"/>
        </w:rPr>
      </w:pPr>
      <w:r>
        <w:rPr>
          <w:rFonts w:hint="eastAsia"/>
          <w:b/>
          <w:bCs/>
        </w:rPr>
        <w:t>深化生态文明体制改革。</w:t>
      </w:r>
      <w:r>
        <w:rPr>
          <w:rFonts w:ascii="仿宋_GB2312" w:eastAsia="仿宋_GB2312" w:hAnsi="仿宋_GB2312" w:cs="仿宋_GB2312" w:hint="eastAsia"/>
          <w:szCs w:val="32"/>
        </w:rPr>
        <w:t>建立安全可靠的生态环保体系。完善空间用途管制措施，严守生态保护红线、耕田和永久基本农田保护红线、水资源保护红线。积极探索</w:t>
      </w:r>
      <w:proofErr w:type="gramStart"/>
      <w:r>
        <w:rPr>
          <w:rFonts w:ascii="仿宋_GB2312" w:eastAsia="仿宋_GB2312" w:hAnsi="仿宋_GB2312" w:cs="仿宋_GB2312" w:hint="eastAsia"/>
          <w:szCs w:val="32"/>
        </w:rPr>
        <w:t>开展碳排放权</w:t>
      </w:r>
      <w:proofErr w:type="gramEnd"/>
      <w:r>
        <w:rPr>
          <w:rFonts w:ascii="仿宋_GB2312" w:eastAsia="仿宋_GB2312" w:hAnsi="仿宋_GB2312" w:cs="仿宋_GB2312" w:hint="eastAsia"/>
          <w:szCs w:val="32"/>
        </w:rPr>
        <w:t>、排污权、用能权、水权等交易试点。提高绿色门槛，强化资源高消耗行业的市场准入条件，强化重点行业污染物减排的监管，加强生态区域保护、环境综合治理和生物多样性保护。健全生态文明长效考核制度体系。加大对城乡环境长效管护机制。完善生态文明建设考核评价、</w:t>
      </w:r>
      <w:proofErr w:type="gramStart"/>
      <w:r>
        <w:rPr>
          <w:rFonts w:ascii="仿宋_GB2312" w:eastAsia="仿宋_GB2312" w:hAnsi="仿宋_GB2312" w:cs="仿宋_GB2312" w:hint="eastAsia"/>
          <w:szCs w:val="32"/>
        </w:rPr>
        <w:t>约谈问</w:t>
      </w:r>
      <w:proofErr w:type="gramEnd"/>
      <w:r>
        <w:rPr>
          <w:rFonts w:ascii="仿宋_GB2312" w:eastAsia="仿宋_GB2312" w:hAnsi="仿宋_GB2312" w:cs="仿宋_GB2312" w:hint="eastAsia"/>
          <w:szCs w:val="32"/>
        </w:rPr>
        <w:t>责制度。将生态文化知识和生态意识教育纳入国民教育和继续教育体系，加强生态教育能力建设。创新环保司法和执法体制，探索成立</w:t>
      </w:r>
      <w:r>
        <w:rPr>
          <w:rFonts w:ascii="仿宋_GB2312" w:eastAsia="仿宋_GB2312" w:hAnsi="仿宋_GB2312" w:cs="仿宋_GB2312" w:hint="eastAsia"/>
          <w:szCs w:val="32"/>
        </w:rPr>
        <w:lastRenderedPageBreak/>
        <w:t>生态综合执法机构，探索自然资源资产负责表编制试点、党政领导干部自然资源资产离任审计试点。</w:t>
      </w:r>
    </w:p>
    <w:p w14:paraId="10DA1E77" w14:textId="77777777" w:rsidR="00EE55DB" w:rsidRDefault="00000000">
      <w:pPr>
        <w:ind w:firstLine="643"/>
        <w:rPr>
          <w:rFonts w:ascii="仿宋_GB2312" w:eastAsia="仿宋_GB2312" w:hAnsi="仿宋_GB2312" w:cs="仿宋_GB2312"/>
          <w:szCs w:val="32"/>
        </w:rPr>
      </w:pPr>
      <w:r>
        <w:rPr>
          <w:rFonts w:hint="eastAsia"/>
          <w:b/>
          <w:bCs/>
        </w:rPr>
        <w:t>落实生态环境保护责任制度。</w:t>
      </w:r>
      <w:r>
        <w:rPr>
          <w:rFonts w:ascii="仿宋_GB2312" w:eastAsia="仿宋_GB2312" w:hAnsi="仿宋_GB2312" w:cs="仿宋_GB2312" w:hint="eastAsia"/>
          <w:szCs w:val="32"/>
        </w:rPr>
        <w:t>完善生态文明建设目标评价考核制度，健全绿色发展评估体系，构建党委领导、政府主导、部门协同、企业主体、社会参与的生态环境保护工作机制。严格执行领导干部自然资源资产离任审计和任职期间自然资源资产审计制度。实行生态环境保护综合行政执法，落实中央生态环境保护督察制度，健全县级生态环境保护督察和区域环境监察体制机制。构建科学、独立、权威、高效的生态环境监测和评价体系，制定全覆盖、可追溯的生态环境</w:t>
      </w:r>
      <w:proofErr w:type="gramStart"/>
      <w:r>
        <w:rPr>
          <w:rFonts w:ascii="仿宋_GB2312" w:eastAsia="仿宋_GB2312" w:hAnsi="仿宋_GB2312" w:cs="仿宋_GB2312" w:hint="eastAsia"/>
          <w:szCs w:val="32"/>
        </w:rPr>
        <w:t>监测全</w:t>
      </w:r>
      <w:proofErr w:type="gramEnd"/>
      <w:r>
        <w:rPr>
          <w:rFonts w:ascii="仿宋_GB2312" w:eastAsia="仿宋_GB2312" w:hAnsi="仿宋_GB2312" w:cs="仿宋_GB2312" w:hint="eastAsia"/>
          <w:szCs w:val="32"/>
        </w:rPr>
        <w:t>过程控制制度。规范发展环保社会组织，健全生态环境公益诉讼工作机制，加强检察机关提起公益诉讼工作。落实生态环境损害赔偿制度，实行生态环境损害责任终身追究制。</w:t>
      </w:r>
    </w:p>
    <w:p w14:paraId="1ACF7F91" w14:textId="77777777" w:rsidR="00EE55DB" w:rsidRDefault="00000000">
      <w:pPr>
        <w:ind w:firstLine="643"/>
        <w:rPr>
          <w:rFonts w:ascii="仿宋_GB2312" w:eastAsia="仿宋_GB2312" w:hAnsi="仿宋_GB2312" w:cs="仿宋_GB2312"/>
          <w:szCs w:val="32"/>
        </w:rPr>
      </w:pPr>
      <w:r>
        <w:rPr>
          <w:rFonts w:hint="eastAsia"/>
          <w:b/>
          <w:bCs/>
        </w:rPr>
        <w:t>建立绿水青山与金山银山双向转换机制。</w:t>
      </w:r>
      <w:r>
        <w:rPr>
          <w:rFonts w:ascii="仿宋_GB2312" w:eastAsia="仿宋_GB2312" w:hAnsi="仿宋_GB2312" w:cs="仿宋_GB2312" w:hint="eastAsia"/>
          <w:szCs w:val="32"/>
        </w:rPr>
        <w:t>强化生态有价、绿色资产的观念，提升绿色资源转换率。健全全民所有自然资源资产有偿使用制度改革试点，健全自然资源资产有偿使用制度。建立生态产品价值核算体系，健全生态资产与生态产品市场交易的体制机制，推进环境污染责任保险、企业环境信用评价、绿色信贷等环境政策，不断挖掘和实现生态产品的市场价值。健全生态补偿制度，建立多元化多渠道的补偿资金筹措机制。</w:t>
      </w:r>
    </w:p>
    <w:p w14:paraId="255DAA54" w14:textId="77777777" w:rsidR="00EE55DB" w:rsidRDefault="00000000">
      <w:pPr>
        <w:ind w:firstLine="640"/>
      </w:pPr>
      <w:r>
        <w:lastRenderedPageBreak/>
        <w:br w:type="page"/>
      </w:r>
    </w:p>
    <w:p w14:paraId="155C2B64" w14:textId="77777777" w:rsidR="00EE55DB" w:rsidRDefault="00000000">
      <w:pPr>
        <w:pStyle w:val="1"/>
        <w:spacing w:before="156" w:after="156"/>
      </w:pPr>
      <w:bookmarkStart w:id="101" w:name="_Toc28180"/>
      <w:r>
        <w:rPr>
          <w:rFonts w:hint="eastAsia"/>
        </w:rPr>
        <w:lastRenderedPageBreak/>
        <w:t>第十章</w:t>
      </w:r>
      <w:r>
        <w:t xml:space="preserve"> </w:t>
      </w:r>
      <w:r>
        <w:rPr>
          <w:rFonts w:hint="eastAsia"/>
        </w:rPr>
        <w:t>厚植县域文化内涵，着力打造以文兴城新样板</w:t>
      </w:r>
      <w:bookmarkEnd w:id="101"/>
    </w:p>
    <w:p w14:paraId="0BF94AC3"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坚持以社会主义核心价值观引领文化建设，不断提高社会文明程度，挖掘和传承永修特色文化底蕴，坚定文化自信，围绕建设文化强县，坚持文化为人民服务、为社会主义服务，基本形成覆盖城乡</w:t>
      </w:r>
      <w:proofErr w:type="gramStart"/>
      <w:r>
        <w:rPr>
          <w:rFonts w:ascii="仿宋_GB2312" w:eastAsia="仿宋_GB2312" w:hAnsi="仿宋_GB2312" w:cs="仿宋_GB2312" w:hint="eastAsia"/>
          <w:szCs w:val="32"/>
        </w:rPr>
        <w:t>普惠式的</w:t>
      </w:r>
      <w:proofErr w:type="gramEnd"/>
      <w:r>
        <w:rPr>
          <w:rFonts w:ascii="仿宋_GB2312" w:eastAsia="仿宋_GB2312" w:hAnsi="仿宋_GB2312" w:cs="仿宋_GB2312" w:hint="eastAsia"/>
          <w:szCs w:val="32"/>
        </w:rPr>
        <w:t>公共文化供给服务体系，以文化建设的丰硕成果满足人民群众多层次、多方面、多样化的精神文化需求。</w:t>
      </w:r>
    </w:p>
    <w:p w14:paraId="75B5CD7D" w14:textId="77777777" w:rsidR="00EE55DB" w:rsidRDefault="00000000">
      <w:pPr>
        <w:pStyle w:val="2"/>
        <w:spacing w:before="156" w:after="156"/>
      </w:pPr>
      <w:bookmarkStart w:id="102" w:name="_Toc2582"/>
      <w:r>
        <w:rPr>
          <w:rFonts w:hint="eastAsia"/>
        </w:rPr>
        <w:t>第一节</w:t>
      </w:r>
      <w:r>
        <w:t xml:space="preserve"> </w:t>
      </w:r>
      <w:r>
        <w:rPr>
          <w:rFonts w:hint="eastAsia"/>
        </w:rPr>
        <w:t>全面提高社会文明程度</w:t>
      </w:r>
      <w:bookmarkEnd w:id="102"/>
    </w:p>
    <w:p w14:paraId="5A992C85" w14:textId="77777777" w:rsidR="00EE55DB" w:rsidRDefault="00000000">
      <w:pPr>
        <w:ind w:firstLine="643"/>
        <w:rPr>
          <w:rFonts w:ascii="仿宋_GB2312" w:eastAsia="仿宋_GB2312" w:hAnsi="仿宋_GB2312" w:cs="仿宋_GB2312"/>
          <w:szCs w:val="32"/>
        </w:rPr>
      </w:pPr>
      <w:r>
        <w:rPr>
          <w:rFonts w:hint="eastAsia"/>
          <w:b/>
          <w:bCs/>
        </w:rPr>
        <w:t>落实意识形态工作常态化。</w:t>
      </w:r>
      <w:r>
        <w:rPr>
          <w:rFonts w:ascii="仿宋_GB2312" w:eastAsia="仿宋_GB2312" w:hAnsi="仿宋_GB2312" w:cs="仿宋_GB2312" w:hint="eastAsia"/>
          <w:szCs w:val="32"/>
        </w:rPr>
        <w:t>加强理论宣传阐释，创新学习宣传方式，注重实效，办好“新时代文明实践中心”，加强</w:t>
      </w:r>
      <w:proofErr w:type="gramStart"/>
      <w:r>
        <w:rPr>
          <w:rFonts w:ascii="仿宋_GB2312" w:eastAsia="仿宋_GB2312" w:hAnsi="仿宋_GB2312" w:cs="仿宋_GB2312" w:hint="eastAsia"/>
          <w:szCs w:val="32"/>
        </w:rPr>
        <w:t>融媒体</w:t>
      </w:r>
      <w:proofErr w:type="gramEnd"/>
      <w:r>
        <w:rPr>
          <w:rFonts w:ascii="仿宋_GB2312" w:eastAsia="仿宋_GB2312" w:hAnsi="仿宋_GB2312" w:cs="仿宋_GB2312" w:hint="eastAsia"/>
          <w:szCs w:val="32"/>
        </w:rPr>
        <w:t>中心建设，推广“学习强国”平台应用，推动习近平新时代中国特色社会主义思想进企业、进农村、进机关、进校园、进社区。健全党委</w:t>
      </w:r>
      <w:r>
        <w:rPr>
          <w:rFonts w:ascii="仿宋_GB2312" w:eastAsia="仿宋_GB2312" w:hAnsi="仿宋_GB2312" w:cs="仿宋_GB2312"/>
          <w:szCs w:val="32"/>
        </w:rPr>
        <w:t>(</w:t>
      </w:r>
      <w:r>
        <w:rPr>
          <w:rFonts w:ascii="仿宋_GB2312" w:eastAsia="仿宋_GB2312" w:hAnsi="仿宋_GB2312" w:cs="仿宋_GB2312" w:hint="eastAsia"/>
          <w:szCs w:val="32"/>
        </w:rPr>
        <w:t>党组</w:t>
      </w:r>
      <w:r>
        <w:rPr>
          <w:rFonts w:ascii="仿宋_GB2312" w:eastAsia="仿宋_GB2312" w:hAnsi="仿宋_GB2312" w:cs="仿宋_GB2312"/>
          <w:szCs w:val="32"/>
        </w:rPr>
        <w:t>)</w:t>
      </w:r>
      <w:r>
        <w:rPr>
          <w:rFonts w:ascii="仿宋_GB2312" w:eastAsia="仿宋_GB2312" w:hAnsi="仿宋_GB2312" w:cs="仿宋_GB2312" w:hint="eastAsia"/>
          <w:szCs w:val="32"/>
        </w:rPr>
        <w:t>意识形态领城重大情况分析</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判和定期通报制度，常态</w:t>
      </w:r>
      <w:proofErr w:type="gramStart"/>
      <w:r>
        <w:rPr>
          <w:rFonts w:ascii="仿宋_GB2312" w:eastAsia="仿宋_GB2312" w:hAnsi="仿宋_GB2312" w:cs="仿宋_GB2312" w:hint="eastAsia"/>
          <w:szCs w:val="32"/>
        </w:rPr>
        <w:t>化开展</w:t>
      </w:r>
      <w:proofErr w:type="gramEnd"/>
      <w:r>
        <w:rPr>
          <w:rFonts w:ascii="仿宋_GB2312" w:eastAsia="仿宋_GB2312" w:hAnsi="仿宋_GB2312" w:cs="仿宋_GB2312" w:hint="eastAsia"/>
          <w:szCs w:val="32"/>
        </w:rPr>
        <w:t>意识形态工作专项巡察，强化对意识形态领域阵地建设和管理。</w:t>
      </w:r>
    </w:p>
    <w:p w14:paraId="414DCAC0"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持续提升公民文明素养。</w:t>
      </w:r>
      <w:r>
        <w:rPr>
          <w:rFonts w:ascii="仿宋_GB2312" w:eastAsia="仿宋_GB2312" w:hAnsi="仿宋_GB2312" w:cs="仿宋_GB2312" w:hint="eastAsia"/>
          <w:szCs w:val="32"/>
        </w:rPr>
        <w:t>完善理想信念教育常态</w:t>
      </w:r>
      <w:proofErr w:type="gramStart"/>
      <w:r>
        <w:rPr>
          <w:rFonts w:ascii="仿宋_GB2312" w:eastAsia="仿宋_GB2312" w:hAnsi="仿宋_GB2312" w:cs="仿宋_GB2312" w:hint="eastAsia"/>
          <w:szCs w:val="32"/>
        </w:rPr>
        <w:t>化开展</w:t>
      </w:r>
      <w:proofErr w:type="gramEnd"/>
      <w:r>
        <w:rPr>
          <w:rFonts w:ascii="仿宋_GB2312" w:eastAsia="仿宋_GB2312" w:hAnsi="仿宋_GB2312" w:cs="仿宋_GB2312" w:hint="eastAsia"/>
          <w:szCs w:val="32"/>
        </w:rPr>
        <w:t>机制，弘扬民族精神和时代精神，加强党史、新中国史、改革开放史教育，加强新时代爱国主义、集体主义、社会主义教育，弘扬党和人民在各个历史时期奋斗中形成的伟大精神。以创建“全省文明城市”为契机，推动新时代公民道德建设</w:t>
      </w:r>
      <w:r>
        <w:rPr>
          <w:rFonts w:ascii="仿宋_GB2312" w:eastAsia="仿宋_GB2312" w:hAnsi="仿宋_GB2312" w:cs="仿宋_GB2312" w:hint="eastAsia"/>
          <w:szCs w:val="32"/>
        </w:rPr>
        <w:lastRenderedPageBreak/>
        <w:t>常态化、制度化，完善守法诚信褒奖、违法失信惩戒机制和文明志愿服务、诚信建设长效机制。完善红色资源保护体系，实施爱国主义教育基地展陈提升工程。实施中华优秀传统文化传承发展工程。完善青少年理想信念教育齐抓共管机制。完善激励诚信、惩戒失信和奖励协同机制，弘扬诚信文化，建设诚信社会。健全志愿服务体系，广泛开展志愿服务关爱行动。</w:t>
      </w:r>
    </w:p>
    <w:p w14:paraId="6067F8D2" w14:textId="77777777" w:rsidR="00EE55DB" w:rsidRDefault="00000000">
      <w:pPr>
        <w:ind w:firstLine="643"/>
        <w:rPr>
          <w:rFonts w:ascii="仿宋_GB2312" w:eastAsia="仿宋_GB2312" w:hAnsi="仿宋_GB2312" w:cs="仿宋_GB2312"/>
          <w:szCs w:val="32"/>
        </w:rPr>
      </w:pPr>
      <w:r>
        <w:rPr>
          <w:rFonts w:hint="eastAsia"/>
          <w:b/>
          <w:bCs/>
        </w:rPr>
        <w:t>健全人民文化权益保障制度。</w:t>
      </w:r>
      <w:r>
        <w:rPr>
          <w:rFonts w:ascii="仿宋_GB2312" w:eastAsia="仿宋_GB2312" w:hAnsi="仿宋_GB2312" w:cs="仿宋_GB2312" w:hint="eastAsia"/>
          <w:szCs w:val="32"/>
        </w:rPr>
        <w:t>坚持以人民为中心的工作导向，加强文艺创作规划引导，推出更多群众喜爱的文化精品。充分发挥国家公共文化服务体系示范区的引领带动作用，提升文化惠民效能。创新文艺创作评价激励机制，探索建立政府引导、市场主体、多方参与的运作模式，形成科学化、规范化、制度化的文艺创作管理机制。完善文艺工作者职业道德建设工作机制，完善倡导讲格调讲责任、抵制低俗庸俗媚俗的工作机制。</w:t>
      </w:r>
    </w:p>
    <w:p w14:paraId="0FC17EA9" w14:textId="77777777" w:rsidR="00EE55DB" w:rsidRDefault="00000000">
      <w:pPr>
        <w:ind w:firstLine="643"/>
      </w:pPr>
      <w:r>
        <w:rPr>
          <w:rFonts w:hint="eastAsia"/>
          <w:b/>
          <w:bCs/>
        </w:rPr>
        <w:t>加强思想文化阵地建设。</w:t>
      </w:r>
      <w:r>
        <w:rPr>
          <w:rFonts w:ascii="仿宋_GB2312" w:eastAsia="仿宋_GB2312" w:hAnsi="仿宋_GB2312" w:cs="仿宋_GB2312" w:hint="eastAsia"/>
          <w:szCs w:val="32"/>
        </w:rPr>
        <w:t>加强党对新闻舆论工作的全面领导，坚持正确政治方向、舆论导向、价值取向，把握好时度效，唱响主旋律，弘扬正能量，唱响永修好声音。改进和创新正面宣传，推进传统媒体与新兴媒体深度融合，发挥县</w:t>
      </w:r>
      <w:proofErr w:type="gramStart"/>
      <w:r>
        <w:rPr>
          <w:rFonts w:ascii="仿宋_GB2312" w:eastAsia="仿宋_GB2312" w:hAnsi="仿宋_GB2312" w:cs="仿宋_GB2312" w:hint="eastAsia"/>
          <w:szCs w:val="32"/>
        </w:rPr>
        <w:t>融媒体</w:t>
      </w:r>
      <w:proofErr w:type="gramEnd"/>
      <w:r>
        <w:rPr>
          <w:rFonts w:ascii="仿宋_GB2312" w:eastAsia="仿宋_GB2312" w:hAnsi="仿宋_GB2312" w:cs="仿宋_GB2312" w:hint="eastAsia"/>
          <w:szCs w:val="32"/>
        </w:rPr>
        <w:t>中心重要作用，在全县构建网上网下一体、内宣外宣联动的主流舆论格局，建立以内容建设为根本、先进技术为支撑、创新管理为保障的全媒体传播体系。筑牢网络文化阵</w:t>
      </w:r>
      <w:r>
        <w:rPr>
          <w:rFonts w:ascii="仿宋_GB2312" w:eastAsia="仿宋_GB2312" w:hAnsi="仿宋_GB2312" w:cs="仿宋_GB2312" w:hint="eastAsia"/>
          <w:szCs w:val="32"/>
        </w:rPr>
        <w:lastRenderedPageBreak/>
        <w:t>地，全面净化网络舆论环境，旗帜鲜明反对和抵制各种错误观点，发展积极健康的网络文化，营造清朗的网络空间。</w:t>
      </w:r>
    </w:p>
    <w:p w14:paraId="0D24E23A" w14:textId="77777777" w:rsidR="00EE55DB" w:rsidRDefault="00000000">
      <w:pPr>
        <w:pStyle w:val="2"/>
        <w:spacing w:before="156" w:after="156"/>
      </w:pPr>
      <w:bookmarkStart w:id="103" w:name="_Toc23985"/>
      <w:r>
        <w:rPr>
          <w:rFonts w:hint="eastAsia"/>
        </w:rPr>
        <w:t>第二节</w:t>
      </w:r>
      <w:r>
        <w:t xml:space="preserve"> </w:t>
      </w:r>
      <w:r>
        <w:rPr>
          <w:rFonts w:hint="eastAsia"/>
        </w:rPr>
        <w:t>推进优秀传统文化传承</w:t>
      </w:r>
      <w:bookmarkEnd w:id="103"/>
    </w:p>
    <w:p w14:paraId="5B0793D3" w14:textId="77777777" w:rsidR="00EE55DB" w:rsidRDefault="00000000">
      <w:pPr>
        <w:ind w:firstLine="640"/>
        <w:rPr>
          <w:rFonts w:ascii="仿宋_GB2312" w:eastAsia="仿宋_GB2312" w:hAnsi="仿宋_GB2312" w:cs="仿宋_GB2312"/>
        </w:rPr>
      </w:pPr>
      <w:r>
        <w:rPr>
          <w:rFonts w:ascii="仿宋_GB2312" w:eastAsia="仿宋_GB2312" w:hAnsi="仿宋_GB2312" w:cs="仿宋_GB2312" w:hint="eastAsia"/>
          <w:b/>
          <w:bCs/>
        </w:rPr>
        <w:t>大力传承红色基因。</w:t>
      </w:r>
      <w:r>
        <w:rPr>
          <w:rFonts w:ascii="仿宋_GB2312" w:eastAsia="仿宋_GB2312" w:hAnsi="仿宋_GB2312" w:cs="仿宋_GB2312" w:hint="eastAsia"/>
        </w:rPr>
        <w:t>加强对赣东北及永修红色革命历史的深度挖掘，整理保护革命文献、遗迹、实物、故事、口述史料等，推出一批红色文化研究成果，诠释永修红色文化的丰富内涵，加大红色教育培训力度，让广大干部群众在红色教育中汲取强大的信仰力量。积极挖掘永修革命历史，讲好永修红色故事。加强红色资源统筹规划，充分用好马口李家祠堂、九合</w:t>
      </w:r>
      <w:proofErr w:type="gramStart"/>
      <w:r>
        <w:rPr>
          <w:rFonts w:ascii="仿宋_GB2312" w:eastAsia="仿宋_GB2312" w:hAnsi="仿宋_GB2312" w:cs="仿宋_GB2312" w:hint="eastAsia"/>
        </w:rPr>
        <w:t>淦</w:t>
      </w:r>
      <w:proofErr w:type="gramEnd"/>
      <w:r>
        <w:rPr>
          <w:rFonts w:ascii="仿宋_GB2312" w:eastAsia="仿宋_GB2312" w:hAnsi="仿宋_GB2312" w:cs="仿宋_GB2312" w:hint="eastAsia"/>
        </w:rPr>
        <w:t>氏祠堂、</w:t>
      </w:r>
      <w:proofErr w:type="gramStart"/>
      <w:r>
        <w:rPr>
          <w:rFonts w:ascii="仿宋_GB2312" w:eastAsia="仿宋_GB2312" w:hAnsi="仿宋_GB2312" w:cs="仿宋_GB2312" w:hint="eastAsia"/>
        </w:rPr>
        <w:t>滩溪甘棠</w:t>
      </w:r>
      <w:proofErr w:type="gramEnd"/>
      <w:r>
        <w:rPr>
          <w:rFonts w:ascii="仿宋_GB2312" w:eastAsia="仿宋_GB2312" w:hAnsi="仿宋_GB2312" w:cs="仿宋_GB2312" w:hint="eastAsia"/>
        </w:rPr>
        <w:t>祠堂旧址等红色遗存。修建修河保卫战纪念碑，依托王</w:t>
      </w:r>
      <w:proofErr w:type="gramStart"/>
      <w:r>
        <w:rPr>
          <w:rFonts w:ascii="仿宋_GB2312" w:eastAsia="仿宋_GB2312" w:hAnsi="仿宋_GB2312" w:cs="仿宋_GB2312" w:hint="eastAsia"/>
        </w:rPr>
        <w:t>经燕组</w:t>
      </w:r>
      <w:proofErr w:type="gramEnd"/>
      <w:r>
        <w:rPr>
          <w:rFonts w:ascii="仿宋_GB2312" w:eastAsia="仿宋_GB2312" w:hAnsi="仿宋_GB2312" w:cs="仿宋_GB2312" w:hint="eastAsia"/>
        </w:rPr>
        <w:t>工干部学院，加大艾城、九</w:t>
      </w:r>
      <w:proofErr w:type="gramStart"/>
      <w:r>
        <w:rPr>
          <w:rFonts w:ascii="仿宋_GB2312" w:eastAsia="仿宋_GB2312" w:hAnsi="仿宋_GB2312" w:cs="仿宋_GB2312" w:hint="eastAsia"/>
        </w:rPr>
        <w:t>合革命</w:t>
      </w:r>
      <w:proofErr w:type="gramEnd"/>
      <w:r>
        <w:rPr>
          <w:rFonts w:ascii="仿宋_GB2312" w:eastAsia="仿宋_GB2312" w:hAnsi="仿宋_GB2312" w:cs="仿宋_GB2312" w:hint="eastAsia"/>
        </w:rPr>
        <w:t>烈士纪念馆建设力度，打造永修红色教育基地，策划推出一批红色主题展览。实施红色经典出版文化工程，系统整理永修革命先烈事迹。通过</w:t>
      </w:r>
      <w:proofErr w:type="gramStart"/>
      <w:r>
        <w:rPr>
          <w:rFonts w:ascii="仿宋_GB2312" w:eastAsia="仿宋_GB2312" w:hAnsi="仿宋_GB2312" w:cs="仿宋_GB2312" w:hint="eastAsia"/>
        </w:rPr>
        <w:t>微电影</w:t>
      </w:r>
      <w:proofErr w:type="gramEnd"/>
      <w:r>
        <w:rPr>
          <w:rFonts w:ascii="仿宋_GB2312" w:eastAsia="仿宋_GB2312" w:hAnsi="仿宋_GB2312" w:cs="仿宋_GB2312" w:hint="eastAsia"/>
        </w:rPr>
        <w:t>拍摄、微视频制作、丫</w:t>
      </w:r>
      <w:proofErr w:type="gramStart"/>
      <w:r>
        <w:rPr>
          <w:rFonts w:ascii="仿宋_GB2312" w:eastAsia="仿宋_GB2312" w:hAnsi="仿宋_GB2312" w:cs="仿宋_GB2312" w:hint="eastAsia"/>
        </w:rPr>
        <w:t>丫</w:t>
      </w:r>
      <w:proofErr w:type="gramEnd"/>
      <w:r>
        <w:rPr>
          <w:rFonts w:ascii="仿宋_GB2312" w:eastAsia="仿宋_GB2312" w:hAnsi="仿宋_GB2312" w:cs="仿宋_GB2312" w:hint="eastAsia"/>
        </w:rPr>
        <w:t>戏编排等方式，大力宣传永修革命历史。持续深入开展诵读红色家书和红色经典故事宣</w:t>
      </w:r>
      <w:proofErr w:type="gramStart"/>
      <w:r>
        <w:rPr>
          <w:rFonts w:ascii="仿宋_GB2312" w:eastAsia="仿宋_GB2312" w:hAnsi="仿宋_GB2312" w:cs="仿宋_GB2312" w:hint="eastAsia"/>
        </w:rPr>
        <w:t>介</w:t>
      </w:r>
      <w:proofErr w:type="gramEnd"/>
      <w:r>
        <w:rPr>
          <w:rFonts w:ascii="仿宋_GB2312" w:eastAsia="仿宋_GB2312" w:hAnsi="仿宋_GB2312" w:cs="仿宋_GB2312" w:hint="eastAsia"/>
        </w:rPr>
        <w:t>活动。</w:t>
      </w:r>
    </w:p>
    <w:p w14:paraId="4CBEEDCD" w14:textId="77777777" w:rsidR="00EE55DB" w:rsidRDefault="00000000">
      <w:pPr>
        <w:ind w:firstLine="643"/>
        <w:rPr>
          <w:rFonts w:ascii="仿宋_GB2312" w:eastAsia="仿宋_GB2312" w:hAnsi="仿宋_GB2312" w:cs="仿宋_GB2312"/>
          <w:szCs w:val="32"/>
        </w:rPr>
      </w:pPr>
      <w:r>
        <w:rPr>
          <w:rFonts w:hint="eastAsia"/>
          <w:b/>
          <w:bCs/>
        </w:rPr>
        <w:t>加强传统文化传承与保护。</w:t>
      </w:r>
      <w:r>
        <w:rPr>
          <w:rFonts w:ascii="仿宋_GB2312" w:eastAsia="仿宋_GB2312" w:hAnsi="仿宋_GB2312" w:cs="仿宋_GB2312" w:hint="eastAsia"/>
          <w:szCs w:val="32"/>
        </w:rPr>
        <w:t>加强对永修优秀传统文化时代价值的研究阐释，</w:t>
      </w:r>
      <w:proofErr w:type="gramStart"/>
      <w:r>
        <w:rPr>
          <w:rFonts w:ascii="仿宋_GB2312" w:eastAsia="仿宋_GB2312" w:hAnsi="仿宋_GB2312" w:cs="仿宋_GB2312" w:hint="eastAsia"/>
          <w:szCs w:val="32"/>
        </w:rPr>
        <w:t>深化赣商文化</w:t>
      </w:r>
      <w:proofErr w:type="gramEnd"/>
      <w:r>
        <w:rPr>
          <w:rFonts w:ascii="仿宋_GB2312" w:eastAsia="仿宋_GB2312" w:hAnsi="仿宋_GB2312" w:cs="仿宋_GB2312" w:hint="eastAsia"/>
          <w:szCs w:val="32"/>
        </w:rPr>
        <w:t>、禅宗文化、海昏文化、书院文化、磨刀李文化、样式雷文化、红色文化、农垦文化、建昌茶文化、知青文化等十大永修特色文化研究，推出一批研究成果。建立永修</w:t>
      </w:r>
      <w:proofErr w:type="gramStart"/>
      <w:r>
        <w:rPr>
          <w:rFonts w:ascii="仿宋_GB2312" w:eastAsia="仿宋_GB2312" w:hAnsi="仿宋_GB2312" w:cs="仿宋_GB2312" w:hint="eastAsia"/>
          <w:szCs w:val="32"/>
        </w:rPr>
        <w:t>县特色</w:t>
      </w:r>
      <w:proofErr w:type="gramEnd"/>
      <w:r>
        <w:rPr>
          <w:rFonts w:ascii="仿宋_GB2312" w:eastAsia="仿宋_GB2312" w:hAnsi="仿宋_GB2312" w:cs="仿宋_GB2312" w:hint="eastAsia"/>
          <w:szCs w:val="32"/>
        </w:rPr>
        <w:t>文化研究专家指导委员会，挖掘特色文化资料，整理出版永修特色文化丛书。在政府主导的</w:t>
      </w:r>
      <w:r>
        <w:rPr>
          <w:rFonts w:ascii="仿宋_GB2312" w:eastAsia="仿宋_GB2312" w:hAnsi="仿宋_GB2312" w:cs="仿宋_GB2312" w:hint="eastAsia"/>
          <w:szCs w:val="32"/>
        </w:rPr>
        <w:lastRenderedPageBreak/>
        <w:t>基础上，充分调动民间组织的积极性，有效组织开展系列学术研讨和活化、利用、展示等工作。大力传承和发展民间传统手工艺，建立传统手工民间艺人档案库，举办永修县传统手工艺大赛。加强历史文献整理和档案资源建设，推进永修优秀传统文化丛书编辑出版，建立永修历史文化资源大数据库。深挖永修文化艺术资料，编纂出版《永修县文化艺术志》。</w:t>
      </w:r>
    </w:p>
    <w:p w14:paraId="53B5BDBE" w14:textId="77777777" w:rsidR="00EE55DB" w:rsidRDefault="00000000">
      <w:pPr>
        <w:ind w:firstLine="643"/>
        <w:rPr>
          <w:rFonts w:ascii="仿宋_GB2312" w:eastAsia="仿宋_GB2312" w:hAnsi="仿宋_GB2312" w:cs="仿宋_GB2312"/>
          <w:szCs w:val="32"/>
        </w:rPr>
      </w:pPr>
      <w:r>
        <w:rPr>
          <w:rFonts w:hint="eastAsia"/>
          <w:b/>
          <w:bCs/>
        </w:rPr>
        <w:t>加强文物资源保护利用。</w:t>
      </w:r>
      <w:r>
        <w:rPr>
          <w:rFonts w:ascii="仿宋_GB2312" w:eastAsia="仿宋_GB2312" w:hAnsi="仿宋_GB2312" w:cs="仿宋_GB2312" w:hint="eastAsia"/>
          <w:szCs w:val="32"/>
        </w:rPr>
        <w:t>加强</w:t>
      </w:r>
      <w:proofErr w:type="gramStart"/>
      <w:r>
        <w:rPr>
          <w:rFonts w:ascii="仿宋_GB2312" w:eastAsia="仿宋_GB2312" w:hAnsi="仿宋_GB2312" w:cs="仿宋_GB2312" w:hint="eastAsia"/>
          <w:szCs w:val="32"/>
        </w:rPr>
        <w:t>各级别文保单</w:t>
      </w:r>
      <w:proofErr w:type="gramEnd"/>
      <w:r>
        <w:rPr>
          <w:rFonts w:ascii="仿宋_GB2312" w:eastAsia="仿宋_GB2312" w:hAnsi="仿宋_GB2312" w:cs="仿宋_GB2312" w:hint="eastAsia"/>
          <w:szCs w:val="32"/>
        </w:rPr>
        <w:t>位的保护利用，尤其做好国家、省级文物保护单位的保护利用。加强县级文化物保护单位的资源保护和展示利用，按轻重缓急对存在安全隐患的县级文保单位进行本体维修保护。加强文物周边环境的保护整治，充分利用已维修、好管理、有布展条件的红色文化遗存进行陈列展示，提高县级文保单位保护水平。落实文物保护“五纳入”，提高县本级文物保护管理工作经费投入水平。支持村史馆的建设，重点打造马口李家祠堂（中共永修县委旧址）、九合</w:t>
      </w:r>
      <w:proofErr w:type="gramStart"/>
      <w:r>
        <w:rPr>
          <w:rFonts w:ascii="仿宋_GB2312" w:eastAsia="仿宋_GB2312" w:hAnsi="仿宋_GB2312" w:cs="仿宋_GB2312" w:hint="eastAsia"/>
          <w:szCs w:val="32"/>
        </w:rPr>
        <w:t>淦</w:t>
      </w:r>
      <w:proofErr w:type="gramEnd"/>
      <w:r>
        <w:rPr>
          <w:rFonts w:ascii="仿宋_GB2312" w:eastAsia="仿宋_GB2312" w:hAnsi="仿宋_GB2312" w:cs="仿宋_GB2312" w:hint="eastAsia"/>
          <w:szCs w:val="32"/>
        </w:rPr>
        <w:t>氏祠堂（中共永修县委旧址）、</w:t>
      </w:r>
      <w:proofErr w:type="gramStart"/>
      <w:r>
        <w:rPr>
          <w:rFonts w:ascii="仿宋_GB2312" w:eastAsia="仿宋_GB2312" w:hAnsi="仿宋_GB2312" w:cs="仿宋_GB2312" w:hint="eastAsia"/>
          <w:szCs w:val="32"/>
        </w:rPr>
        <w:t>滩溪甘棠</w:t>
      </w:r>
      <w:proofErr w:type="gramEnd"/>
      <w:r>
        <w:rPr>
          <w:rFonts w:ascii="仿宋_GB2312" w:eastAsia="仿宋_GB2312" w:hAnsi="仿宋_GB2312" w:cs="仿宋_GB2312" w:hint="eastAsia"/>
          <w:szCs w:val="32"/>
        </w:rPr>
        <w:t>祠堂（甘棠暴动旧址）、梅棠新庄村样式雷祖屋、三溪桥横山村磨刀李祠堂、</w:t>
      </w:r>
      <w:proofErr w:type="gramStart"/>
      <w:r>
        <w:rPr>
          <w:rFonts w:ascii="仿宋_GB2312" w:eastAsia="仿宋_GB2312" w:hAnsi="仿宋_GB2312" w:cs="仿宋_GB2312" w:hint="eastAsia"/>
          <w:szCs w:val="32"/>
        </w:rPr>
        <w:t>立新北徐</w:t>
      </w:r>
      <w:proofErr w:type="gramEnd"/>
      <w:r>
        <w:rPr>
          <w:rFonts w:ascii="仿宋_GB2312" w:eastAsia="仿宋_GB2312" w:hAnsi="仿宋_GB2312" w:cs="仿宋_GB2312" w:hint="eastAsia"/>
          <w:szCs w:val="32"/>
        </w:rPr>
        <w:t>村史官（文革前后报纸资料）、燕坊江</w:t>
      </w:r>
      <w:proofErr w:type="gramStart"/>
      <w:r>
        <w:rPr>
          <w:rFonts w:ascii="仿宋_GB2312" w:eastAsia="仿宋_GB2312" w:hAnsi="仿宋_GB2312" w:cs="仿宋_GB2312" w:hint="eastAsia"/>
          <w:szCs w:val="32"/>
        </w:rPr>
        <w:t>垅村九山洼</w:t>
      </w:r>
      <w:proofErr w:type="gramEnd"/>
      <w:r>
        <w:rPr>
          <w:rFonts w:ascii="仿宋_GB2312" w:eastAsia="仿宋_GB2312" w:hAnsi="仿宋_GB2312" w:cs="仿宋_GB2312" w:hint="eastAsia"/>
          <w:szCs w:val="32"/>
        </w:rPr>
        <w:t>知青画苑（文革知青旧址）等地，建立健全革命遗址产权保护机制，将文物遗存逐步收归乡、村两级管理。</w:t>
      </w:r>
    </w:p>
    <w:p w14:paraId="7E3D0DEB" w14:textId="77777777" w:rsidR="00EE55DB" w:rsidRDefault="00000000">
      <w:pPr>
        <w:ind w:firstLine="643"/>
        <w:rPr>
          <w:rFonts w:ascii="仿宋_GB2312" w:eastAsia="仿宋_GB2312" w:hAnsi="仿宋_GB2312" w:cs="仿宋_GB2312"/>
          <w:szCs w:val="32"/>
        </w:rPr>
      </w:pPr>
      <w:r>
        <w:rPr>
          <w:rFonts w:hint="eastAsia"/>
          <w:b/>
          <w:bCs/>
        </w:rPr>
        <w:t>加强非</w:t>
      </w:r>
      <w:proofErr w:type="gramStart"/>
      <w:r>
        <w:rPr>
          <w:rFonts w:hint="eastAsia"/>
          <w:b/>
          <w:bCs/>
        </w:rPr>
        <w:t>遗资源</w:t>
      </w:r>
      <w:proofErr w:type="gramEnd"/>
      <w:r>
        <w:rPr>
          <w:rFonts w:hint="eastAsia"/>
          <w:b/>
          <w:bCs/>
        </w:rPr>
        <w:t>保护传承和利用。</w:t>
      </w:r>
      <w:r>
        <w:rPr>
          <w:rFonts w:ascii="仿宋_GB2312" w:eastAsia="仿宋_GB2312" w:hAnsi="仿宋_GB2312" w:cs="仿宋_GB2312" w:hint="eastAsia"/>
          <w:szCs w:val="32"/>
        </w:rPr>
        <w:t>推进国家、省级非物质文化遗产生产性保护示范基地、研究基地、传承基地和传播</w:t>
      </w:r>
      <w:r>
        <w:rPr>
          <w:rFonts w:ascii="仿宋_GB2312" w:eastAsia="仿宋_GB2312" w:hAnsi="仿宋_GB2312" w:cs="仿宋_GB2312" w:hint="eastAsia"/>
          <w:szCs w:val="32"/>
        </w:rPr>
        <w:lastRenderedPageBreak/>
        <w:t>基地建设，重点推出一批市场前景广阔、深受群众喜爱的非</w:t>
      </w:r>
      <w:proofErr w:type="gramStart"/>
      <w:r>
        <w:rPr>
          <w:rFonts w:ascii="仿宋_GB2312" w:eastAsia="仿宋_GB2312" w:hAnsi="仿宋_GB2312" w:cs="仿宋_GB2312" w:hint="eastAsia"/>
          <w:szCs w:val="32"/>
        </w:rPr>
        <w:t>遗特色</w:t>
      </w:r>
      <w:proofErr w:type="gramEnd"/>
      <w:r>
        <w:rPr>
          <w:rFonts w:ascii="仿宋_GB2312" w:eastAsia="仿宋_GB2312" w:hAnsi="仿宋_GB2312" w:cs="仿宋_GB2312" w:hint="eastAsia"/>
          <w:szCs w:val="32"/>
        </w:rPr>
        <w:t>企业和特色产品。加快实施传统工艺振兴计划，公布一批“永修县传统工艺振兴目录”。逐年增加县财政非物质文化遗产保护经费投入，完善非物质文化遗产保护体系，建立非物质文化遗产保护长效机制。完善非遗数据库，深入挖掘非</w:t>
      </w:r>
      <w:proofErr w:type="gramStart"/>
      <w:r>
        <w:rPr>
          <w:rFonts w:ascii="仿宋_GB2312" w:eastAsia="仿宋_GB2312" w:hAnsi="仿宋_GB2312" w:cs="仿宋_GB2312" w:hint="eastAsia"/>
          <w:szCs w:val="32"/>
        </w:rPr>
        <w:t>遗项目</w:t>
      </w:r>
      <w:proofErr w:type="gramEnd"/>
      <w:r>
        <w:rPr>
          <w:rFonts w:ascii="仿宋_GB2312" w:eastAsia="仿宋_GB2312" w:hAnsi="仿宋_GB2312" w:cs="仿宋_GB2312" w:hint="eastAsia"/>
          <w:szCs w:val="32"/>
        </w:rPr>
        <w:t>内涵，开展非</w:t>
      </w:r>
      <w:proofErr w:type="gramStart"/>
      <w:r>
        <w:rPr>
          <w:rFonts w:ascii="仿宋_GB2312" w:eastAsia="仿宋_GB2312" w:hAnsi="仿宋_GB2312" w:cs="仿宋_GB2312" w:hint="eastAsia"/>
          <w:szCs w:val="32"/>
        </w:rPr>
        <w:t>遗理论</w:t>
      </w:r>
      <w:proofErr w:type="gramEnd"/>
      <w:r>
        <w:rPr>
          <w:rFonts w:ascii="仿宋_GB2312" w:eastAsia="仿宋_GB2312" w:hAnsi="仿宋_GB2312" w:cs="仿宋_GB2312" w:hint="eastAsia"/>
          <w:szCs w:val="32"/>
        </w:rPr>
        <w:t>研究工作。抓好</w:t>
      </w:r>
      <w:proofErr w:type="gramStart"/>
      <w:r>
        <w:rPr>
          <w:rFonts w:ascii="仿宋_GB2312" w:eastAsia="仿宋_GB2312" w:hAnsi="仿宋_GB2312" w:cs="仿宋_GB2312" w:hint="eastAsia"/>
          <w:szCs w:val="32"/>
        </w:rPr>
        <w:t>非遗进校园</w:t>
      </w:r>
      <w:proofErr w:type="gramEnd"/>
      <w:r>
        <w:rPr>
          <w:rFonts w:ascii="仿宋_GB2312" w:eastAsia="仿宋_GB2312" w:hAnsi="仿宋_GB2312" w:cs="仿宋_GB2312" w:hint="eastAsia"/>
          <w:szCs w:val="32"/>
        </w:rPr>
        <w:t>、进社区、进广场、进企业、进景区，让非遗走进群众日常生活，让文化遗产活起来、用起来、火起来。积极打造非物质文化遗产村（社区）、非物质文化遗产旅游景区。大力打造乡土文化平台，强化县城广场、重要建筑、道路特色文化展示力度和水平。</w:t>
      </w:r>
    </w:p>
    <w:p w14:paraId="074BDFCB" w14:textId="77777777" w:rsidR="00EE55DB" w:rsidRDefault="00000000">
      <w:pPr>
        <w:pStyle w:val="2"/>
        <w:spacing w:before="156" w:after="156"/>
      </w:pPr>
      <w:bookmarkStart w:id="104" w:name="_Toc28331"/>
      <w:r>
        <w:rPr>
          <w:rFonts w:hint="eastAsia"/>
        </w:rPr>
        <w:t>第三节</w:t>
      </w:r>
      <w:r>
        <w:t xml:space="preserve"> </w:t>
      </w:r>
      <w:r>
        <w:rPr>
          <w:rFonts w:hint="eastAsia"/>
        </w:rPr>
        <w:t>促进文化事业繁荣发展</w:t>
      </w:r>
      <w:bookmarkEnd w:id="104"/>
    </w:p>
    <w:p w14:paraId="04D5261F" w14:textId="77777777" w:rsidR="00EE55DB" w:rsidRDefault="00000000">
      <w:pPr>
        <w:ind w:firstLine="643"/>
        <w:rPr>
          <w:rFonts w:ascii="仿宋_GB2312" w:eastAsia="仿宋_GB2312" w:hAnsi="仿宋_GB2312" w:cs="仿宋_GB2312"/>
          <w:szCs w:val="32"/>
        </w:rPr>
      </w:pPr>
      <w:r>
        <w:rPr>
          <w:rFonts w:hint="eastAsia"/>
          <w:b/>
          <w:bCs/>
        </w:rPr>
        <w:t>完善公共文化服务体系。</w:t>
      </w:r>
      <w:r>
        <w:rPr>
          <w:rFonts w:ascii="仿宋_GB2312" w:eastAsia="仿宋_GB2312" w:hAnsi="仿宋_GB2312" w:cs="仿宋_GB2312" w:hint="eastAsia"/>
          <w:szCs w:val="32"/>
        </w:rPr>
        <w:t>推进城市书屋、社区书吧、校园书吧及社区阅报栏、电子阅报屏、健身设施建设，把优质公共文化体育服务向基层延伸。逐步形成主城区和中心镇</w:t>
      </w:r>
      <w:r>
        <w:rPr>
          <w:rFonts w:ascii="仿宋_GB2312" w:eastAsia="仿宋_GB2312" w:hAnsi="仿宋_GB2312" w:cs="仿宋_GB2312"/>
          <w:szCs w:val="32"/>
        </w:rPr>
        <w:t>15</w:t>
      </w:r>
      <w:r>
        <w:rPr>
          <w:rFonts w:ascii="仿宋_GB2312" w:eastAsia="仿宋_GB2312" w:hAnsi="仿宋_GB2312" w:cs="仿宋_GB2312" w:hint="eastAsia"/>
          <w:szCs w:val="32"/>
        </w:rPr>
        <w:t>分钟、一般村镇</w:t>
      </w:r>
      <w:r>
        <w:rPr>
          <w:rFonts w:ascii="仿宋_GB2312" w:eastAsia="仿宋_GB2312" w:hAnsi="仿宋_GB2312" w:cs="仿宋_GB2312"/>
          <w:szCs w:val="32"/>
        </w:rPr>
        <w:t>20</w:t>
      </w:r>
      <w:r>
        <w:rPr>
          <w:rFonts w:ascii="仿宋_GB2312" w:eastAsia="仿宋_GB2312" w:hAnsi="仿宋_GB2312" w:cs="仿宋_GB2312" w:hint="eastAsia"/>
          <w:szCs w:val="32"/>
        </w:rPr>
        <w:t>分钟的“公共文化体育服务圈”，形成县有文化馆、图书馆、博物馆、美术馆、</w:t>
      </w:r>
      <w:proofErr w:type="gramStart"/>
      <w:r>
        <w:rPr>
          <w:rFonts w:ascii="仿宋_GB2312" w:eastAsia="仿宋_GB2312" w:hAnsi="仿宋_GB2312" w:cs="仿宋_GB2312" w:hint="eastAsia"/>
          <w:szCs w:val="32"/>
        </w:rPr>
        <w:t>体育馆五馆的</w:t>
      </w:r>
      <w:proofErr w:type="gramEnd"/>
      <w:r>
        <w:rPr>
          <w:rFonts w:ascii="仿宋_GB2312" w:eastAsia="仿宋_GB2312" w:hAnsi="仿宋_GB2312" w:cs="仿宋_GB2312" w:hint="eastAsia"/>
          <w:szCs w:val="32"/>
        </w:rPr>
        <w:t>文化设施网络格局，鼓励公共文化机构在城区、工业园区建设分支机构、服务网点，推进数字广播电视户户通和应急广播村村通。</w:t>
      </w:r>
    </w:p>
    <w:p w14:paraId="00242FA8" w14:textId="77777777" w:rsidR="00EE55DB" w:rsidRDefault="00000000">
      <w:pPr>
        <w:ind w:firstLine="643"/>
        <w:rPr>
          <w:rFonts w:ascii="仿宋_GB2312" w:eastAsia="仿宋_GB2312" w:hAnsi="仿宋_GB2312" w:cs="仿宋_GB2312"/>
          <w:szCs w:val="32"/>
        </w:rPr>
      </w:pPr>
      <w:r>
        <w:rPr>
          <w:rFonts w:hint="eastAsia"/>
          <w:b/>
          <w:bCs/>
        </w:rPr>
        <w:t>创新公共文化服务运行机制。</w:t>
      </w:r>
      <w:r>
        <w:rPr>
          <w:rFonts w:ascii="仿宋_GB2312" w:eastAsia="仿宋_GB2312" w:hAnsi="仿宋_GB2312" w:cs="仿宋_GB2312" w:hint="eastAsia"/>
          <w:szCs w:val="32"/>
        </w:rPr>
        <w:t>建立公共文化服务绩效管理平台，破解公共文化服务监管难题。支持民办博物馆、图</w:t>
      </w:r>
      <w:r>
        <w:rPr>
          <w:rFonts w:ascii="仿宋_GB2312" w:eastAsia="仿宋_GB2312" w:hAnsi="仿宋_GB2312" w:cs="仿宋_GB2312" w:hint="eastAsia"/>
          <w:szCs w:val="32"/>
        </w:rPr>
        <w:lastRenderedPageBreak/>
        <w:t>书馆、体育场馆等公益性文化体育机构发展，用好乡镇综合文化站、村级文化服务中心终端设备，大力开展农村文化“三项”活动、传统工艺展示和民俗表演活动，组织“红色文艺轻骑兵”常态化深入基层，开展公益性文化志愿服务活动。探索推进公共文化服务设施所有权与经营权分离，鼓励引导国有企业和社会力量参与公共文化设施建设运营。推动优秀传统文化进校园、进社区、进机关，定期举办农村文化艺术节，满足基层群众基本文化权益和需求，促进优秀文化作品融入百姓生活。</w:t>
      </w:r>
    </w:p>
    <w:p w14:paraId="074502F2" w14:textId="77777777" w:rsidR="00EE55DB" w:rsidRDefault="00000000">
      <w:pPr>
        <w:ind w:firstLine="643"/>
        <w:rPr>
          <w:rFonts w:ascii="仿宋_GB2312" w:eastAsia="仿宋_GB2312" w:hAnsi="仿宋_GB2312" w:cs="仿宋_GB2312"/>
          <w:szCs w:val="32"/>
        </w:rPr>
      </w:pPr>
      <w:r>
        <w:rPr>
          <w:rFonts w:hint="eastAsia"/>
          <w:b/>
          <w:bCs/>
        </w:rPr>
        <w:t>推动社会主义文艺繁荣发展。</w:t>
      </w:r>
      <w:r>
        <w:rPr>
          <w:rFonts w:ascii="仿宋_GB2312" w:eastAsia="仿宋_GB2312" w:hAnsi="仿宋_GB2312" w:cs="仿宋_GB2312" w:hint="eastAsia"/>
          <w:szCs w:val="32"/>
        </w:rPr>
        <w:t>聚焦“中国梦”时代主题，以精神文明建设“五个</w:t>
      </w:r>
      <w:proofErr w:type="gramStart"/>
      <w:r>
        <w:rPr>
          <w:rFonts w:ascii="仿宋_GB2312" w:eastAsia="仿宋_GB2312" w:hAnsi="仿宋_GB2312" w:cs="仿宋_GB2312" w:hint="eastAsia"/>
          <w:szCs w:val="32"/>
        </w:rPr>
        <w:t>一</w:t>
      </w:r>
      <w:proofErr w:type="gramEnd"/>
      <w:r>
        <w:rPr>
          <w:rFonts w:ascii="仿宋_GB2312" w:eastAsia="仿宋_GB2312" w:hAnsi="仿宋_GB2312" w:cs="仿宋_GB2312" w:hint="eastAsia"/>
          <w:szCs w:val="32"/>
        </w:rPr>
        <w:t>工程”为引领，策划组织创作一批弘扬中华优秀传统文化、弘扬社会主义核心价值观，展现时代精神、民族精神、现实主义、英雄主义题材，展示永修本土历史人文魅力的文学、戏剧、音乐、美术、书法等文艺精品，向主流创作阵地进军。建立文艺精品创作生产项目库，坚持储备一批、扶持一批、生产一批。健全网络文艺创作引导机制，创作更多健康优质的网络文艺作品。深入开展“深入生活、扎根人民”主题实践活动。实施文艺工作者轮训计划，宣传推介优秀文艺工作者，推出一批有影响的文艺领军人物，加强文艺队伍、文艺家协会组织建设。支持少儿文艺、群众文艺工作。建设一批特色鲜明的骨干文艺团队，鼓励支持民间文艺团队发展。</w:t>
      </w:r>
    </w:p>
    <w:p w14:paraId="7D8EB941" w14:textId="77777777" w:rsidR="00EE55DB" w:rsidRDefault="00000000">
      <w:pPr>
        <w:ind w:firstLine="643"/>
        <w:rPr>
          <w:rFonts w:ascii="仿宋_GB2312" w:eastAsia="仿宋_GB2312" w:hAnsi="仿宋_GB2312" w:cs="仿宋_GB2312"/>
          <w:szCs w:val="32"/>
        </w:rPr>
      </w:pPr>
      <w:r>
        <w:rPr>
          <w:rFonts w:hint="eastAsia"/>
          <w:b/>
          <w:bCs/>
        </w:rPr>
        <w:lastRenderedPageBreak/>
        <w:t>丰富文艺作品的传播渠道。</w:t>
      </w:r>
      <w:r>
        <w:rPr>
          <w:rFonts w:ascii="仿宋_GB2312" w:eastAsia="仿宋_GB2312" w:hAnsi="仿宋_GB2312" w:cs="仿宋_GB2312" w:hint="eastAsia"/>
          <w:szCs w:val="32"/>
        </w:rPr>
        <w:t>分类整合全县公共文化设施和文化服务资源，探索与周边市县建立展演联盟、展览联盟。充分利用各级主流媒体，特别是要发挥新媒体的独特优势，运用广播、电视、刊物、专栏、微博、微信、抖音、移动客户端等载体，同时利用好乡镇综合文化站、村级文化服务中心终端设备，促进优秀文艺作品多渠道传播、多平台展示、多终端推送。定期举办一届永修县农村文化艺术节，每两年举办一届样式雷文化节，精心组织优秀文艺作品专题推介、展演、展示、展播活动。</w:t>
      </w:r>
    </w:p>
    <w:p w14:paraId="6765FBCC" w14:textId="77777777" w:rsidR="00EE55DB" w:rsidRDefault="00000000">
      <w:pPr>
        <w:pStyle w:val="2"/>
        <w:spacing w:before="156" w:after="156"/>
      </w:pPr>
      <w:bookmarkStart w:id="105" w:name="_Toc20550"/>
      <w:r>
        <w:rPr>
          <w:rFonts w:hint="eastAsia"/>
        </w:rPr>
        <w:t>第四节</w:t>
      </w:r>
      <w:r>
        <w:t xml:space="preserve"> </w:t>
      </w:r>
      <w:r>
        <w:rPr>
          <w:rFonts w:hint="eastAsia"/>
        </w:rPr>
        <w:t>加强</w:t>
      </w:r>
      <w:r>
        <w:rPr>
          <w:rFonts w:cs="微软雅黑" w:hint="eastAsia"/>
          <w:szCs w:val="24"/>
        </w:rPr>
        <w:t>现代化文化产业体系建设</w:t>
      </w:r>
      <w:bookmarkEnd w:id="105"/>
    </w:p>
    <w:p w14:paraId="4E79A224" w14:textId="77777777" w:rsidR="00EE55DB" w:rsidRDefault="00000000">
      <w:pPr>
        <w:ind w:firstLine="643"/>
        <w:rPr>
          <w:rFonts w:ascii="仿宋_GB2312" w:eastAsia="仿宋_GB2312" w:hAnsi="仿宋_GB2312" w:cs="仿宋_GB2312"/>
          <w:szCs w:val="32"/>
        </w:rPr>
      </w:pPr>
      <w:r>
        <w:rPr>
          <w:rFonts w:hint="eastAsia"/>
          <w:b/>
          <w:bCs/>
        </w:rPr>
        <w:t>培育文化产业新业态。</w:t>
      </w:r>
      <w:r>
        <w:rPr>
          <w:rFonts w:ascii="仿宋_GB2312" w:eastAsia="仿宋_GB2312" w:hAnsi="仿宋_GB2312" w:cs="仿宋_GB2312" w:hint="eastAsia"/>
          <w:szCs w:val="32"/>
        </w:rPr>
        <w:t>充分挖掘我县“十大”特色文化底蕴，加大文创工艺品等衍生产品开发力度，提升“十大”特色文化附加值。促进文化与科技、互联网、旅游等深度融合，建立重点文化项目库，建设文化产业园区，着力引进扶持一批骨干文化企业。大力完善创意包装、广告业、动画制作、网络游戏、信息服务、艺术制作、设计装饰等产品生产、销售和相关服务活动，重点扶持动漫、动画、</w:t>
      </w:r>
      <w:proofErr w:type="gramStart"/>
      <w:r>
        <w:rPr>
          <w:rFonts w:ascii="仿宋_GB2312" w:eastAsia="仿宋_GB2312" w:hAnsi="仿宋_GB2312" w:cs="仿宋_GB2312" w:hint="eastAsia"/>
          <w:szCs w:val="32"/>
        </w:rPr>
        <w:t>网游等</w:t>
      </w:r>
      <w:proofErr w:type="gramEnd"/>
      <w:r>
        <w:rPr>
          <w:rFonts w:ascii="仿宋_GB2312" w:eastAsia="仿宋_GB2312" w:hAnsi="仿宋_GB2312" w:cs="仿宋_GB2312" w:hint="eastAsia"/>
          <w:szCs w:val="32"/>
        </w:rPr>
        <w:t>新媒体形式的创意产业的发展，扶持培育一批“专、精、特、新”文化创意企业。</w:t>
      </w:r>
    </w:p>
    <w:p w14:paraId="2B4E2189" w14:textId="77777777" w:rsidR="00EE55DB" w:rsidRDefault="00000000">
      <w:pPr>
        <w:ind w:firstLine="643"/>
        <w:rPr>
          <w:rFonts w:ascii="仿宋_GB2312" w:eastAsia="仿宋_GB2312" w:hAnsi="仿宋_GB2312" w:cs="仿宋_GB2312"/>
          <w:szCs w:val="32"/>
        </w:rPr>
      </w:pPr>
      <w:r>
        <w:rPr>
          <w:rFonts w:hint="eastAsia"/>
          <w:b/>
          <w:bCs/>
        </w:rPr>
        <w:t>健全文化产业发展体制机制。</w:t>
      </w:r>
      <w:r>
        <w:rPr>
          <w:rFonts w:ascii="仿宋_GB2312" w:eastAsia="仿宋_GB2312" w:hAnsi="仿宋_GB2312" w:cs="仿宋_GB2312" w:hint="eastAsia"/>
          <w:szCs w:val="32"/>
        </w:rPr>
        <w:t>深化文化领域“放管服”改革，建立健全把社会效益放在首位、社会效益和经济效益相统一的文化创作生产体制机制，完善文化管理体制和生产</w:t>
      </w:r>
      <w:r>
        <w:rPr>
          <w:rFonts w:ascii="仿宋_GB2312" w:eastAsia="仿宋_GB2312" w:hAnsi="仿宋_GB2312" w:cs="仿宋_GB2312" w:hint="eastAsia"/>
          <w:szCs w:val="32"/>
        </w:rPr>
        <w:lastRenderedPageBreak/>
        <w:t>经营机制。建立健全现代文化产业体系和市场体系，完善以高质量发展为导向的文化经济政策体系。完善文化企业履行社会责任制度。</w:t>
      </w:r>
    </w:p>
    <w:p w14:paraId="6F69522B" w14:textId="77777777" w:rsidR="00EE55DB" w:rsidRDefault="00EE55DB">
      <w:pPr>
        <w:pStyle w:val="21"/>
        <w:ind w:firstLine="480"/>
      </w:pPr>
    </w:p>
    <w:p w14:paraId="36822DD0" w14:textId="77777777" w:rsidR="00EE55DB" w:rsidRDefault="00000000">
      <w:pPr>
        <w:ind w:firstLine="640"/>
      </w:pPr>
      <w:r>
        <w:br w:type="page"/>
      </w:r>
    </w:p>
    <w:p w14:paraId="3B245782" w14:textId="77777777" w:rsidR="00EE55DB" w:rsidRDefault="00000000">
      <w:pPr>
        <w:pStyle w:val="1"/>
        <w:spacing w:before="156" w:after="156"/>
      </w:pPr>
      <w:bookmarkStart w:id="106" w:name="_Toc1550"/>
      <w:r>
        <w:rPr>
          <w:rFonts w:hint="eastAsia"/>
        </w:rPr>
        <w:lastRenderedPageBreak/>
        <w:t>第十一章</w:t>
      </w:r>
      <w:r>
        <w:t xml:space="preserve"> </w:t>
      </w:r>
      <w:proofErr w:type="gramStart"/>
      <w:r>
        <w:rPr>
          <w:rFonts w:hint="eastAsia"/>
        </w:rPr>
        <w:t>促稳提</w:t>
      </w:r>
      <w:proofErr w:type="gramEnd"/>
      <w:r>
        <w:rPr>
          <w:rFonts w:hint="eastAsia"/>
        </w:rPr>
        <w:t>质民生保障，倾力开创幸福永修新境界</w:t>
      </w:r>
      <w:bookmarkEnd w:id="106"/>
    </w:p>
    <w:p w14:paraId="7C3DF2F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坚持把实现好、维护好、发展好最广大人民根本利益作为发展的出发点和落脚点，进一步完善基本公共服务制度体系，扎实推进共同富裕，增强人民群众获得感幸福感安全感，全面提高就业质量，加快教育现代化，推进健康永修建设，积极应对人口老龄化，健全多层次的社会保障体系，加强社会治理体系建设，促进人的全面发展和社会全面进步。</w:t>
      </w:r>
    </w:p>
    <w:p w14:paraId="6F9FA8CD" w14:textId="77777777" w:rsidR="00EE55DB" w:rsidRDefault="00000000">
      <w:pPr>
        <w:pStyle w:val="2"/>
        <w:spacing w:before="156" w:after="156"/>
      </w:pPr>
      <w:bookmarkStart w:id="107" w:name="_Toc19551"/>
      <w:r>
        <w:rPr>
          <w:rFonts w:hint="eastAsia"/>
        </w:rPr>
        <w:t>第一节</w:t>
      </w:r>
      <w:r>
        <w:t xml:space="preserve"> </w:t>
      </w:r>
      <w:r>
        <w:rPr>
          <w:rFonts w:hint="eastAsia"/>
        </w:rPr>
        <w:t>完善公共服务体系</w:t>
      </w:r>
      <w:bookmarkEnd w:id="107"/>
    </w:p>
    <w:p w14:paraId="5B1BB908" w14:textId="77777777" w:rsidR="00EE55DB" w:rsidRDefault="00000000">
      <w:pPr>
        <w:ind w:firstLine="643"/>
        <w:rPr>
          <w:rFonts w:ascii="仿宋_GB2312" w:eastAsia="仿宋_GB2312" w:hAnsi="仿宋_GB2312" w:cs="仿宋_GB2312"/>
          <w:szCs w:val="32"/>
        </w:rPr>
      </w:pPr>
      <w:r>
        <w:rPr>
          <w:rFonts w:hint="eastAsia"/>
          <w:b/>
          <w:bCs/>
        </w:rPr>
        <w:t>落实稳定就业政策。</w:t>
      </w:r>
      <w:r>
        <w:rPr>
          <w:rFonts w:ascii="仿宋_GB2312" w:eastAsia="仿宋_GB2312" w:hAnsi="仿宋_GB2312" w:cs="仿宋_GB2312" w:hint="eastAsia"/>
          <w:szCs w:val="32"/>
        </w:rPr>
        <w:t>完善全方位公共就业服务体系，落实就业扶贫各项政策，全面清理限制灵活就业、灵活创业的各类政策，用足用好支持企业吸纳就业的各项补贴政策，建立困难人群就业帮扶机制，加快落实用工贮备制度，继续完善人力资源信息库和企业用工需求信息库建设，着力稳定和扩大就业总量，改善就业结构，提升企业就业质量。</w:t>
      </w:r>
    </w:p>
    <w:p w14:paraId="51964BC9" w14:textId="77777777" w:rsidR="00EE55DB" w:rsidRDefault="00000000">
      <w:pPr>
        <w:ind w:firstLine="643"/>
        <w:rPr>
          <w:rFonts w:ascii="仿宋_GB2312" w:eastAsia="仿宋_GB2312" w:hAnsi="仿宋_GB2312" w:cs="仿宋_GB2312"/>
          <w:szCs w:val="32"/>
        </w:rPr>
      </w:pPr>
      <w:r>
        <w:rPr>
          <w:rFonts w:hint="eastAsia"/>
          <w:b/>
          <w:bCs/>
        </w:rPr>
        <w:t>全面推进重点群体就业。</w:t>
      </w:r>
      <w:r>
        <w:rPr>
          <w:rFonts w:ascii="仿宋_GB2312" w:eastAsia="仿宋_GB2312" w:hAnsi="仿宋_GB2312" w:cs="仿宋_GB2312" w:hint="eastAsia"/>
          <w:szCs w:val="32"/>
        </w:rPr>
        <w:t>围绕高校毕业生、农民工、退役军人、下岗职工、贫困人口等重点群体，实施好“三支一扶”、就业起航等计划。提升困难人群就业帮扶力度，增强远程招聘服务能力，实施就业援助专项行动。依托</w:t>
      </w:r>
      <w:proofErr w:type="gramStart"/>
      <w:r>
        <w:rPr>
          <w:rFonts w:ascii="仿宋_GB2312" w:eastAsia="仿宋_GB2312" w:hAnsi="仿宋_GB2312" w:cs="仿宋_GB2312" w:hint="eastAsia"/>
          <w:szCs w:val="32"/>
        </w:rPr>
        <w:t>微信公众号</w:t>
      </w:r>
      <w:proofErr w:type="gramEnd"/>
      <w:r>
        <w:rPr>
          <w:rFonts w:ascii="仿宋_GB2312" w:eastAsia="仿宋_GB2312" w:hAnsi="仿宋_GB2312" w:cs="仿宋_GB2312" w:hint="eastAsia"/>
          <w:szCs w:val="32"/>
        </w:rPr>
        <w:t>、永修人才网、“村头宝”等线</w:t>
      </w:r>
      <w:proofErr w:type="gramStart"/>
      <w:r>
        <w:rPr>
          <w:rFonts w:ascii="仿宋_GB2312" w:eastAsia="仿宋_GB2312" w:hAnsi="仿宋_GB2312" w:cs="仿宋_GB2312" w:hint="eastAsia"/>
          <w:szCs w:val="32"/>
        </w:rPr>
        <w:t>上渠道</w:t>
      </w:r>
      <w:proofErr w:type="gramEnd"/>
      <w:r>
        <w:rPr>
          <w:rFonts w:ascii="仿宋_GB2312" w:eastAsia="仿宋_GB2312" w:hAnsi="仿宋_GB2312" w:cs="仿宋_GB2312" w:hint="eastAsia"/>
          <w:szCs w:val="32"/>
        </w:rPr>
        <w:t>广泛发布求职招聘信息，精准发送</w:t>
      </w:r>
      <w:proofErr w:type="gramStart"/>
      <w:r>
        <w:rPr>
          <w:rFonts w:ascii="仿宋_GB2312" w:eastAsia="仿宋_GB2312" w:hAnsi="仿宋_GB2312" w:cs="仿宋_GB2312" w:hint="eastAsia"/>
          <w:szCs w:val="32"/>
        </w:rPr>
        <w:t>至贫困</w:t>
      </w:r>
      <w:proofErr w:type="gramEnd"/>
      <w:r>
        <w:rPr>
          <w:rFonts w:ascii="仿宋_GB2312" w:eastAsia="仿宋_GB2312" w:hAnsi="仿宋_GB2312" w:cs="仿宋_GB2312" w:hint="eastAsia"/>
          <w:szCs w:val="32"/>
        </w:rPr>
        <w:t>劳动力手中，继续开展“就业扶贫日”</w:t>
      </w:r>
      <w:r>
        <w:rPr>
          <w:rFonts w:ascii="仿宋_GB2312" w:eastAsia="仿宋_GB2312" w:hAnsi="仿宋_GB2312" w:cs="仿宋_GB2312" w:hint="eastAsia"/>
          <w:szCs w:val="32"/>
        </w:rPr>
        <w:lastRenderedPageBreak/>
        <w:t>专场招聘活动。</w:t>
      </w:r>
    </w:p>
    <w:p w14:paraId="0DE63CBB" w14:textId="77777777" w:rsidR="00EE55DB" w:rsidRDefault="00000000">
      <w:pPr>
        <w:ind w:firstLine="643"/>
        <w:rPr>
          <w:rFonts w:ascii="仿宋_GB2312" w:eastAsia="仿宋_GB2312" w:hAnsi="仿宋_GB2312" w:cs="仿宋_GB2312"/>
          <w:szCs w:val="32"/>
        </w:rPr>
      </w:pPr>
      <w:r>
        <w:rPr>
          <w:rFonts w:hint="eastAsia"/>
          <w:b/>
          <w:bCs/>
        </w:rPr>
        <w:t>加快职业技能提升。</w:t>
      </w:r>
      <w:r>
        <w:rPr>
          <w:rFonts w:ascii="仿宋_GB2312" w:eastAsia="仿宋_GB2312" w:hAnsi="仿宋_GB2312" w:cs="仿宋_GB2312" w:hint="eastAsia"/>
          <w:szCs w:val="32"/>
        </w:rPr>
        <w:t>加强职业技能培训基础能力建设，支持各类企业和技工院校生化产教融合、校企合作；扩大技能人才培养规模，定时开展有针对性的公共就业技能培训活动，全面做好贫困劳动力的职业技能、农村实用技术、劳动合同法知识和国家就业政策等培训；加大企业</w:t>
      </w:r>
      <w:proofErr w:type="gramStart"/>
      <w:r>
        <w:rPr>
          <w:rFonts w:ascii="仿宋_GB2312" w:eastAsia="仿宋_GB2312" w:hAnsi="仿宋_GB2312" w:cs="仿宋_GB2312" w:hint="eastAsia"/>
          <w:szCs w:val="32"/>
        </w:rPr>
        <w:t>新型职工</w:t>
      </w:r>
      <w:proofErr w:type="gramEnd"/>
      <w:r>
        <w:rPr>
          <w:rFonts w:ascii="仿宋_GB2312" w:eastAsia="仿宋_GB2312" w:hAnsi="仿宋_GB2312" w:cs="仿宋_GB2312" w:hint="eastAsia"/>
          <w:szCs w:val="32"/>
        </w:rPr>
        <w:t>培养力度，制定专项培训计划，确保有培训愿望的劳动力都能获得培训服务。</w:t>
      </w:r>
    </w:p>
    <w:p w14:paraId="54B49C30" w14:textId="77777777" w:rsidR="00EE55DB" w:rsidRDefault="00000000">
      <w:pPr>
        <w:ind w:firstLine="643"/>
        <w:rPr>
          <w:rFonts w:ascii="仿宋_GB2312" w:eastAsia="仿宋_GB2312" w:hAnsi="仿宋_GB2312" w:cs="仿宋_GB2312"/>
          <w:szCs w:val="32"/>
        </w:rPr>
      </w:pPr>
      <w:r>
        <w:rPr>
          <w:rFonts w:hint="eastAsia"/>
          <w:b/>
          <w:bCs/>
        </w:rPr>
        <w:t>构建创业带动就业长效机制。</w:t>
      </w:r>
      <w:r>
        <w:rPr>
          <w:rFonts w:ascii="仿宋_GB2312" w:eastAsia="仿宋_GB2312" w:hAnsi="仿宋_GB2312" w:cs="仿宋_GB2312" w:hint="eastAsia"/>
          <w:szCs w:val="32"/>
        </w:rPr>
        <w:t>统筹推进贷款担保、税费减免、社保补贴、公益性岗位、灵活就业和奖励</w:t>
      </w:r>
      <w:proofErr w:type="gramStart"/>
      <w:r>
        <w:rPr>
          <w:rFonts w:ascii="仿宋_GB2312" w:eastAsia="仿宋_GB2312" w:hAnsi="仿宋_GB2312" w:cs="仿宋_GB2312" w:hint="eastAsia"/>
          <w:szCs w:val="32"/>
        </w:rPr>
        <w:t>奖补等创业</w:t>
      </w:r>
      <w:proofErr w:type="gramEnd"/>
      <w:r>
        <w:rPr>
          <w:rFonts w:ascii="仿宋_GB2312" w:eastAsia="仿宋_GB2312" w:hAnsi="仿宋_GB2312" w:cs="仿宋_GB2312" w:hint="eastAsia"/>
          <w:szCs w:val="32"/>
        </w:rPr>
        <w:t>优惠政策，加大对小</w:t>
      </w:r>
      <w:proofErr w:type="gramStart"/>
      <w:r>
        <w:rPr>
          <w:rFonts w:ascii="仿宋_GB2312" w:eastAsia="仿宋_GB2312" w:hAnsi="仿宋_GB2312" w:cs="仿宋_GB2312" w:hint="eastAsia"/>
          <w:szCs w:val="32"/>
        </w:rPr>
        <w:t>微企业</w:t>
      </w:r>
      <w:proofErr w:type="gramEnd"/>
      <w:r>
        <w:rPr>
          <w:rFonts w:ascii="仿宋_GB2312" w:eastAsia="仿宋_GB2312" w:hAnsi="仿宋_GB2312" w:cs="仿宋_GB2312" w:hint="eastAsia"/>
          <w:szCs w:val="32"/>
        </w:rPr>
        <w:t>支持力度，加强业务监督管理和贷款风险控制，积极组织</w:t>
      </w:r>
      <w:proofErr w:type="gramStart"/>
      <w:r>
        <w:rPr>
          <w:rFonts w:ascii="仿宋_GB2312" w:eastAsia="仿宋_GB2312" w:hAnsi="仿宋_GB2312" w:cs="仿宋_GB2312" w:hint="eastAsia"/>
          <w:szCs w:val="32"/>
        </w:rPr>
        <w:t>创客参与</w:t>
      </w:r>
      <w:proofErr w:type="gramEnd"/>
      <w:r>
        <w:rPr>
          <w:rFonts w:ascii="仿宋_GB2312" w:eastAsia="仿宋_GB2312" w:hAnsi="仿宋_GB2312" w:cs="仿宋_GB2312" w:hint="eastAsia"/>
          <w:szCs w:val="32"/>
        </w:rPr>
        <w:t>“中国创翼”创新创业大赛（九江赛区），推进农民工返乡创业孵化和实训基地建设，完善创业培训、开业指导、创业担保贷款等系列创业服务，继续加大对重点人群创业帮扶力度。</w:t>
      </w:r>
    </w:p>
    <w:p w14:paraId="2FD8B781"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优化收入分配结构。</w:t>
      </w:r>
      <w:r>
        <w:rPr>
          <w:rFonts w:ascii="仿宋_GB2312" w:eastAsia="仿宋_GB2312" w:hAnsi="仿宋_GB2312" w:cs="仿宋_GB2312" w:hint="eastAsia"/>
          <w:szCs w:val="32"/>
        </w:rPr>
        <w:t>坚持以按劳分配为主体、多种分配方式并存的分配制度，健全收入合理增长机制。健全生产要素使用权和收益权，增加中低收入群体要素收入，多渠道增加城乡居民财产性收入。以高校和职业院校毕业生、技能型劳动者、农民工、新型职业农民为重点，不断提高中等收入群体比重。重视发挥慈善等第三次分配作用，改善收入分配格局。</w:t>
      </w:r>
    </w:p>
    <w:p w14:paraId="28049014" w14:textId="77777777" w:rsidR="00EE55DB" w:rsidRDefault="00000000">
      <w:pPr>
        <w:pStyle w:val="2"/>
        <w:spacing w:before="156" w:after="156"/>
      </w:pPr>
      <w:bookmarkStart w:id="108" w:name="_Toc7197"/>
      <w:r>
        <w:rPr>
          <w:rFonts w:hint="eastAsia"/>
        </w:rPr>
        <w:lastRenderedPageBreak/>
        <w:t>第二节</w:t>
      </w:r>
      <w:r>
        <w:t xml:space="preserve"> </w:t>
      </w:r>
      <w:r>
        <w:rPr>
          <w:rFonts w:hint="eastAsia"/>
        </w:rPr>
        <w:t>推进优质均衡教育</w:t>
      </w:r>
      <w:bookmarkEnd w:id="108"/>
    </w:p>
    <w:p w14:paraId="52181C4B" w14:textId="77777777" w:rsidR="00EE55DB" w:rsidRDefault="00000000">
      <w:pPr>
        <w:ind w:firstLine="643"/>
        <w:rPr>
          <w:rFonts w:ascii="仿宋_GB2312" w:eastAsia="仿宋_GB2312" w:hAnsi="仿宋_GB2312" w:cs="仿宋_GB2312"/>
          <w:szCs w:val="32"/>
        </w:rPr>
      </w:pPr>
      <w:r>
        <w:rPr>
          <w:rFonts w:hint="eastAsia"/>
          <w:b/>
          <w:bCs/>
        </w:rPr>
        <w:t>推进各类教育协调发展。</w:t>
      </w:r>
      <w:r>
        <w:rPr>
          <w:rFonts w:ascii="仿宋_GB2312" w:eastAsia="仿宋_GB2312" w:hAnsi="仿宋_GB2312" w:cs="仿宋_GB2312" w:hint="eastAsia"/>
          <w:szCs w:val="32"/>
        </w:rPr>
        <w:t>推进学前教育普及普惠优质安全发展，强化城镇小区配套幼儿园专项治理，加大公办幼儿园和农村附属园建设力度，不断扩大公办幼儿占比，规范发展民办幼儿园。推进义务教育优质均衡发展，实施一批重点建设项目，消除“大班额”，全面提升义务教育质量。加大特殊教育投入，提升办学水平，保障残疾适龄儿童少年就学权利。推进高中教育优质特色发展，实施高中普及攻坚计划，稳妥推进高考综合改革，推进高中特色学校建设，保持高中教育水平全市第一方阵。扩大职业教育办学规模，推进永修县</w:t>
      </w:r>
      <w:proofErr w:type="gramStart"/>
      <w:r>
        <w:rPr>
          <w:rFonts w:ascii="仿宋_GB2312" w:eastAsia="仿宋_GB2312" w:hAnsi="仿宋_GB2312" w:cs="仿宋_GB2312" w:hint="eastAsia"/>
          <w:szCs w:val="32"/>
        </w:rPr>
        <w:t>职教园</w:t>
      </w:r>
      <w:proofErr w:type="gramEnd"/>
      <w:r>
        <w:rPr>
          <w:rFonts w:ascii="仿宋_GB2312" w:eastAsia="仿宋_GB2312" w:hAnsi="仿宋_GB2312" w:cs="仿宋_GB2312" w:hint="eastAsia"/>
          <w:szCs w:val="32"/>
        </w:rPr>
        <w:t>建设，</w:t>
      </w:r>
      <w:proofErr w:type="gramStart"/>
      <w:r>
        <w:rPr>
          <w:rFonts w:ascii="仿宋_GB2312" w:eastAsia="仿宋_GB2312" w:hAnsi="仿宋_GB2312" w:cs="仿宋_GB2312" w:hint="eastAsia"/>
          <w:szCs w:val="32"/>
        </w:rPr>
        <w:t>深化职普融通</w:t>
      </w:r>
      <w:proofErr w:type="gramEnd"/>
      <w:r>
        <w:rPr>
          <w:rFonts w:ascii="仿宋_GB2312" w:eastAsia="仿宋_GB2312" w:hAnsi="仿宋_GB2312" w:cs="仿宋_GB2312" w:hint="eastAsia"/>
          <w:szCs w:val="32"/>
        </w:rPr>
        <w:t>、产教融合、校企合作，加大职业技能培训。完善教育城域网，建成“互联网</w:t>
      </w:r>
      <w:r>
        <w:rPr>
          <w:rFonts w:ascii="仿宋_GB2312" w:eastAsia="仿宋_GB2312" w:hAnsi="仿宋_GB2312" w:cs="仿宋_GB2312"/>
          <w:szCs w:val="32"/>
        </w:rPr>
        <w:t>+</w:t>
      </w:r>
      <w:r>
        <w:rPr>
          <w:rFonts w:ascii="仿宋_GB2312" w:eastAsia="仿宋_GB2312" w:hAnsi="仿宋_GB2312" w:cs="仿宋_GB2312" w:hint="eastAsia"/>
          <w:szCs w:val="32"/>
        </w:rPr>
        <w:t>教育”大平台，推进优质教育资源共享。规范校外培训机构，大力发展社区教育和继续教育，完善终身教育体系。</w:t>
      </w:r>
    </w:p>
    <w:p w14:paraId="02023899" w14:textId="77777777" w:rsidR="00EE55DB" w:rsidRDefault="00000000">
      <w:pPr>
        <w:ind w:firstLine="643"/>
        <w:rPr>
          <w:rFonts w:ascii="仿宋_GB2312" w:eastAsia="仿宋_GB2312" w:hAnsi="仿宋_GB2312" w:cs="仿宋_GB2312"/>
          <w:szCs w:val="32"/>
        </w:rPr>
      </w:pPr>
      <w:r>
        <w:rPr>
          <w:rFonts w:hint="eastAsia"/>
          <w:b/>
          <w:bCs/>
        </w:rPr>
        <w:t>统筹推进城乡教育一体化发展。</w:t>
      </w:r>
      <w:r>
        <w:rPr>
          <w:rFonts w:ascii="仿宋_GB2312" w:eastAsia="仿宋_GB2312" w:hAnsi="仿宋_GB2312" w:cs="仿宋_GB2312" w:hint="eastAsia"/>
          <w:szCs w:val="32"/>
        </w:rPr>
        <w:t>全面均衡城市农村办学条件，建立优势带动机制，推进城区学校和农村学校开展“一对一”交流合作；全面落实农村改薄项目，建立优质资源融通共享机制，构建乡镇中小学以上学校与县级教育专网，优化村级校园局域网，推进建成乡镇以上学校“在线互动课堂”教室；建立教师岗位比例控制机制，采取定期交流轮岗、跨校竞聘、定点支教、乡镇中心学校</w:t>
      </w:r>
      <w:proofErr w:type="gramStart"/>
      <w:r>
        <w:rPr>
          <w:rFonts w:ascii="仿宋_GB2312" w:eastAsia="仿宋_GB2312" w:hAnsi="仿宋_GB2312" w:cs="仿宋_GB2312" w:hint="eastAsia"/>
          <w:szCs w:val="32"/>
        </w:rPr>
        <w:t>教师走教等</w:t>
      </w:r>
      <w:proofErr w:type="gramEnd"/>
      <w:r>
        <w:rPr>
          <w:rFonts w:ascii="仿宋_GB2312" w:eastAsia="仿宋_GB2312" w:hAnsi="仿宋_GB2312" w:cs="仿宋_GB2312" w:hint="eastAsia"/>
          <w:szCs w:val="32"/>
        </w:rPr>
        <w:t>多种途径和方式，全面盘活教育资源消化存量，实现师资配置均衡目标，</w:t>
      </w:r>
      <w:r>
        <w:rPr>
          <w:rFonts w:ascii="仿宋_GB2312" w:eastAsia="仿宋_GB2312" w:hAnsi="仿宋_GB2312" w:cs="仿宋_GB2312" w:hint="eastAsia"/>
          <w:szCs w:val="32"/>
        </w:rPr>
        <w:lastRenderedPageBreak/>
        <w:t>重点引导优秀校长和骨干教师向乡村学校流动，师资富余学校教师向师资缺额学校流动，优秀教师向相对薄弱学校合理流动，实行择优选派乡村新任教师到县城</w:t>
      </w:r>
      <w:proofErr w:type="gramStart"/>
      <w:r>
        <w:rPr>
          <w:rFonts w:ascii="仿宋_GB2312" w:eastAsia="仿宋_GB2312" w:hAnsi="仿宋_GB2312" w:cs="仿宋_GB2312" w:hint="eastAsia"/>
          <w:szCs w:val="32"/>
        </w:rPr>
        <w:t>学校跟岗实习</w:t>
      </w:r>
      <w:proofErr w:type="gramEnd"/>
      <w:r>
        <w:rPr>
          <w:rFonts w:ascii="仿宋_GB2312" w:eastAsia="仿宋_GB2312" w:hAnsi="仿宋_GB2312" w:cs="仿宋_GB2312" w:hint="eastAsia"/>
          <w:szCs w:val="32"/>
        </w:rPr>
        <w:t>制度。支持乡村教师回原籍任教，建立健全回村任教绿色通道制度。推行统一的办学水平评估考核机制，实现农民工子女就读比率纳入质量评价内容，逐步缩小城乡教育资源差距，促进义务教育优质均衡发展。</w:t>
      </w:r>
    </w:p>
    <w:p w14:paraId="2A4206C5" w14:textId="77777777" w:rsidR="00EE55DB" w:rsidRDefault="00000000">
      <w:pPr>
        <w:ind w:firstLine="643"/>
        <w:rPr>
          <w:rFonts w:ascii="仿宋_GB2312" w:eastAsia="仿宋_GB2312" w:hAnsi="仿宋_GB2312" w:cs="仿宋_GB2312"/>
          <w:szCs w:val="32"/>
        </w:rPr>
      </w:pPr>
      <w:r>
        <w:rPr>
          <w:rFonts w:hint="eastAsia"/>
          <w:b/>
          <w:bCs/>
        </w:rPr>
        <w:t>创新教育领域综合实践。</w:t>
      </w:r>
      <w:r>
        <w:rPr>
          <w:rFonts w:ascii="仿宋_GB2312" w:eastAsia="仿宋_GB2312" w:hAnsi="仿宋_GB2312" w:cs="仿宋_GB2312" w:hint="eastAsia"/>
          <w:szCs w:val="32"/>
        </w:rPr>
        <w:t>创新教育办学模式，推进综合实践课程教育，将</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学实践教育列入综合实践课程，劳动教育纳入大中小学必修课，构建学生综合素质评价体系，系统规划和构建综合实践课程，深化产教融合，加快职业教育发展。全面深化新时代教师队伍建设改革，健全师德师风建设长效机制，推进义务教育教师“县管校聘”改革，深化推动中小学教师职称和考核评价制度改革，健全教师队伍培养培训体系，完善教师待遇保障机制，大力提升教师社会地位，推动落实优秀教师表彰激励制度，促进教师队伍整体素质明显提升。健全职业学校教师管理制度，推进赣江新区永修</w:t>
      </w:r>
      <w:proofErr w:type="gramStart"/>
      <w:r>
        <w:rPr>
          <w:rFonts w:ascii="仿宋_GB2312" w:eastAsia="仿宋_GB2312" w:hAnsi="仿宋_GB2312" w:cs="仿宋_GB2312" w:hint="eastAsia"/>
          <w:szCs w:val="32"/>
        </w:rPr>
        <w:t>职教园</w:t>
      </w:r>
      <w:proofErr w:type="gramEnd"/>
      <w:r>
        <w:rPr>
          <w:rFonts w:ascii="仿宋_GB2312" w:eastAsia="仿宋_GB2312" w:hAnsi="仿宋_GB2312" w:cs="仿宋_GB2312" w:hint="eastAsia"/>
          <w:szCs w:val="32"/>
        </w:rPr>
        <w:t>建设，大力加强职业技能培训工作。健全完善</w:t>
      </w:r>
      <w:proofErr w:type="gramStart"/>
      <w:r>
        <w:rPr>
          <w:rFonts w:ascii="仿宋_GB2312" w:eastAsia="仿宋_GB2312" w:hAnsi="仿宋_GB2312" w:cs="仿宋_GB2312" w:hint="eastAsia"/>
          <w:szCs w:val="32"/>
        </w:rPr>
        <w:t>控辍保学</w:t>
      </w:r>
      <w:proofErr w:type="gramEnd"/>
      <w:r>
        <w:rPr>
          <w:rFonts w:ascii="仿宋_GB2312" w:eastAsia="仿宋_GB2312" w:hAnsi="仿宋_GB2312" w:cs="仿宋_GB2312" w:hint="eastAsia"/>
          <w:szCs w:val="32"/>
        </w:rPr>
        <w:t>机制，积极发展老年教育和继续教育，努力构建终身教育体系。到</w:t>
      </w:r>
      <w:r>
        <w:rPr>
          <w:rFonts w:ascii="仿宋_GB2312" w:eastAsia="仿宋_GB2312" w:hAnsi="仿宋_GB2312" w:cs="仿宋_GB2312"/>
          <w:szCs w:val="32"/>
        </w:rPr>
        <w:t>2025</w:t>
      </w:r>
      <w:r>
        <w:rPr>
          <w:rFonts w:ascii="仿宋_GB2312" w:eastAsia="仿宋_GB2312" w:hAnsi="仿宋_GB2312" w:cs="仿宋_GB2312" w:hint="eastAsia"/>
          <w:szCs w:val="32"/>
        </w:rPr>
        <w:t>年，实现教师综合素质、专业化水平和创新能力显著提升，教师管理体制机制科学高效，尊师重教蔚然成风，广大教师在岗位上有幸福感、事业上有成就感、社会上</w:t>
      </w:r>
      <w:r>
        <w:rPr>
          <w:rFonts w:ascii="仿宋_GB2312" w:eastAsia="仿宋_GB2312" w:hAnsi="仿宋_GB2312" w:cs="仿宋_GB2312" w:hint="eastAsia"/>
          <w:szCs w:val="32"/>
        </w:rPr>
        <w:lastRenderedPageBreak/>
        <w:t>有荣誉感。</w:t>
      </w:r>
    </w:p>
    <w:tbl>
      <w:tblPr>
        <w:tblW w:w="8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9"/>
      </w:tblGrid>
      <w:tr w:rsidR="00EE55DB" w14:paraId="2A07F5A6" w14:textId="77777777">
        <w:trPr>
          <w:jc w:val="center"/>
        </w:trPr>
        <w:tc>
          <w:tcPr>
            <w:tcW w:w="8309" w:type="dxa"/>
          </w:tcPr>
          <w:p w14:paraId="420A8E75" w14:textId="77777777" w:rsidR="00EE55DB" w:rsidRDefault="00000000">
            <w:pPr>
              <w:pStyle w:val="21"/>
              <w:ind w:firstLine="482"/>
              <w:jc w:val="center"/>
              <w:rPr>
                <w:rFonts w:cs="黑体"/>
              </w:rPr>
            </w:pPr>
            <w:r>
              <w:rPr>
                <w:rFonts w:cs="黑体" w:hint="eastAsia"/>
                <w:b/>
                <w:bCs/>
              </w:rPr>
              <w:t>专栏</w:t>
            </w:r>
            <w:r>
              <w:rPr>
                <w:rFonts w:cs="黑体"/>
                <w:b/>
                <w:bCs/>
              </w:rPr>
              <w:t xml:space="preserve">18  </w:t>
            </w:r>
            <w:r>
              <w:rPr>
                <w:rFonts w:cs="黑体" w:hint="eastAsia"/>
                <w:b/>
                <w:bCs/>
              </w:rPr>
              <w:t>教育发展重大工程</w:t>
            </w:r>
          </w:p>
        </w:tc>
      </w:tr>
      <w:tr w:rsidR="00EE55DB" w14:paraId="46D8BA8A" w14:textId="77777777">
        <w:trPr>
          <w:jc w:val="center"/>
        </w:trPr>
        <w:tc>
          <w:tcPr>
            <w:tcW w:w="8309" w:type="dxa"/>
          </w:tcPr>
          <w:p w14:paraId="0E679E4D" w14:textId="77777777" w:rsidR="00EE55DB" w:rsidRDefault="00000000">
            <w:pPr>
              <w:pStyle w:val="21"/>
              <w:ind w:firstLine="482"/>
              <w:rPr>
                <w:rFonts w:cs="黑体"/>
                <w:b/>
                <w:bCs/>
              </w:rPr>
            </w:pPr>
            <w:r>
              <w:rPr>
                <w:rFonts w:cs="黑体" w:hint="eastAsia"/>
                <w:b/>
                <w:bCs/>
              </w:rPr>
              <w:t>（一）学前教育普及工程</w:t>
            </w:r>
          </w:p>
          <w:p w14:paraId="38309DE8" w14:textId="77777777" w:rsidR="00EE55DB" w:rsidRDefault="00000000">
            <w:pPr>
              <w:pStyle w:val="21"/>
              <w:ind w:firstLine="480"/>
              <w:rPr>
                <w:rFonts w:cs="黑体"/>
              </w:rPr>
            </w:pPr>
            <w:r>
              <w:rPr>
                <w:rFonts w:cs="黑体" w:hint="eastAsia"/>
              </w:rPr>
              <w:t>推进城南幼儿园、新城幼儿园</w:t>
            </w:r>
            <w:proofErr w:type="gramStart"/>
            <w:r>
              <w:rPr>
                <w:rFonts w:cs="黑体" w:hint="eastAsia"/>
              </w:rPr>
              <w:t>湖东分园</w:t>
            </w:r>
            <w:proofErr w:type="gramEnd"/>
            <w:r>
              <w:rPr>
                <w:rFonts w:cs="黑体" w:hint="eastAsia"/>
              </w:rPr>
              <w:t>建设项目，强化城镇小区配套幼儿园治理。</w:t>
            </w:r>
          </w:p>
          <w:p w14:paraId="3C268E05" w14:textId="77777777" w:rsidR="00EE55DB" w:rsidRDefault="00000000">
            <w:pPr>
              <w:pStyle w:val="21"/>
              <w:ind w:firstLine="482"/>
              <w:rPr>
                <w:rFonts w:cs="黑体"/>
                <w:b/>
                <w:bCs/>
              </w:rPr>
            </w:pPr>
            <w:r>
              <w:rPr>
                <w:rFonts w:cs="黑体" w:hint="eastAsia"/>
                <w:b/>
                <w:bCs/>
              </w:rPr>
              <w:t>（二）义务教育优质均衡发展工程</w:t>
            </w:r>
          </w:p>
          <w:p w14:paraId="2E232D42" w14:textId="77777777" w:rsidR="00EE55DB" w:rsidRDefault="00000000">
            <w:pPr>
              <w:pStyle w:val="21"/>
              <w:ind w:firstLine="480"/>
              <w:rPr>
                <w:rFonts w:cs="黑体"/>
              </w:rPr>
            </w:pPr>
            <w:r>
              <w:rPr>
                <w:rFonts w:cs="黑体" w:hint="eastAsia"/>
              </w:rPr>
              <w:t>推进新城</w:t>
            </w:r>
            <w:proofErr w:type="gramStart"/>
            <w:r>
              <w:rPr>
                <w:rFonts w:cs="黑体" w:hint="eastAsia"/>
              </w:rPr>
              <w:t>小学湖</w:t>
            </w:r>
            <w:proofErr w:type="gramEnd"/>
            <w:r>
              <w:rPr>
                <w:rFonts w:cs="黑体" w:hint="eastAsia"/>
              </w:rPr>
              <w:t>东分校建设、城南小学建设、永修县一中扩容、永修县二中扩容、外国语学校扩容等工程，全面缓解“大班额”问题，努力改善办学条件。</w:t>
            </w:r>
          </w:p>
          <w:p w14:paraId="168C15D8" w14:textId="77777777" w:rsidR="00EE55DB" w:rsidRDefault="00000000">
            <w:pPr>
              <w:pStyle w:val="21"/>
              <w:ind w:firstLine="482"/>
              <w:rPr>
                <w:rFonts w:cs="黑体"/>
                <w:b/>
                <w:bCs/>
              </w:rPr>
            </w:pPr>
            <w:r>
              <w:rPr>
                <w:rFonts w:cs="黑体" w:hint="eastAsia"/>
                <w:b/>
                <w:bCs/>
              </w:rPr>
              <w:t>（三）高中教育多样化特色发展工程</w:t>
            </w:r>
          </w:p>
          <w:p w14:paraId="172EC348" w14:textId="77777777" w:rsidR="00EE55DB" w:rsidRDefault="00000000">
            <w:pPr>
              <w:pStyle w:val="21"/>
              <w:ind w:firstLine="480"/>
              <w:rPr>
                <w:rFonts w:cs="黑体"/>
              </w:rPr>
            </w:pPr>
            <w:r>
              <w:rPr>
                <w:rFonts w:cs="黑体" w:hint="eastAsia"/>
              </w:rPr>
              <w:t>大力推进普通高中办学模式、育人方式多样化，着力提高高中阶段教育毛入学率，统筹普通高中和中等职业教育协调发展，提高特殊群体接受高中阶段教育的机会。着力打造永修特色教育，形成融合发展的办学特色，实现高中教育多样化特色发展。</w:t>
            </w:r>
          </w:p>
          <w:p w14:paraId="78066364" w14:textId="77777777" w:rsidR="00EE55DB" w:rsidRDefault="00000000">
            <w:pPr>
              <w:pStyle w:val="21"/>
              <w:ind w:firstLine="482"/>
              <w:rPr>
                <w:rFonts w:cs="黑体"/>
                <w:b/>
                <w:bCs/>
              </w:rPr>
            </w:pPr>
            <w:r>
              <w:rPr>
                <w:rFonts w:cs="黑体" w:hint="eastAsia"/>
                <w:b/>
                <w:bCs/>
              </w:rPr>
              <w:t>（四）教育人才发展工程</w:t>
            </w:r>
          </w:p>
          <w:p w14:paraId="281FE30C" w14:textId="77777777" w:rsidR="00EE55DB" w:rsidRDefault="00000000">
            <w:pPr>
              <w:pStyle w:val="21"/>
              <w:ind w:firstLine="480"/>
              <w:rPr>
                <w:rFonts w:cs="黑体"/>
              </w:rPr>
            </w:pPr>
            <w:r>
              <w:rPr>
                <w:rFonts w:cs="黑体" w:hint="eastAsia"/>
              </w:rPr>
              <w:t>加大教育人才引进力度，特别是免费师范生当中的优秀人才选拔。加强在职教育培训工作，惠及更多的教师发展机会。加强与省市级高等教育学院合作，协同开展教师培养工作。</w:t>
            </w:r>
          </w:p>
          <w:p w14:paraId="6A56169A" w14:textId="77777777" w:rsidR="00EE55DB" w:rsidRDefault="00000000">
            <w:pPr>
              <w:pStyle w:val="21"/>
              <w:ind w:firstLine="482"/>
              <w:rPr>
                <w:rFonts w:cs="黑体"/>
                <w:b/>
                <w:bCs/>
              </w:rPr>
            </w:pPr>
            <w:r>
              <w:rPr>
                <w:rFonts w:cs="黑体" w:hint="eastAsia"/>
                <w:b/>
                <w:bCs/>
              </w:rPr>
              <w:t>（五）教育现代化推进工程</w:t>
            </w:r>
          </w:p>
          <w:p w14:paraId="03AE0A95" w14:textId="77777777" w:rsidR="00EE55DB" w:rsidRDefault="00000000">
            <w:pPr>
              <w:pStyle w:val="21"/>
              <w:ind w:firstLine="480"/>
              <w:rPr>
                <w:rFonts w:cs="黑体"/>
              </w:rPr>
            </w:pPr>
            <w:r>
              <w:rPr>
                <w:rFonts w:cs="黑体" w:hint="eastAsia"/>
              </w:rPr>
              <w:t>推进学校标准化建设，加强教育设施装备配备，补齐乡村学校短板，完善乡镇寄宿制学校办学条件和住宿条件，加大乡镇教师周转房建设力度，加快推进教育信息化，完善“三通二平台”建设，构筑千兆教育城域网络。</w:t>
            </w:r>
            <w:r>
              <w:rPr>
                <w:rFonts w:cs="宋体" w:hint="eastAsia"/>
                <w:color w:val="000000"/>
                <w:kern w:val="0"/>
              </w:rPr>
              <w:t>搭建永修智慧教育平台，加快教育“云”资源与学科教学有机整合，</w:t>
            </w:r>
            <w:r>
              <w:rPr>
                <w:rFonts w:cs="黑体" w:hint="eastAsia"/>
              </w:rPr>
              <w:t>为教师和学生发展提供更强有力的支持。</w:t>
            </w:r>
          </w:p>
        </w:tc>
      </w:tr>
    </w:tbl>
    <w:p w14:paraId="037913C2" w14:textId="77777777" w:rsidR="00EE55DB" w:rsidRDefault="00000000">
      <w:pPr>
        <w:pStyle w:val="2"/>
        <w:spacing w:before="156" w:after="156"/>
      </w:pPr>
      <w:bookmarkStart w:id="109" w:name="_Toc30658"/>
      <w:r>
        <w:rPr>
          <w:rFonts w:hint="eastAsia"/>
        </w:rPr>
        <w:t>第三节</w:t>
      </w:r>
      <w:r>
        <w:t xml:space="preserve"> </w:t>
      </w:r>
      <w:r>
        <w:rPr>
          <w:rFonts w:hint="eastAsia"/>
        </w:rPr>
        <w:t>加快健康永修建设</w:t>
      </w:r>
      <w:bookmarkEnd w:id="109"/>
    </w:p>
    <w:p w14:paraId="56F7A1DD" w14:textId="77777777" w:rsidR="00EE55DB" w:rsidRDefault="00000000">
      <w:pPr>
        <w:ind w:firstLine="643"/>
        <w:rPr>
          <w:rFonts w:ascii="仿宋_GB2312" w:eastAsia="仿宋_GB2312" w:hAnsi="仿宋_GB2312" w:cs="仿宋_GB2312"/>
          <w:szCs w:val="32"/>
        </w:rPr>
      </w:pPr>
      <w:r>
        <w:rPr>
          <w:rFonts w:hint="eastAsia"/>
          <w:b/>
          <w:bCs/>
        </w:rPr>
        <w:t>构建优质高效医疗卫生服务体系。</w:t>
      </w:r>
      <w:r>
        <w:rPr>
          <w:rFonts w:ascii="仿宋_GB2312" w:eastAsia="仿宋_GB2312" w:hAnsi="仿宋_GB2312" w:cs="仿宋_GB2312" w:hint="eastAsia"/>
          <w:color w:val="000000"/>
          <w:szCs w:val="32"/>
        </w:rPr>
        <w:t>牢固树立“大卫生、大健康”理念，深入贯彻新时代卫生健康工作方针，持续推</w:t>
      </w:r>
      <w:r>
        <w:rPr>
          <w:rFonts w:ascii="仿宋_GB2312" w:eastAsia="仿宋_GB2312" w:hAnsi="仿宋_GB2312" w:cs="仿宋_GB2312" w:hint="eastAsia"/>
          <w:color w:val="000000"/>
          <w:szCs w:val="32"/>
        </w:rPr>
        <w:lastRenderedPageBreak/>
        <w:t>进“健康永修”建设。建立重大公共卫生事件防控物资调配机制及应急医疗物资启动预案保障机制，提高突发公共卫生事件监测预警处置能力，织牢公共卫生防护网。健全覆盖城乡居民的基本医疗卫生体系，深入实施分级诊疗制度，构建“</w:t>
      </w:r>
      <w:r>
        <w:rPr>
          <w:rFonts w:ascii="仿宋_GB2312" w:eastAsia="仿宋_GB2312" w:hAnsi="仿宋_GB2312" w:cs="仿宋_GB2312"/>
          <w:color w:val="000000"/>
          <w:szCs w:val="32"/>
        </w:rPr>
        <w:t>15</w:t>
      </w:r>
      <w:r>
        <w:rPr>
          <w:rFonts w:ascii="仿宋_GB2312" w:eastAsia="仿宋_GB2312" w:hAnsi="仿宋_GB2312" w:cs="仿宋_GB2312" w:hint="eastAsia"/>
          <w:color w:val="000000"/>
          <w:szCs w:val="32"/>
        </w:rPr>
        <w:t>分钟医疗服务圈”。加快智慧医疗平台应用，强力推进县、乡、村三级卫生计生信息化建设。坚持公立医疗机构的公益性，建立稳定的公共卫生事业投入机制，完善公共卫生服务体系、强化医疗机构公共卫生职能。积极引进社会办专科医院和</w:t>
      </w:r>
      <w:proofErr w:type="gramStart"/>
      <w:r>
        <w:rPr>
          <w:rFonts w:ascii="仿宋_GB2312" w:eastAsia="仿宋_GB2312" w:hAnsi="仿宋_GB2312" w:cs="仿宋_GB2312" w:hint="eastAsia"/>
          <w:color w:val="000000"/>
          <w:szCs w:val="32"/>
        </w:rPr>
        <w:t>医养</w:t>
      </w:r>
      <w:proofErr w:type="gramEnd"/>
      <w:r>
        <w:rPr>
          <w:rFonts w:ascii="仿宋_GB2312" w:eastAsia="仿宋_GB2312" w:hAnsi="仿宋_GB2312" w:cs="仿宋_GB2312" w:hint="eastAsia"/>
          <w:color w:val="000000"/>
          <w:szCs w:val="32"/>
        </w:rPr>
        <w:t>结合产业，加强社会办医疗机构监管，规范诊疗行为。健全重大疾病保险和救助制度，推进</w:t>
      </w:r>
      <w:proofErr w:type="gramStart"/>
      <w:r>
        <w:rPr>
          <w:rFonts w:ascii="仿宋_GB2312" w:eastAsia="仿宋_GB2312" w:hAnsi="仿宋_GB2312" w:cs="仿宋_GB2312" w:hint="eastAsia"/>
          <w:color w:val="000000"/>
          <w:szCs w:val="32"/>
        </w:rPr>
        <w:t>医</w:t>
      </w:r>
      <w:proofErr w:type="gramEnd"/>
      <w:r>
        <w:rPr>
          <w:rFonts w:ascii="仿宋_GB2312" w:eastAsia="仿宋_GB2312" w:hAnsi="仿宋_GB2312" w:cs="仿宋_GB2312" w:hint="eastAsia"/>
          <w:color w:val="000000"/>
          <w:szCs w:val="32"/>
        </w:rPr>
        <w:t>保支付方式改革，进一步完善按病种付费、总额预付等支付方式。进一步完善健康促进教育体系，普及健康知识。大力开展爱国卫生运动，强化预防优先，打造健康环境。</w:t>
      </w:r>
    </w:p>
    <w:p w14:paraId="75097173" w14:textId="77777777" w:rsidR="00EE55DB" w:rsidRDefault="00000000">
      <w:pPr>
        <w:ind w:firstLine="643"/>
        <w:rPr>
          <w:rFonts w:ascii="仿宋_GB2312" w:eastAsia="仿宋_GB2312" w:hAnsi="仿宋_GB2312" w:cs="仿宋_GB2312"/>
          <w:szCs w:val="32"/>
        </w:rPr>
      </w:pPr>
      <w:r>
        <w:rPr>
          <w:rFonts w:hint="eastAsia"/>
          <w:b/>
          <w:bCs/>
        </w:rPr>
        <w:t>夯实卫生健康服务能力。</w:t>
      </w:r>
      <w:r>
        <w:rPr>
          <w:rFonts w:ascii="仿宋_GB2312" w:eastAsia="仿宋_GB2312" w:hAnsi="仿宋_GB2312" w:cs="仿宋_GB2312" w:hint="eastAsia"/>
        </w:rPr>
        <w:t>加强医疗卫生基础设施建设，构建县域</w:t>
      </w:r>
      <w:proofErr w:type="gramStart"/>
      <w:r>
        <w:rPr>
          <w:rFonts w:ascii="仿宋_GB2312" w:eastAsia="仿宋_GB2312" w:hAnsi="仿宋_GB2312" w:cs="仿宋_GB2312" w:hint="eastAsia"/>
        </w:rPr>
        <w:t>级疾病</w:t>
      </w:r>
      <w:proofErr w:type="gramEnd"/>
      <w:r>
        <w:rPr>
          <w:rFonts w:ascii="仿宋_GB2312" w:eastAsia="仿宋_GB2312" w:hAnsi="仿宋_GB2312" w:cs="仿宋_GB2312" w:hint="eastAsia"/>
        </w:rPr>
        <w:t>预防控制中心，扩容和更新先进医疗检验检测设备和冷链保障设备，开展基层医疗机构规范化建设，逐步完善基层</w:t>
      </w:r>
      <w:proofErr w:type="gramStart"/>
      <w:r>
        <w:rPr>
          <w:rFonts w:ascii="仿宋_GB2312" w:eastAsia="仿宋_GB2312" w:hAnsi="仿宋_GB2312" w:cs="仿宋_GB2312" w:hint="eastAsia"/>
        </w:rPr>
        <w:t>疾控基础</w:t>
      </w:r>
      <w:proofErr w:type="gramEnd"/>
      <w:r>
        <w:rPr>
          <w:rFonts w:ascii="仿宋_GB2312" w:eastAsia="仿宋_GB2312" w:hAnsi="仿宋_GB2312" w:cs="仿宋_GB2312" w:hint="eastAsia"/>
        </w:rPr>
        <w:t>仪器设备配置。推进“互联网</w:t>
      </w:r>
      <w:r>
        <w:rPr>
          <w:rFonts w:ascii="仿宋_GB2312" w:eastAsia="仿宋_GB2312" w:hAnsi="仿宋_GB2312" w:cs="仿宋_GB2312"/>
        </w:rPr>
        <w:t>+</w:t>
      </w:r>
      <w:r>
        <w:rPr>
          <w:rFonts w:ascii="仿宋_GB2312" w:eastAsia="仿宋_GB2312" w:hAnsi="仿宋_GB2312" w:cs="仿宋_GB2312" w:hint="eastAsia"/>
        </w:rPr>
        <w:t>医疗健康”服务模式，打造智慧就诊区、智慧病房、防护常态化智能一站式服务。加大对医疗卫生人才队伍建设，提高公共卫生专业人员待遇及归属感，保持专业队伍的稳定性，完善专业人员职业技术培训和进修机制。完善基层卫生人才发展体系，规范开展乡村医生岗位培训，全面实施农村订单定向医</w:t>
      </w:r>
      <w:r>
        <w:rPr>
          <w:rFonts w:ascii="仿宋_GB2312" w:eastAsia="仿宋_GB2312" w:hAnsi="仿宋_GB2312" w:cs="仿宋_GB2312" w:hint="eastAsia"/>
        </w:rPr>
        <w:lastRenderedPageBreak/>
        <w:t>学生、乡村医生订单定向培养、“三支一扶”及事业单位招录制度，落实乡村医生各项补助政策，完善乡村医生养老政策和推出机制，筑牢农村医疗卫生服务网底</w:t>
      </w:r>
      <w:r>
        <w:rPr>
          <w:rFonts w:ascii="仿宋_GB2312" w:eastAsia="仿宋_GB2312" w:hAnsi="仿宋_GB2312" w:cs="仿宋_GB2312" w:hint="eastAsia"/>
          <w:szCs w:val="32"/>
        </w:rPr>
        <w:t>。</w:t>
      </w:r>
    </w:p>
    <w:p w14:paraId="065244A3" w14:textId="77777777" w:rsidR="00EE55DB" w:rsidRDefault="00000000">
      <w:pPr>
        <w:ind w:firstLine="643"/>
        <w:rPr>
          <w:rFonts w:ascii="仿宋_GB2312" w:eastAsia="仿宋_GB2312" w:hAnsi="仿宋_GB2312" w:cs="仿宋_GB2312"/>
          <w:szCs w:val="32"/>
        </w:rPr>
      </w:pPr>
      <w:r>
        <w:rPr>
          <w:rFonts w:hint="eastAsia"/>
          <w:b/>
          <w:bCs/>
        </w:rPr>
        <w:t>提升卫生健康公共服务水平。</w:t>
      </w:r>
      <w:r>
        <w:rPr>
          <w:rFonts w:ascii="仿宋_GB2312" w:eastAsia="仿宋_GB2312" w:hAnsi="仿宋_GB2312" w:cs="仿宋_GB2312" w:hint="eastAsia"/>
        </w:rPr>
        <w:t>进一步完善基本公共卫生服务，全面落实老年人、孕产妇、</w:t>
      </w:r>
      <w:r>
        <w:rPr>
          <w:rFonts w:ascii="仿宋_GB2312" w:eastAsia="仿宋_GB2312" w:hAnsi="仿宋_GB2312" w:cs="仿宋_GB2312"/>
        </w:rPr>
        <w:t>0-6</w:t>
      </w:r>
      <w:r>
        <w:rPr>
          <w:rFonts w:ascii="仿宋_GB2312" w:eastAsia="仿宋_GB2312" w:hAnsi="仿宋_GB2312" w:cs="仿宋_GB2312" w:hint="eastAsia"/>
        </w:rPr>
        <w:t>岁儿童、慢病患者、残疾人、社会保障兜底人员及计生特殊家庭等重点人群年度健康体检工作，贯彻落实“光明·微笑”工程、社会保障兜底重型精神病人救治、和尿毒症病人免费血透救治、社会保障兜底艾滋病机会性感染者免费救治等重大公共卫生服务项目，加强健康服务与信息化随访建设，规范公共卫生服务补助项目资金使用与管理，提高资金使用效率，持续开展安全宣传“五进”活动，探索应急救护知识传播形式，创新应急救护知识普及手段和内容，扩大公共卫生普及率。积极探索乡村振兴战略面向农村的医疗服务新模式，完善由特惠向普惠逐步转型的惠农医疗健康服务政策。健全慢性病综合防控体系，实施合理膳食行动和全民健身活动，推动形成体</w:t>
      </w:r>
      <w:proofErr w:type="gramStart"/>
      <w:r>
        <w:rPr>
          <w:rFonts w:ascii="仿宋_GB2312" w:eastAsia="仿宋_GB2312" w:hAnsi="仿宋_GB2312" w:cs="仿宋_GB2312" w:hint="eastAsia"/>
        </w:rPr>
        <w:t>医</w:t>
      </w:r>
      <w:proofErr w:type="gramEnd"/>
      <w:r>
        <w:rPr>
          <w:rFonts w:ascii="仿宋_GB2312" w:eastAsia="仿宋_GB2312" w:hAnsi="仿宋_GB2312" w:cs="仿宋_GB2312" w:hint="eastAsia"/>
        </w:rPr>
        <w:t>结合的疾病管理和健康服务模式。加强卫生计生综合监督执法工作力度，推进卫生计生监督平台建设，加强职业病防治工作，保障劳动者职业健康权益。到</w:t>
      </w:r>
      <w:r>
        <w:rPr>
          <w:rFonts w:ascii="仿宋_GB2312" w:eastAsia="仿宋_GB2312" w:hAnsi="仿宋_GB2312" w:cs="仿宋_GB2312"/>
        </w:rPr>
        <w:t>2025</w:t>
      </w:r>
      <w:r>
        <w:rPr>
          <w:rFonts w:ascii="仿宋_GB2312" w:eastAsia="仿宋_GB2312" w:hAnsi="仿宋_GB2312" w:cs="仿宋_GB2312" w:hint="eastAsia"/>
        </w:rPr>
        <w:t>年，全县控制和消除重点地方病危害，乡（镇、街道）适龄儿童免疫规划疫苗接种率达到</w:t>
      </w:r>
      <w:r>
        <w:rPr>
          <w:rFonts w:ascii="仿宋_GB2312" w:eastAsia="仿宋_GB2312" w:hAnsi="仿宋_GB2312" w:cs="仿宋_GB2312"/>
        </w:rPr>
        <w:t>95%</w:t>
      </w:r>
      <w:r>
        <w:rPr>
          <w:rFonts w:ascii="仿宋_GB2312" w:eastAsia="仿宋_GB2312" w:hAnsi="仿宋_GB2312" w:cs="仿宋_GB2312" w:hint="eastAsia"/>
        </w:rPr>
        <w:t>。</w:t>
      </w:r>
    </w:p>
    <w:p w14:paraId="1D1FDE6F" w14:textId="77777777" w:rsidR="00EE55DB" w:rsidRDefault="00000000">
      <w:pPr>
        <w:ind w:firstLine="643"/>
        <w:rPr>
          <w:rFonts w:ascii="仿宋_GB2312" w:eastAsia="仿宋_GB2312" w:hAnsi="仿宋_GB2312" w:cs="仿宋_GB2312"/>
          <w:szCs w:val="32"/>
        </w:rPr>
      </w:pPr>
      <w:r>
        <w:rPr>
          <w:rFonts w:hint="eastAsia"/>
          <w:b/>
          <w:bCs/>
        </w:rPr>
        <w:t>构建中医传承创新体系。</w:t>
      </w:r>
      <w:r>
        <w:rPr>
          <w:rFonts w:ascii="仿宋_GB2312" w:eastAsia="仿宋_GB2312" w:hAnsi="仿宋_GB2312" w:cs="仿宋_GB2312" w:hint="eastAsia"/>
          <w:szCs w:val="32"/>
        </w:rPr>
        <w:t>扎实推进中医药事业发展，加</w:t>
      </w:r>
      <w:r>
        <w:rPr>
          <w:rFonts w:ascii="仿宋_GB2312" w:eastAsia="仿宋_GB2312" w:hAnsi="仿宋_GB2312" w:cs="仿宋_GB2312" w:hint="eastAsia"/>
          <w:szCs w:val="32"/>
        </w:rPr>
        <w:lastRenderedPageBreak/>
        <w:t>强中医药应急能力建设，建立完善的西医学习中医制度，加大开展“西学中”培训力度，鼓励西医离职学习中医，培养一批中西医结合人才。积极开展传统医学师承和确有专长资格考核考试以及师承备案、中医医术确有专长医师资格考核报名工作，推进中医药养生保健、健康养老等人才培养。</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6"/>
      </w:tblGrid>
      <w:tr w:rsidR="00EE55DB" w14:paraId="58A9FEA2" w14:textId="77777777">
        <w:trPr>
          <w:jc w:val="center"/>
        </w:trPr>
        <w:tc>
          <w:tcPr>
            <w:tcW w:w="8286" w:type="dxa"/>
          </w:tcPr>
          <w:p w14:paraId="6AA50B28" w14:textId="77777777" w:rsidR="00EE55DB" w:rsidRDefault="00000000">
            <w:pPr>
              <w:pStyle w:val="21"/>
              <w:ind w:firstLine="482"/>
              <w:jc w:val="center"/>
              <w:rPr>
                <w:rFonts w:cs="黑体"/>
              </w:rPr>
            </w:pPr>
            <w:r>
              <w:rPr>
                <w:rFonts w:cs="黑体" w:hint="eastAsia"/>
                <w:b/>
                <w:bCs/>
              </w:rPr>
              <w:t>专栏</w:t>
            </w:r>
            <w:r>
              <w:rPr>
                <w:rFonts w:cs="黑体"/>
                <w:b/>
                <w:bCs/>
              </w:rPr>
              <w:t xml:space="preserve">19  </w:t>
            </w:r>
            <w:r>
              <w:rPr>
                <w:rFonts w:cs="黑体" w:hint="eastAsia"/>
                <w:b/>
                <w:bCs/>
              </w:rPr>
              <w:t>医疗卫生发展重大工程</w:t>
            </w:r>
          </w:p>
        </w:tc>
      </w:tr>
      <w:tr w:rsidR="00EE55DB" w14:paraId="023466AC" w14:textId="77777777">
        <w:trPr>
          <w:jc w:val="center"/>
        </w:trPr>
        <w:tc>
          <w:tcPr>
            <w:tcW w:w="8286" w:type="dxa"/>
          </w:tcPr>
          <w:p w14:paraId="0C9A656C" w14:textId="77777777" w:rsidR="00EE55DB" w:rsidRDefault="00000000">
            <w:pPr>
              <w:pStyle w:val="21"/>
              <w:ind w:firstLine="482"/>
              <w:rPr>
                <w:rFonts w:cs="黑体"/>
                <w:b/>
                <w:bCs/>
              </w:rPr>
            </w:pPr>
            <w:r>
              <w:rPr>
                <w:rFonts w:cs="黑体" w:hint="eastAsia"/>
                <w:b/>
                <w:bCs/>
              </w:rPr>
              <w:t>（一）公共卫生应急提升工程</w:t>
            </w:r>
          </w:p>
          <w:p w14:paraId="1A31882C" w14:textId="77777777" w:rsidR="00EE55DB" w:rsidRDefault="00000000">
            <w:pPr>
              <w:pStyle w:val="21"/>
              <w:ind w:firstLine="480"/>
              <w:rPr>
                <w:rFonts w:cs="黑体"/>
              </w:rPr>
            </w:pPr>
            <w:r>
              <w:rPr>
                <w:rFonts w:cs="黑体" w:hint="eastAsia"/>
              </w:rPr>
              <w:t>加快补齐城乡医疗卫生短板，开展核酸检测中心、社区公共卫生服务中心建设，建设公共卫生应急物资储备库项目，加强疾病预防控制机构项目建设，加强地方常见、多发传染病病原体、健康危害因素检测能力和相应应急处置能力。</w:t>
            </w:r>
          </w:p>
          <w:p w14:paraId="7941D2B4" w14:textId="77777777" w:rsidR="00EE55DB" w:rsidRDefault="00000000">
            <w:pPr>
              <w:pStyle w:val="21"/>
              <w:ind w:firstLine="482"/>
              <w:rPr>
                <w:rFonts w:cs="黑体"/>
                <w:b/>
                <w:bCs/>
              </w:rPr>
            </w:pPr>
            <w:r>
              <w:rPr>
                <w:rFonts w:cs="黑体" w:hint="eastAsia"/>
                <w:b/>
                <w:bCs/>
              </w:rPr>
              <w:t>（二）医疗能力提升工程</w:t>
            </w:r>
          </w:p>
          <w:p w14:paraId="6D3D319C" w14:textId="77777777" w:rsidR="00EE55DB" w:rsidRDefault="00000000">
            <w:pPr>
              <w:pStyle w:val="21"/>
              <w:ind w:firstLine="480"/>
              <w:rPr>
                <w:rFonts w:cs="黑体"/>
              </w:rPr>
            </w:pPr>
            <w:r>
              <w:rPr>
                <w:rFonts w:cs="黑体" w:hint="eastAsia"/>
              </w:rPr>
              <w:t>提升县域严重危害人民群众健康的心脑血管、呼吸系统疾病、儿科疾病、传染性疾病等重点病种诊疗能力，强化区域优势医疗资源影响力和辐射作用。</w:t>
            </w:r>
          </w:p>
          <w:p w14:paraId="5FA50F01" w14:textId="77777777" w:rsidR="00EE55DB" w:rsidRDefault="00000000">
            <w:pPr>
              <w:pStyle w:val="21"/>
              <w:ind w:firstLine="482"/>
              <w:rPr>
                <w:rFonts w:cs="黑体"/>
                <w:b/>
                <w:bCs/>
              </w:rPr>
            </w:pPr>
            <w:r>
              <w:rPr>
                <w:rFonts w:cs="黑体" w:hint="eastAsia"/>
                <w:b/>
                <w:bCs/>
              </w:rPr>
              <w:t>（三）医疗资源扩容工程</w:t>
            </w:r>
          </w:p>
          <w:p w14:paraId="5A3D7167" w14:textId="77777777" w:rsidR="00EE55DB" w:rsidRDefault="00000000">
            <w:pPr>
              <w:pStyle w:val="21"/>
              <w:ind w:firstLine="480"/>
              <w:rPr>
                <w:rFonts w:cs="黑体"/>
              </w:rPr>
            </w:pPr>
            <w:r>
              <w:rPr>
                <w:rFonts w:cs="黑体" w:hint="eastAsia"/>
              </w:rPr>
              <w:t>支持永修县中医院新建康复大楼及改扩建门诊住院医技楼项目、传染病医院建设项目、康养中心项目、</w:t>
            </w:r>
            <w:proofErr w:type="gramStart"/>
            <w:r>
              <w:rPr>
                <w:rFonts w:cs="黑体" w:hint="eastAsia"/>
              </w:rPr>
              <w:t>疾控中心</w:t>
            </w:r>
            <w:proofErr w:type="gramEnd"/>
            <w:r>
              <w:rPr>
                <w:rFonts w:cs="黑体" w:hint="eastAsia"/>
              </w:rPr>
              <w:t>大楼项目、马口镇中心卫生院大楼项目、新妇幼保健院项目等建设，加快县中医院搬迁，推进基层医疗机构规范化建设。</w:t>
            </w:r>
          </w:p>
        </w:tc>
      </w:tr>
    </w:tbl>
    <w:p w14:paraId="2F537754" w14:textId="77777777" w:rsidR="00EE55DB" w:rsidRDefault="00000000">
      <w:pPr>
        <w:pStyle w:val="2"/>
        <w:spacing w:before="156" w:after="156"/>
      </w:pPr>
      <w:bookmarkStart w:id="110" w:name="_Toc11106"/>
      <w:r>
        <w:rPr>
          <w:rFonts w:hint="eastAsia"/>
        </w:rPr>
        <w:t>第四节</w:t>
      </w:r>
      <w:r>
        <w:t xml:space="preserve"> </w:t>
      </w:r>
      <w:r>
        <w:rPr>
          <w:rFonts w:hint="eastAsia"/>
        </w:rPr>
        <w:t>完善社会保障体系</w:t>
      </w:r>
      <w:bookmarkEnd w:id="110"/>
    </w:p>
    <w:p w14:paraId="301596C1" w14:textId="77777777" w:rsidR="00EE55DB" w:rsidRDefault="00000000">
      <w:pPr>
        <w:ind w:firstLine="643"/>
        <w:rPr>
          <w:rFonts w:ascii="仿宋_GB2312" w:eastAsia="仿宋_GB2312" w:hAnsi="仿宋_GB2312" w:cs="仿宋_GB2312"/>
          <w:szCs w:val="32"/>
        </w:rPr>
      </w:pPr>
      <w:r>
        <w:rPr>
          <w:rFonts w:hint="eastAsia"/>
          <w:b/>
          <w:bCs/>
        </w:rPr>
        <w:t>完善城乡居民基本养老保险制度。</w:t>
      </w:r>
      <w:r>
        <w:rPr>
          <w:rFonts w:ascii="仿宋_GB2312" w:eastAsia="仿宋_GB2312" w:hAnsi="仿宋_GB2312" w:cs="仿宋_GB2312" w:hint="eastAsia"/>
          <w:szCs w:val="32"/>
        </w:rPr>
        <w:t>继续完善基本养老保险制度改革总体方案，深入实施社会保险降费减负政策，落实机关事业单位养老保险制度改革，严格企业职工退休审批管理，深入推进渐进式延迟退休制度。完善参保</w:t>
      </w:r>
      <w:proofErr w:type="gramStart"/>
      <w:r>
        <w:rPr>
          <w:rFonts w:ascii="仿宋_GB2312" w:eastAsia="仿宋_GB2312" w:hAnsi="仿宋_GB2312" w:cs="仿宋_GB2312" w:hint="eastAsia"/>
          <w:szCs w:val="32"/>
        </w:rPr>
        <w:t>扩面长效</w:t>
      </w:r>
      <w:proofErr w:type="gramEnd"/>
      <w:r>
        <w:rPr>
          <w:rFonts w:ascii="仿宋_GB2312" w:eastAsia="仿宋_GB2312" w:hAnsi="仿宋_GB2312" w:cs="仿宋_GB2312" w:hint="eastAsia"/>
          <w:szCs w:val="32"/>
        </w:rPr>
        <w:t>机制，以工业园区企业为重点，聚焦灵活就业人员、新业态从业人员等重点人群，提高参</w:t>
      </w:r>
      <w:proofErr w:type="gramStart"/>
      <w:r>
        <w:rPr>
          <w:rFonts w:ascii="仿宋_GB2312" w:eastAsia="仿宋_GB2312" w:hAnsi="仿宋_GB2312" w:cs="仿宋_GB2312" w:hint="eastAsia"/>
          <w:szCs w:val="32"/>
        </w:rPr>
        <w:t>保扩面</w:t>
      </w:r>
      <w:proofErr w:type="gramEnd"/>
      <w:r>
        <w:rPr>
          <w:rFonts w:ascii="仿宋_GB2312" w:eastAsia="仿宋_GB2312" w:hAnsi="仿宋_GB2312" w:cs="仿宋_GB2312" w:hint="eastAsia"/>
          <w:szCs w:val="32"/>
        </w:rPr>
        <w:t>针对性和有效性，实现企</w:t>
      </w:r>
      <w:r>
        <w:rPr>
          <w:rFonts w:ascii="仿宋_GB2312" w:eastAsia="仿宋_GB2312" w:hAnsi="仿宋_GB2312" w:cs="仿宋_GB2312" w:hint="eastAsia"/>
          <w:szCs w:val="32"/>
        </w:rPr>
        <w:lastRenderedPageBreak/>
        <w:t>业职工基本养老保险法定人员全覆盖，鼓励和引导有参保意愿和能力的城乡居民选择较高档次缴费。完善城乡居民基本养老保险丧葬补助金制度，全面落实被征地农民参加基本养老保险措施，落实城乡居民养老保险基础养老金正常调整机制，确保贫困人员城乡居民养老保险金发放到位。构建城乡居民待遇领取人员互联网生存认证系统，深入开展城乡居民养老保险基金委托投资运营，确保基金保值增值。</w:t>
      </w:r>
    </w:p>
    <w:p w14:paraId="47452E4C" w14:textId="77777777" w:rsidR="00EE55DB" w:rsidRDefault="00000000">
      <w:pPr>
        <w:ind w:firstLine="643"/>
        <w:rPr>
          <w:rFonts w:ascii="仿宋_GB2312" w:eastAsia="仿宋_GB2312" w:hAnsi="仿宋_GB2312" w:cs="仿宋_GB2312"/>
          <w:szCs w:val="32"/>
        </w:rPr>
      </w:pPr>
      <w:r>
        <w:rPr>
          <w:rFonts w:hint="eastAsia"/>
          <w:b/>
          <w:bCs/>
        </w:rPr>
        <w:t>完善医疗保险制度。</w:t>
      </w:r>
      <w:r>
        <w:rPr>
          <w:rFonts w:ascii="仿宋_GB2312" w:eastAsia="仿宋_GB2312" w:hAnsi="仿宋_GB2312" w:cs="仿宋_GB2312" w:hint="eastAsia"/>
          <w:szCs w:val="32"/>
        </w:rPr>
        <w:t>继续健全完善统一的城乡居民</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保制度和缴费筹资政策。推动县域范围内医疗救助政策、信息系统统一，健全</w:t>
      </w:r>
      <w:proofErr w:type="gramStart"/>
      <w:r>
        <w:rPr>
          <w:rFonts w:ascii="仿宋_GB2312" w:eastAsia="仿宋_GB2312" w:hAnsi="仿宋_GB2312" w:cs="仿宋_GB2312" w:hint="eastAsia"/>
          <w:szCs w:val="32"/>
        </w:rPr>
        <w:t>完善重</w:t>
      </w:r>
      <w:proofErr w:type="gramEnd"/>
      <w:r>
        <w:rPr>
          <w:rFonts w:ascii="仿宋_GB2312" w:eastAsia="仿宋_GB2312" w:hAnsi="仿宋_GB2312" w:cs="仿宋_GB2312" w:hint="eastAsia"/>
          <w:szCs w:val="32"/>
        </w:rPr>
        <w:t>特大疾病医疗保险和医疗救助政策有效衔接，增强大病保障能力，充分发挥医疗保障在乡村振兴战略的保障作用。健全完善</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保目录动态调整机制，充分发挥</w:t>
      </w:r>
      <w:proofErr w:type="gramStart"/>
      <w:r>
        <w:rPr>
          <w:rFonts w:ascii="仿宋_GB2312" w:eastAsia="仿宋_GB2312" w:hAnsi="仿宋_GB2312" w:cs="仿宋_GB2312" w:hint="eastAsia"/>
          <w:szCs w:val="32"/>
        </w:rPr>
        <w:t>医保战略</w:t>
      </w:r>
      <w:proofErr w:type="gramEnd"/>
      <w:r>
        <w:rPr>
          <w:rFonts w:ascii="仿宋_GB2312" w:eastAsia="仿宋_GB2312" w:hAnsi="仿宋_GB2312" w:cs="仿宋_GB2312" w:hint="eastAsia"/>
          <w:szCs w:val="32"/>
        </w:rPr>
        <w:t>购买者作用，将更多救命救急的好药纳入</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保。继续深化</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保支付方式改革，充分借助大数据等手段，促进医疗资源合理配置，推进</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保总额预付，</w:t>
      </w:r>
      <w:proofErr w:type="gramStart"/>
      <w:r>
        <w:rPr>
          <w:rFonts w:ascii="仿宋_GB2312" w:eastAsia="仿宋_GB2312" w:hAnsi="仿宋_GB2312" w:cs="仿宋_GB2312" w:hint="eastAsia"/>
          <w:szCs w:val="32"/>
        </w:rPr>
        <w:t>扩大按</w:t>
      </w:r>
      <w:proofErr w:type="gramEnd"/>
      <w:r>
        <w:rPr>
          <w:rFonts w:ascii="仿宋_GB2312" w:eastAsia="仿宋_GB2312" w:hAnsi="仿宋_GB2312" w:cs="仿宋_GB2312" w:hint="eastAsia"/>
          <w:szCs w:val="32"/>
        </w:rPr>
        <w:t>病种付费数量和实施范围，积极探索</w:t>
      </w:r>
      <w:proofErr w:type="gramStart"/>
      <w:r>
        <w:rPr>
          <w:rFonts w:ascii="仿宋_GB2312" w:eastAsia="仿宋_GB2312" w:hAnsi="仿宋_GB2312" w:cs="仿宋_GB2312" w:hint="eastAsia"/>
          <w:szCs w:val="32"/>
        </w:rPr>
        <w:t>按床日</w:t>
      </w:r>
      <w:proofErr w:type="gramEnd"/>
      <w:r>
        <w:rPr>
          <w:rFonts w:ascii="仿宋_GB2312" w:eastAsia="仿宋_GB2312" w:hAnsi="仿宋_GB2312" w:cs="仿宋_GB2312" w:hint="eastAsia"/>
          <w:szCs w:val="32"/>
        </w:rPr>
        <w:t>付费等多种</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保支付方式。加大对中医药产业发展的支持力度。推进医疗保障标准化和信息化建设，提升经办服务水平，做好异地就医直接结算，提升</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保法制化水平。</w:t>
      </w:r>
    </w:p>
    <w:p w14:paraId="440DFEB0" w14:textId="77777777" w:rsidR="00EE55DB" w:rsidRDefault="00000000">
      <w:pPr>
        <w:ind w:firstLine="643"/>
        <w:rPr>
          <w:rFonts w:ascii="仿宋_GB2312" w:eastAsia="仿宋_GB2312" w:hAnsi="仿宋_GB2312" w:cs="仿宋_GB2312"/>
          <w:szCs w:val="32"/>
        </w:rPr>
      </w:pPr>
      <w:r>
        <w:rPr>
          <w:rFonts w:hint="eastAsia"/>
          <w:b/>
          <w:bCs/>
        </w:rPr>
        <w:t>完善失业工伤生育保险制度。</w:t>
      </w:r>
      <w:r>
        <w:rPr>
          <w:rFonts w:ascii="仿宋_GB2312" w:eastAsia="仿宋_GB2312" w:hAnsi="仿宋_GB2312" w:cs="仿宋_GB2312" w:hint="eastAsia"/>
          <w:szCs w:val="32"/>
        </w:rPr>
        <w:t>健全失业保险制度，建立个人缴费记录和失业保险预警机制；实现从“伤后保障”到“事前预防”的转变，建立工伤预防、康复、补偿相结合的</w:t>
      </w:r>
      <w:r>
        <w:rPr>
          <w:rFonts w:ascii="仿宋_GB2312" w:eastAsia="仿宋_GB2312" w:hAnsi="仿宋_GB2312" w:cs="仿宋_GB2312" w:hint="eastAsia"/>
          <w:szCs w:val="32"/>
        </w:rPr>
        <w:lastRenderedPageBreak/>
        <w:t>工伤保险制度体系。深入开展职业伤害保险工作，全面落实建筑、交通运输、铁路、水利、能源和机场等项目参加工伤保险，确保新开工工程建设按项目参保率达到</w:t>
      </w:r>
      <w:proofErr w:type="gramStart"/>
      <w:r>
        <w:rPr>
          <w:rFonts w:ascii="仿宋_GB2312" w:eastAsia="仿宋_GB2312" w:hAnsi="仿宋_GB2312" w:cs="仿宋_GB2312" w:hint="eastAsia"/>
          <w:szCs w:val="32"/>
        </w:rPr>
        <w:t>百分百全覆盖</w:t>
      </w:r>
      <w:proofErr w:type="gramEnd"/>
      <w:r>
        <w:rPr>
          <w:rFonts w:ascii="仿宋_GB2312" w:eastAsia="仿宋_GB2312" w:hAnsi="仿宋_GB2312" w:cs="仿宋_GB2312" w:hint="eastAsia"/>
          <w:szCs w:val="32"/>
        </w:rPr>
        <w:t>。持续开展尘肺病重点行业工伤</w:t>
      </w:r>
      <w:proofErr w:type="gramStart"/>
      <w:r>
        <w:rPr>
          <w:rFonts w:ascii="仿宋_GB2312" w:eastAsia="仿宋_GB2312" w:hAnsi="仿宋_GB2312" w:cs="仿宋_GB2312" w:hint="eastAsia"/>
          <w:szCs w:val="32"/>
        </w:rPr>
        <w:t>保险扩面专项</w:t>
      </w:r>
      <w:proofErr w:type="gramEnd"/>
      <w:r>
        <w:rPr>
          <w:rFonts w:ascii="仿宋_GB2312" w:eastAsia="仿宋_GB2312" w:hAnsi="仿宋_GB2312" w:cs="仿宋_GB2312" w:hint="eastAsia"/>
          <w:szCs w:val="32"/>
        </w:rPr>
        <w:t>行动，提高因工致残人员伤残津贴待遇，推进职业康复训练队伍建设。完善生育保险制度，扩大用人单位生育保险覆盖范围。</w:t>
      </w:r>
    </w:p>
    <w:p w14:paraId="67F0810C" w14:textId="77777777" w:rsidR="00EE55DB" w:rsidRDefault="00000000">
      <w:pPr>
        <w:ind w:firstLine="643"/>
        <w:rPr>
          <w:rFonts w:ascii="仿宋_GB2312" w:eastAsia="仿宋_GB2312" w:hAnsi="仿宋_GB2312" w:cs="仿宋_GB2312"/>
          <w:szCs w:val="32"/>
        </w:rPr>
      </w:pPr>
      <w:r>
        <w:rPr>
          <w:rFonts w:hint="eastAsia"/>
          <w:b/>
          <w:bCs/>
        </w:rPr>
        <w:t>完善社会救助制度。</w:t>
      </w:r>
      <w:r>
        <w:rPr>
          <w:rFonts w:ascii="仿宋_GB2312" w:eastAsia="仿宋_GB2312" w:hAnsi="仿宋_GB2312" w:cs="仿宋_GB2312" w:hint="eastAsia"/>
          <w:szCs w:val="32"/>
        </w:rPr>
        <w:t>稳步提高城乡困难群众生活保障标准，切实做好</w:t>
      </w:r>
      <w:proofErr w:type="gramStart"/>
      <w:r>
        <w:rPr>
          <w:rFonts w:ascii="仿宋_GB2312" w:eastAsia="仿宋_GB2312" w:hAnsi="仿宋_GB2312" w:cs="仿宋_GB2312" w:hint="eastAsia"/>
          <w:szCs w:val="32"/>
        </w:rPr>
        <w:t>城乡低保的</w:t>
      </w:r>
      <w:proofErr w:type="gramEnd"/>
      <w:r>
        <w:rPr>
          <w:rFonts w:ascii="仿宋_GB2312" w:eastAsia="仿宋_GB2312" w:hAnsi="仿宋_GB2312" w:cs="仿宋_GB2312" w:hint="eastAsia"/>
          <w:szCs w:val="32"/>
        </w:rPr>
        <w:t>动态管理，完善城乡贫困家庭教育、医疗、住房、就业专项救助制度，增加面向贫困老年人和残疾人的康复救助项目。统筹衔接社会保险、社会救助和社会福利政策，提升管理效率和制度效益，激发救助对象内生性动力和可持续发展能力，健全脱贫解困工作机制，建立健全</w:t>
      </w:r>
      <w:proofErr w:type="gramStart"/>
      <w:r>
        <w:rPr>
          <w:rFonts w:ascii="仿宋_GB2312" w:eastAsia="仿宋_GB2312" w:hAnsi="仿宋_GB2312" w:cs="仿宋_GB2312" w:hint="eastAsia"/>
          <w:szCs w:val="32"/>
        </w:rPr>
        <w:t>反贫政策</w:t>
      </w:r>
      <w:proofErr w:type="gramEnd"/>
      <w:r>
        <w:rPr>
          <w:rFonts w:ascii="仿宋_GB2312" w:eastAsia="仿宋_GB2312" w:hAnsi="仿宋_GB2312" w:cs="仿宋_GB2312" w:hint="eastAsia"/>
          <w:szCs w:val="32"/>
        </w:rPr>
        <w:t>措施。关注潜在救助群体，完善救助对象分级分类管理，提供差异化、个性化救助，建立动态调整机制。完善“数字民政”工作，推进救助信息和资源互通共享，加强救助资源统筹，形成合作共治的智慧社会救助体系。巩固和完善临时救助备用金制度，加强对乡镇临时救助资金使用情况的监督。</w:t>
      </w:r>
    </w:p>
    <w:p w14:paraId="1093A4C5" w14:textId="77777777" w:rsidR="00EE55DB" w:rsidRDefault="00000000">
      <w:pPr>
        <w:ind w:firstLine="643"/>
        <w:rPr>
          <w:rFonts w:ascii="仿宋_GB2312" w:eastAsia="仿宋_GB2312" w:hAnsi="仿宋_GB2312" w:cs="仿宋_GB2312"/>
          <w:szCs w:val="32"/>
        </w:rPr>
      </w:pPr>
      <w:r>
        <w:rPr>
          <w:rFonts w:hint="eastAsia"/>
          <w:b/>
          <w:bCs/>
        </w:rPr>
        <w:t>完善住房保障制度。</w:t>
      </w:r>
      <w:r>
        <w:rPr>
          <w:rFonts w:ascii="仿宋_GB2312" w:eastAsia="仿宋_GB2312" w:hAnsi="仿宋_GB2312" w:cs="仿宋_GB2312" w:hint="eastAsia"/>
          <w:szCs w:val="32"/>
        </w:rPr>
        <w:t>坚持“房住不炒”定位，稳妥实施房地产市场长效管理机制，扩大保障性租赁住房供给，规范发展住房租赁市场，建立健全住房租赁管理服务平台，建成多主体供给、多渠道保障、租购并举的住房制度。重点建设</w:t>
      </w:r>
      <w:r>
        <w:rPr>
          <w:rFonts w:ascii="仿宋_GB2312" w:eastAsia="仿宋_GB2312" w:hAnsi="仿宋_GB2312" w:cs="仿宋_GB2312" w:hint="eastAsia"/>
          <w:szCs w:val="32"/>
        </w:rPr>
        <w:lastRenderedPageBreak/>
        <w:t>一批公共租赁住房，大力推进城市老旧小区改造项目，全面落实保障性住房建设资金管理，解决困难家庭安居问题，实现当地居民和外来务工人民安居乐业。</w:t>
      </w: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9"/>
      </w:tblGrid>
      <w:tr w:rsidR="00EE55DB" w14:paraId="1EC985F0" w14:textId="77777777">
        <w:trPr>
          <w:jc w:val="center"/>
        </w:trPr>
        <w:tc>
          <w:tcPr>
            <w:tcW w:w="8289" w:type="dxa"/>
            <w:vAlign w:val="center"/>
          </w:tcPr>
          <w:p w14:paraId="0B24D344" w14:textId="77777777" w:rsidR="00EE55DB" w:rsidRDefault="00000000">
            <w:pPr>
              <w:pStyle w:val="21"/>
              <w:ind w:firstLine="482"/>
              <w:jc w:val="center"/>
              <w:rPr>
                <w:rFonts w:cs="黑体"/>
              </w:rPr>
            </w:pPr>
            <w:r>
              <w:rPr>
                <w:rFonts w:cs="黑体" w:hint="eastAsia"/>
                <w:b/>
                <w:bCs/>
              </w:rPr>
              <w:t>专栏</w:t>
            </w:r>
            <w:r>
              <w:rPr>
                <w:rFonts w:cs="黑体"/>
                <w:b/>
                <w:bCs/>
              </w:rPr>
              <w:t xml:space="preserve">20  </w:t>
            </w:r>
            <w:r>
              <w:rPr>
                <w:rFonts w:cs="黑体" w:hint="eastAsia"/>
                <w:b/>
                <w:bCs/>
              </w:rPr>
              <w:t>特殊人群基本权益保障</w:t>
            </w:r>
          </w:p>
        </w:tc>
      </w:tr>
      <w:tr w:rsidR="00EE55DB" w14:paraId="01228191" w14:textId="77777777">
        <w:trPr>
          <w:jc w:val="center"/>
        </w:trPr>
        <w:tc>
          <w:tcPr>
            <w:tcW w:w="8289" w:type="dxa"/>
          </w:tcPr>
          <w:p w14:paraId="3423FE70" w14:textId="77777777" w:rsidR="00EE55DB" w:rsidRDefault="00000000">
            <w:pPr>
              <w:pStyle w:val="21"/>
              <w:numPr>
                <w:ilvl w:val="0"/>
                <w:numId w:val="4"/>
              </w:numPr>
              <w:ind w:firstLine="482"/>
              <w:rPr>
                <w:rFonts w:cs="黑体"/>
                <w:b/>
                <w:bCs/>
              </w:rPr>
            </w:pPr>
            <w:r>
              <w:rPr>
                <w:rFonts w:cs="黑体" w:hint="eastAsia"/>
                <w:b/>
                <w:bCs/>
              </w:rPr>
              <w:t>妇女儿童权益保障</w:t>
            </w:r>
          </w:p>
          <w:p w14:paraId="63E4D5A5" w14:textId="77777777" w:rsidR="00EE55DB" w:rsidRDefault="00000000">
            <w:pPr>
              <w:pStyle w:val="21"/>
              <w:numPr>
                <w:ilvl w:val="255"/>
                <w:numId w:val="0"/>
              </w:numPr>
              <w:ind w:firstLine="480"/>
              <w:rPr>
                <w:rFonts w:cs="黑体"/>
                <w:highlight w:val="yellow"/>
              </w:rPr>
            </w:pPr>
            <w:r>
              <w:rPr>
                <w:rFonts w:cs="黑体" w:hint="eastAsia"/>
              </w:rPr>
              <w:t>切实保障妇女享有平等经济权益，依法享有产假和生育津贴，消除就业性别歧视。扩大城乡“儿童两病”“妇女两癌”筛查范围。完善农村留守儿童教育关爱服务体系，建立困难儿童福利保障制度，保障儿童的各项权利。到</w:t>
            </w:r>
            <w:r>
              <w:rPr>
                <w:rFonts w:cs="黑体"/>
              </w:rPr>
              <w:t>2025</w:t>
            </w:r>
            <w:r>
              <w:rPr>
                <w:rFonts w:cs="黑体" w:hint="eastAsia"/>
              </w:rPr>
              <w:t>年，力争妇女“两癌”筛查率提高到</w:t>
            </w:r>
            <w:r>
              <w:rPr>
                <w:rFonts w:cs="黑体"/>
              </w:rPr>
              <w:t>85%</w:t>
            </w:r>
            <w:r>
              <w:rPr>
                <w:rFonts w:cs="黑体" w:hint="eastAsia"/>
              </w:rPr>
              <w:t>以上。</w:t>
            </w:r>
          </w:p>
          <w:p w14:paraId="5CE4F54E" w14:textId="77777777" w:rsidR="00EE55DB" w:rsidRDefault="00000000">
            <w:pPr>
              <w:pStyle w:val="21"/>
              <w:numPr>
                <w:ilvl w:val="0"/>
                <w:numId w:val="4"/>
              </w:numPr>
              <w:ind w:firstLine="482"/>
              <w:rPr>
                <w:rFonts w:cs="黑体"/>
                <w:b/>
                <w:bCs/>
              </w:rPr>
            </w:pPr>
            <w:r>
              <w:rPr>
                <w:rFonts w:cs="黑体" w:hint="eastAsia"/>
                <w:b/>
                <w:bCs/>
              </w:rPr>
              <w:t>青少年健康成长关爱</w:t>
            </w:r>
          </w:p>
          <w:p w14:paraId="56A38D6C" w14:textId="77777777" w:rsidR="00EE55DB" w:rsidRDefault="00000000">
            <w:pPr>
              <w:pStyle w:val="21"/>
              <w:numPr>
                <w:ilvl w:val="255"/>
                <w:numId w:val="0"/>
              </w:numPr>
              <w:ind w:firstLine="480"/>
              <w:rPr>
                <w:rFonts w:cs="黑体"/>
              </w:rPr>
            </w:pPr>
            <w:r>
              <w:rPr>
                <w:rFonts w:cs="黑体" w:hint="eastAsia"/>
              </w:rPr>
              <w:t>加强青少年心理健康指导，开展青少年生命教育和挫折教育，开展青少年性健康、性安全宣传教育，提高青春期性知识的普及率。优化青少年成长环境，加强学校及周边社会治安综合治理，严厉打击危害青少年权益的违法行为。推进少年宫等未成年人校外活动场所建设项目。</w:t>
            </w:r>
          </w:p>
          <w:p w14:paraId="5B754B23" w14:textId="77777777" w:rsidR="00EE55DB" w:rsidRDefault="00000000">
            <w:pPr>
              <w:pStyle w:val="21"/>
              <w:numPr>
                <w:ilvl w:val="0"/>
                <w:numId w:val="4"/>
              </w:numPr>
              <w:ind w:firstLine="482"/>
              <w:rPr>
                <w:rFonts w:cs="黑体"/>
                <w:b/>
                <w:bCs/>
              </w:rPr>
            </w:pPr>
            <w:r>
              <w:rPr>
                <w:rFonts w:cs="黑体" w:hint="eastAsia"/>
                <w:b/>
                <w:bCs/>
              </w:rPr>
              <w:t>残疾人权益保障</w:t>
            </w:r>
          </w:p>
          <w:p w14:paraId="3DD074ED" w14:textId="77777777" w:rsidR="00EE55DB" w:rsidRDefault="00000000">
            <w:pPr>
              <w:pStyle w:val="21"/>
              <w:numPr>
                <w:ilvl w:val="255"/>
                <w:numId w:val="0"/>
              </w:numPr>
              <w:ind w:firstLine="480"/>
              <w:rPr>
                <w:rFonts w:cs="黑体"/>
              </w:rPr>
            </w:pPr>
            <w:r>
              <w:rPr>
                <w:rFonts w:cs="黑体" w:hint="eastAsia"/>
              </w:rPr>
              <w:t>健全困难残疾人生活补贴和护理补贴标准动态调整机制，完善残疾人医疗报销制度，保障残疾人基本住房制度。加强公共场所无障碍设施建设和维护，鼓励残疾人提升自身能力进行就业创业，完善就业创业扶持政策，鼓励社会力量为残疾人提供便利服务。</w:t>
            </w:r>
          </w:p>
        </w:tc>
      </w:tr>
    </w:tbl>
    <w:p w14:paraId="23D14682" w14:textId="77777777" w:rsidR="00EE55DB" w:rsidRDefault="00000000">
      <w:pPr>
        <w:pStyle w:val="2"/>
        <w:spacing w:before="156" w:after="156"/>
      </w:pPr>
      <w:bookmarkStart w:id="111" w:name="_Toc1859"/>
      <w:r>
        <w:rPr>
          <w:rFonts w:hint="eastAsia"/>
        </w:rPr>
        <w:t>第五节</w:t>
      </w:r>
      <w:r>
        <w:t xml:space="preserve"> </w:t>
      </w:r>
      <w:r>
        <w:rPr>
          <w:rFonts w:hint="eastAsia"/>
        </w:rPr>
        <w:t>积极应对人口老龄化</w:t>
      </w:r>
      <w:bookmarkEnd w:id="111"/>
    </w:p>
    <w:p w14:paraId="2E8AB0DC" w14:textId="77777777" w:rsidR="00EE55DB" w:rsidRDefault="00000000">
      <w:pPr>
        <w:ind w:firstLine="643"/>
        <w:rPr>
          <w:rFonts w:ascii="仿宋_GB2312" w:eastAsia="仿宋_GB2312" w:hAnsi="仿宋_GB2312" w:cs="仿宋_GB2312"/>
          <w:szCs w:val="32"/>
        </w:rPr>
      </w:pPr>
      <w:proofErr w:type="gramStart"/>
      <w:r>
        <w:rPr>
          <w:rFonts w:hint="eastAsia"/>
          <w:b/>
          <w:bCs/>
        </w:rPr>
        <w:t>构建多元</w:t>
      </w:r>
      <w:proofErr w:type="gramEnd"/>
      <w:r>
        <w:rPr>
          <w:rFonts w:hint="eastAsia"/>
          <w:b/>
          <w:bCs/>
        </w:rPr>
        <w:t>养老服务体系。</w:t>
      </w:r>
      <w:r>
        <w:rPr>
          <w:rFonts w:ascii="仿宋_GB2312" w:eastAsia="仿宋_GB2312" w:hAnsi="仿宋_GB2312" w:cs="仿宋_GB2312" w:hint="eastAsia"/>
          <w:szCs w:val="32"/>
        </w:rPr>
        <w:t>持续加快县级</w:t>
      </w:r>
      <w:proofErr w:type="gramStart"/>
      <w:r>
        <w:rPr>
          <w:rFonts w:ascii="仿宋_GB2312" w:eastAsia="仿宋_GB2312" w:hAnsi="仿宋_GB2312" w:cs="仿宋_GB2312" w:hint="eastAsia"/>
          <w:szCs w:val="32"/>
        </w:rPr>
        <w:t>康养中心</w:t>
      </w:r>
      <w:proofErr w:type="gramEnd"/>
      <w:r>
        <w:rPr>
          <w:rFonts w:ascii="仿宋_GB2312" w:eastAsia="仿宋_GB2312" w:hAnsi="仿宋_GB2312" w:cs="仿宋_GB2312" w:hint="eastAsia"/>
          <w:szCs w:val="32"/>
        </w:rPr>
        <w:t>建设，完善县级养老服务体系，加快发展居家养老服务和社区养老服务建设，重点发展</w:t>
      </w:r>
      <w:proofErr w:type="gramStart"/>
      <w:r>
        <w:rPr>
          <w:rFonts w:ascii="仿宋_GB2312" w:eastAsia="仿宋_GB2312" w:hAnsi="仿宋_GB2312" w:cs="仿宋_GB2312" w:hint="eastAsia"/>
          <w:szCs w:val="32"/>
        </w:rPr>
        <w:t>医</w:t>
      </w:r>
      <w:proofErr w:type="gramEnd"/>
      <w:r>
        <w:rPr>
          <w:rFonts w:ascii="仿宋_GB2312" w:eastAsia="仿宋_GB2312" w:hAnsi="仿宋_GB2312" w:cs="仿宋_GB2312" w:hint="eastAsia"/>
          <w:szCs w:val="32"/>
        </w:rPr>
        <w:t>养结合的老年护理机构，增加社区嵌入式养老服务设施供给，提升养老服务规范化、标准化管理；促进公办养老机构转型升级，完善农村颐养之家建设，补齐农村养老服务基础设施短板，推进普惠</w:t>
      </w:r>
      <w:proofErr w:type="gramStart"/>
      <w:r>
        <w:rPr>
          <w:rFonts w:ascii="仿宋_GB2312" w:eastAsia="仿宋_GB2312" w:hAnsi="仿宋_GB2312" w:cs="仿宋_GB2312" w:hint="eastAsia"/>
          <w:szCs w:val="32"/>
        </w:rPr>
        <w:t>养老城企联动</w:t>
      </w:r>
      <w:proofErr w:type="gramEnd"/>
      <w:r>
        <w:rPr>
          <w:rFonts w:ascii="仿宋_GB2312" w:eastAsia="仿宋_GB2312" w:hAnsi="仿宋_GB2312" w:cs="仿宋_GB2312" w:hint="eastAsia"/>
          <w:szCs w:val="32"/>
        </w:rPr>
        <w:t>试点，</w:t>
      </w:r>
      <w:r>
        <w:rPr>
          <w:rFonts w:ascii="仿宋_GB2312" w:eastAsia="仿宋_GB2312" w:hAnsi="仿宋_GB2312" w:cs="仿宋_GB2312" w:hint="eastAsia"/>
          <w:szCs w:val="32"/>
        </w:rPr>
        <w:lastRenderedPageBreak/>
        <w:t>探索尝试长期护理保险试点。积极申请燕坊、艾城和梅棠敬老院建设专项债，加强养老服务队伍建设，提升敬老院工作人员管理水平。</w:t>
      </w:r>
    </w:p>
    <w:p w14:paraId="19AFBFC7" w14:textId="77777777" w:rsidR="00EE55DB" w:rsidRDefault="00000000">
      <w:pPr>
        <w:ind w:firstLine="643"/>
        <w:rPr>
          <w:rFonts w:ascii="仿宋_GB2312" w:eastAsia="仿宋_GB2312" w:hAnsi="仿宋_GB2312" w:cs="仿宋_GB2312"/>
          <w:szCs w:val="32"/>
        </w:rPr>
      </w:pPr>
      <w:r>
        <w:rPr>
          <w:rFonts w:hint="eastAsia"/>
          <w:b/>
          <w:bCs/>
        </w:rPr>
        <w:t>打造智慧化养老服务。</w:t>
      </w:r>
      <w:r>
        <w:rPr>
          <w:rFonts w:ascii="仿宋_GB2312" w:eastAsia="仿宋_GB2312" w:hAnsi="仿宋_GB2312" w:cs="仿宋_GB2312" w:hint="eastAsia"/>
          <w:szCs w:val="32"/>
        </w:rPr>
        <w:t>依托移动互联网、物联网和智能终端等大数据平台，积极推动“互联网</w:t>
      </w:r>
      <w:r>
        <w:rPr>
          <w:rFonts w:ascii="仿宋_GB2312" w:eastAsia="仿宋_GB2312" w:hAnsi="仿宋_GB2312" w:cs="仿宋_GB2312"/>
          <w:szCs w:val="32"/>
        </w:rPr>
        <w:t>+</w:t>
      </w:r>
      <w:r>
        <w:rPr>
          <w:rFonts w:ascii="仿宋_GB2312" w:eastAsia="仿宋_GB2312" w:hAnsi="仿宋_GB2312" w:cs="仿宋_GB2312" w:hint="eastAsia"/>
          <w:szCs w:val="32"/>
        </w:rPr>
        <w:t>居家养老”服务融合发展，推动传统养老模式向智慧社区、智能居家养老全面转型，加强智能监控系统和紧急救援系统设施建设，提升风险防范能力，安装人体感应探测、门磁感应器、燃气泄漏报警、一键呼叫等智能化设备，畅通居家监测数据与老年人子女、养老机构的信息传输。建立全县老年人服务账簿，针对特殊老年人群体，提供更全面的智慧医护和养老服务。</w:t>
      </w:r>
    </w:p>
    <w:p w14:paraId="065CFAF1" w14:textId="77777777" w:rsidR="00EE55DB" w:rsidRDefault="00000000">
      <w:pPr>
        <w:widowControl/>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推动实现适度生育水平。</w:t>
      </w:r>
      <w:r>
        <w:rPr>
          <w:rFonts w:ascii="仿宋_GB2312" w:eastAsia="仿宋_GB2312" w:hAnsi="仿宋_GB2312" w:cs="仿宋_GB2312" w:hint="eastAsia"/>
          <w:color w:val="000000"/>
          <w:szCs w:val="32"/>
        </w:rPr>
        <w:t>全面启动计划生育家庭特别扶助制度，为计划生育特殊困难家庭办理人身意外伤害及重大疾病保险续保工作。始终把宣传教育作为综合治理出生人口性别比升高问题的治本之策，充分发挥教育、卫生、文广、人口计生及相关部门优势，搭建出生人口性别比综合治理工作宣传教育平台，组织实施系列活动</w:t>
      </w:r>
      <w:r>
        <w:rPr>
          <w:rFonts w:ascii="仿宋_GB2312" w:eastAsia="仿宋_GB2312" w:hAnsi="仿宋_GB2312" w:cs="仿宋_GB2312" w:hint="eastAsia"/>
          <w:szCs w:val="32"/>
        </w:rPr>
        <w:t>，努力提升计划生育家庭的发展能力</w:t>
      </w:r>
      <w:r>
        <w:rPr>
          <w:rFonts w:ascii="仿宋_GB2312" w:eastAsia="仿宋_GB2312" w:hAnsi="仿宋_GB2312" w:cs="仿宋_GB2312" w:hint="eastAsia"/>
          <w:color w:val="000000"/>
          <w:szCs w:val="32"/>
        </w:rPr>
        <w:t>。</w:t>
      </w:r>
    </w:p>
    <w:p w14:paraId="3813AFE1" w14:textId="77777777" w:rsidR="00EE55DB" w:rsidRDefault="00000000">
      <w:pPr>
        <w:ind w:firstLine="640"/>
      </w:pPr>
      <w:r>
        <w:rPr>
          <w:rFonts w:ascii="仿宋_GB2312" w:eastAsia="仿宋_GB2312" w:hAnsi="仿宋_GB2312" w:cs="仿宋_GB2312" w:hint="eastAsia"/>
          <w:b/>
          <w:bCs/>
          <w:szCs w:val="32"/>
        </w:rPr>
        <w:t>健全婴幼儿发展政策。</w:t>
      </w:r>
      <w:r>
        <w:rPr>
          <w:rFonts w:ascii="仿宋_GB2312" w:eastAsia="仿宋_GB2312" w:hAnsi="仿宋_GB2312" w:cs="仿宋_GB2312" w:hint="eastAsia"/>
          <w:szCs w:val="32"/>
        </w:rPr>
        <w:t>根据《国务院办公厅关于促进</w:t>
      </w:r>
      <w:r>
        <w:rPr>
          <w:rFonts w:ascii="仿宋_GB2312" w:eastAsia="仿宋_GB2312" w:hAnsi="仿宋_GB2312" w:cs="仿宋_GB2312"/>
          <w:szCs w:val="32"/>
        </w:rPr>
        <w:t>3</w:t>
      </w:r>
      <w:r>
        <w:rPr>
          <w:rFonts w:ascii="仿宋_GB2312" w:eastAsia="仿宋_GB2312" w:hAnsi="仿宋_GB2312" w:cs="仿宋_GB2312" w:hint="eastAsia"/>
          <w:szCs w:val="32"/>
        </w:rPr>
        <w:t>岁以下婴幼儿照护服务发展的指导意见》及省、市相关文件精神，健全支持婴幼儿照护服务和早期教育的政策体系。积极开展多种形式的婴幼儿照护服务机构，支持企事业单位、</w:t>
      </w:r>
      <w:r>
        <w:rPr>
          <w:rFonts w:ascii="仿宋_GB2312" w:eastAsia="仿宋_GB2312" w:hAnsi="仿宋_GB2312" w:cs="仿宋_GB2312" w:hint="eastAsia"/>
          <w:szCs w:val="32"/>
        </w:rPr>
        <w:lastRenderedPageBreak/>
        <w:t>社会团体等社会力量提供普惠托育服务，鼓励幼儿园发展托幼一体化服务。推进婴幼儿照护服务和早期教育专业化、规范化发展。</w:t>
      </w:r>
      <w:r>
        <w:br w:type="page"/>
      </w:r>
    </w:p>
    <w:p w14:paraId="664F0F09" w14:textId="77777777" w:rsidR="00EE55DB" w:rsidRDefault="00000000">
      <w:pPr>
        <w:pStyle w:val="1"/>
        <w:spacing w:before="156" w:after="156"/>
      </w:pPr>
      <w:bookmarkStart w:id="112" w:name="_Toc28688"/>
      <w:r>
        <w:rPr>
          <w:rFonts w:hint="eastAsia"/>
        </w:rPr>
        <w:lastRenderedPageBreak/>
        <w:t>第十二章</w:t>
      </w:r>
      <w:r>
        <w:t xml:space="preserve"> </w:t>
      </w:r>
      <w:r>
        <w:rPr>
          <w:rFonts w:hint="eastAsia"/>
        </w:rPr>
        <w:t>提升社会治理能力，开启平安永修建设新征程</w:t>
      </w:r>
      <w:bookmarkEnd w:id="112"/>
    </w:p>
    <w:p w14:paraId="0200A896"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加快推进社会治理体系和治理能力现代化建设，科学统筹发展和安全关系，将安全融入新发展理念，将安全纳入新发展格局，维护社会稳定，防范化解影响现代化进程的各种风险，加快建立应急管理体系和能力，建设更高水平的平安永修。</w:t>
      </w:r>
    </w:p>
    <w:p w14:paraId="6E502D93" w14:textId="77777777" w:rsidR="00EE55DB" w:rsidRDefault="00000000">
      <w:pPr>
        <w:pStyle w:val="2"/>
        <w:spacing w:before="156" w:after="156"/>
      </w:pPr>
      <w:bookmarkStart w:id="113" w:name="_Toc24140"/>
      <w:bookmarkStart w:id="114" w:name="_Toc23250"/>
      <w:r>
        <w:rPr>
          <w:rFonts w:hint="eastAsia"/>
        </w:rPr>
        <w:t>第一节</w:t>
      </w:r>
      <w:r>
        <w:t xml:space="preserve"> </w:t>
      </w:r>
      <w:r>
        <w:rPr>
          <w:rFonts w:hint="eastAsia"/>
        </w:rPr>
        <w:t>聚焦聚力建设平安永修</w:t>
      </w:r>
      <w:bookmarkEnd w:id="113"/>
      <w:bookmarkEnd w:id="114"/>
    </w:p>
    <w:p w14:paraId="14F14B41" w14:textId="77777777" w:rsidR="00EE55DB" w:rsidRDefault="00000000">
      <w:pPr>
        <w:ind w:firstLine="643"/>
        <w:rPr>
          <w:b/>
          <w:bCs/>
        </w:rPr>
      </w:pPr>
      <w:r>
        <w:rPr>
          <w:rFonts w:hint="eastAsia"/>
          <w:b/>
          <w:bCs/>
        </w:rPr>
        <w:t>坚定维护国家安全。</w:t>
      </w:r>
      <w:r>
        <w:rPr>
          <w:rFonts w:ascii="仿宋_GB2312" w:eastAsia="仿宋_GB2312" w:hAnsi="仿宋_GB2312" w:cs="仿宋_GB2312" w:hint="eastAsia"/>
        </w:rPr>
        <w:t>坚持维护集中统一，高效权威的国家安全领导体制，进一步完善国家安全工作体系和制度体系，强化“大安全”工作格局，进一步完善重点领域专项工作机制。健全国家安全审查和监管制度，加强国家安全执法，加强国家安全宣传教育，增强全民国家安全意识，巩固国家安全人民防线，坚定维护国家政权安全、制度安全、意识形态安全，全面加强网络安全、信息安全、数据安全保障体系和能力建设。建立重点群体反渗透工作机制，严厉打击邪教组织和非法宗教组织各类非法活动，严密防范和严厉打击敌对势力渗透、破坏、颠覆、分裂活动。</w:t>
      </w:r>
    </w:p>
    <w:p w14:paraId="07E0C7EC" w14:textId="77777777" w:rsidR="00EE55DB" w:rsidRDefault="00000000">
      <w:pPr>
        <w:pStyle w:val="ad"/>
        <w:widowControl/>
        <w:ind w:right="120" w:firstLine="640"/>
        <w:rPr>
          <w:rFonts w:ascii="仿宋_GB2312" w:eastAsia="仿宋_GB2312" w:hAnsi="仿宋_GB2312" w:cs="仿宋_GB2312"/>
          <w:sz w:val="32"/>
          <w:szCs w:val="32"/>
        </w:rPr>
      </w:pPr>
      <w:r>
        <w:rPr>
          <w:rFonts w:ascii="仿宋_GB2312" w:eastAsia="仿宋_GB2312" w:hAnsi="仿宋_GB2312" w:cs="仿宋_GB2312" w:hint="eastAsia"/>
          <w:b/>
          <w:bCs/>
          <w:kern w:val="2"/>
          <w:sz w:val="32"/>
          <w:szCs w:val="32"/>
        </w:rPr>
        <w:t>保障人民生命安全。</w:t>
      </w:r>
      <w:r>
        <w:rPr>
          <w:rFonts w:ascii="仿宋_GB2312" w:eastAsia="仿宋_GB2312" w:hAnsi="仿宋_GB2312" w:cs="仿宋_GB2312" w:hint="eastAsia"/>
          <w:sz w:val="32"/>
          <w:szCs w:val="32"/>
        </w:rPr>
        <w:t>坚持人民至上，生命至上，把保护人民生命安全摆在首位。全面提高公共安全保障能力，建立统一指挥、</w:t>
      </w:r>
      <w:proofErr w:type="gramStart"/>
      <w:r>
        <w:rPr>
          <w:rFonts w:ascii="仿宋_GB2312" w:eastAsia="仿宋_GB2312" w:hAnsi="仿宋_GB2312" w:cs="仿宋_GB2312" w:hint="eastAsia"/>
          <w:sz w:val="32"/>
          <w:szCs w:val="32"/>
        </w:rPr>
        <w:t>专常兼备</w:t>
      </w:r>
      <w:proofErr w:type="gramEnd"/>
      <w:r>
        <w:rPr>
          <w:rFonts w:ascii="仿宋_GB2312" w:eastAsia="仿宋_GB2312" w:hAnsi="仿宋_GB2312" w:cs="仿宋_GB2312" w:hint="eastAsia"/>
          <w:sz w:val="32"/>
          <w:szCs w:val="32"/>
        </w:rPr>
        <w:t>、反应灵敏、上下联动的应急管理体制。</w:t>
      </w:r>
      <w:r>
        <w:rPr>
          <w:rFonts w:ascii="仿宋_GB2312" w:eastAsia="仿宋_GB2312" w:hAnsi="仿宋_GB2312" w:cs="仿宋_GB2312" w:hint="eastAsia"/>
          <w:sz w:val="32"/>
          <w:szCs w:val="32"/>
        </w:rPr>
        <w:lastRenderedPageBreak/>
        <w:t>提高防灾减灾抗灾救灾能力，严格落实安全生产责任制，完善安全隐患排查和安全预防控制体系，开展安全生产专项整治，坚决遏制重特大事故发生。强化生物安全保障，提高食品药品等关系人民健康产品和服务的安全保障水平。</w:t>
      </w:r>
    </w:p>
    <w:p w14:paraId="55624AE7"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color w:val="000000"/>
          <w:szCs w:val="32"/>
        </w:rPr>
        <w:t>维护经济安全</w:t>
      </w:r>
      <w:r>
        <w:rPr>
          <w:rFonts w:ascii="仿宋_GB2312" w:eastAsia="仿宋_GB2312" w:hAnsi="仿宋_GB2312" w:cs="仿宋_GB2312" w:hint="eastAsia"/>
          <w:b/>
          <w:bCs/>
          <w:szCs w:val="32"/>
        </w:rPr>
        <w:t>。</w:t>
      </w:r>
      <w:r>
        <w:rPr>
          <w:rFonts w:ascii="仿宋_GB2312" w:eastAsia="仿宋_GB2312" w:hAnsi="仿宋_GB2312" w:cs="仿宋_GB2312" w:hint="eastAsia"/>
          <w:szCs w:val="32"/>
        </w:rPr>
        <w:t>牢固树立风险意识，底线思维，聚焦防范化解经济领域风险，维护经济安全。加强经济安全风险预警防控机制和能力建设，实现重要产业、基础设施、战略资源等关键领域安全可控。稳定粮食和蔬菜等重要农产品有效供给，构建更高层次粮食安全保障体系。科学评估各类物资储备水平，强化储备物资保障体系建设。合理确定政府储备、企业储备、实物物资储备和产能储备规模，完善责任体系，维护水利、电力、供水、油气、交通、通信、网络、金融等重要基础设施安全。坚持以兜底线为重点，维护财政平衡运行。积极稳妥做好“僵尸企业”处置工作。强化互联网金融监管，严厉打击金融犯罪活动，完善防范化解金融领域风险长效机制。</w:t>
      </w:r>
    </w:p>
    <w:p w14:paraId="36E0532A" w14:textId="77777777" w:rsidR="00EE55DB" w:rsidRDefault="00000000">
      <w:pPr>
        <w:ind w:firstLine="643"/>
        <w:rPr>
          <w:rFonts w:ascii="仿宋_GB2312" w:eastAsia="仿宋_GB2312" w:hAnsi="仿宋_GB2312" w:cs="仿宋_GB2312"/>
          <w:szCs w:val="32"/>
        </w:rPr>
      </w:pPr>
      <w:r>
        <w:rPr>
          <w:rFonts w:hint="eastAsia"/>
          <w:b/>
          <w:bCs/>
        </w:rPr>
        <w:t>严格落实安全生产责任制。</w:t>
      </w:r>
      <w:r>
        <w:rPr>
          <w:rFonts w:ascii="仿宋_GB2312" w:eastAsia="仿宋_GB2312" w:hAnsi="仿宋_GB2312" w:cs="仿宋_GB2312" w:hint="eastAsia"/>
          <w:szCs w:val="32"/>
        </w:rPr>
        <w:t>制定完善城市和行业安全风险分级管控和隐患排查治理标准规范，开展危险有害因素辨识评估，建立安全生产责任落实机制、压力传导机制，推动安全生产系统治理、终端治理和常态治理，坚决防范遏制重特大安全事故发生。梳理完善安全生产权力清单，加强安全生产监管执法，加快健全安全生产应急指挥体系，强化源头</w:t>
      </w:r>
      <w:r>
        <w:rPr>
          <w:rFonts w:ascii="仿宋_GB2312" w:eastAsia="仿宋_GB2312" w:hAnsi="仿宋_GB2312" w:cs="仿宋_GB2312" w:hint="eastAsia"/>
          <w:szCs w:val="32"/>
        </w:rPr>
        <w:lastRenderedPageBreak/>
        <w:t>防控，有效遏制永修县各大非煤矿矿山、建筑施工等重大安全事故。推进食品安全</w:t>
      </w:r>
      <w:r>
        <w:rPr>
          <w:rFonts w:ascii="仿宋_GB2312" w:eastAsia="仿宋_GB2312" w:hAnsi="仿宋_GB2312" w:cs="仿宋_GB2312"/>
          <w:szCs w:val="32"/>
        </w:rPr>
        <w:t>?</w:t>
      </w:r>
      <w:r>
        <w:rPr>
          <w:rFonts w:ascii="仿宋_GB2312" w:eastAsia="仿宋_GB2312" w:hAnsi="仿宋_GB2312" w:cs="仿宋_GB2312" w:hint="eastAsia"/>
          <w:szCs w:val="32"/>
        </w:rPr>
        <w:t>°双安双创</w:t>
      </w:r>
      <w:r>
        <w:rPr>
          <w:rFonts w:ascii="仿宋_GB2312" w:eastAsia="仿宋_GB2312" w:hAnsi="仿宋_GB2312" w:cs="仿宋_GB2312"/>
          <w:szCs w:val="32"/>
        </w:rPr>
        <w:t>?</w:t>
      </w:r>
      <w:r>
        <w:rPr>
          <w:rFonts w:ascii="仿宋_GB2312" w:eastAsia="仿宋_GB2312" w:hAnsi="仿宋_GB2312" w:cs="仿宋_GB2312" w:hint="eastAsia"/>
          <w:szCs w:val="32"/>
        </w:rPr>
        <w:t>±工作，落实食品药品安全监管制度，严厉打击非法野生动物市场和贸易，全面建立安全的生产环境。</w:t>
      </w:r>
    </w:p>
    <w:p w14:paraId="56E34487" w14:textId="77777777" w:rsidR="00EE55DB" w:rsidRDefault="00000000">
      <w:pPr>
        <w:ind w:firstLine="643"/>
      </w:pPr>
      <w:r>
        <w:rPr>
          <w:rFonts w:hint="eastAsia"/>
          <w:b/>
          <w:bCs/>
        </w:rPr>
        <w:t>推进精准化智能化科学化安全监管。</w:t>
      </w:r>
      <w:r>
        <w:rPr>
          <w:rFonts w:ascii="仿宋_GB2312" w:eastAsia="仿宋_GB2312" w:hAnsi="仿宋_GB2312" w:cs="仿宋_GB2312" w:hint="eastAsia"/>
          <w:szCs w:val="32"/>
        </w:rPr>
        <w:t>构建全县安全生产信息畅通、上下联动、反映灵敏的安全生产监管信息平台和保障机制，建立“互联网</w:t>
      </w:r>
      <w:r>
        <w:rPr>
          <w:rFonts w:ascii="仿宋_GB2312" w:eastAsia="仿宋_GB2312" w:hAnsi="仿宋_GB2312" w:cs="仿宋_GB2312"/>
          <w:szCs w:val="32"/>
        </w:rPr>
        <w:t>+</w:t>
      </w:r>
      <w:r>
        <w:rPr>
          <w:rFonts w:ascii="仿宋_GB2312" w:eastAsia="仿宋_GB2312" w:hAnsi="仿宋_GB2312" w:cs="仿宋_GB2312" w:hint="eastAsia"/>
          <w:szCs w:val="32"/>
        </w:rPr>
        <w:t>督查考核</w:t>
      </w:r>
      <w:r>
        <w:rPr>
          <w:rFonts w:ascii="仿宋_GB2312" w:eastAsia="仿宋_GB2312" w:hAnsi="仿宋_GB2312" w:cs="仿宋_GB2312"/>
          <w:szCs w:val="32"/>
        </w:rPr>
        <w:t>+</w:t>
      </w:r>
      <w:r>
        <w:rPr>
          <w:rFonts w:ascii="仿宋_GB2312" w:eastAsia="仿宋_GB2312" w:hAnsi="仿宋_GB2312" w:cs="仿宋_GB2312" w:hint="eastAsia"/>
          <w:szCs w:val="32"/>
        </w:rPr>
        <w:t>执法检查”工作机制，启动智慧应急建设工作，推进监测预警系统全覆盖和智能化，加快高水平安全生产、城乡安全风险监测预警平台建设。</w:t>
      </w:r>
      <w:r>
        <w:rPr>
          <w:rFonts w:ascii="仿宋_GB2312" w:eastAsia="仿宋_GB2312" w:hAnsi="仿宋_GB2312" w:cs="仿宋_GB2312" w:hint="eastAsia"/>
          <w:szCs w:val="32"/>
          <w:highlight w:val="yellow"/>
        </w:rPr>
        <w:t>对标“监测精密、预报精准、服务精细”，实施“防灾减灾能力提升工程”，健全气象防灾减灾体系，不断提升气象监测预报预警能力。</w:t>
      </w:r>
      <w:r>
        <w:rPr>
          <w:rFonts w:ascii="仿宋_GB2312" w:eastAsia="仿宋_GB2312" w:hAnsi="仿宋_GB2312" w:cs="仿宋_GB2312" w:hint="eastAsia"/>
          <w:szCs w:val="32"/>
        </w:rPr>
        <w:t>建立区域安全风险数据库、重大危险源数据库，实行差异化动态监管，增强危险事件安全预警能力，加强自然灾害宣传力度，加大应急管理资金投入，建立防灾救灾公益性基金，加强专业救援队伍建设，探索建立社会救援力量与消防救援力量、专业救援力量的共训、共练、共战机制。</w:t>
      </w:r>
    </w:p>
    <w:p w14:paraId="67C8D9D0" w14:textId="158ADDDB" w:rsidR="00EE55DB" w:rsidRDefault="00000000">
      <w:pPr>
        <w:ind w:firstLine="643"/>
        <w:rPr>
          <w:rFonts w:ascii="仿宋_GB2312" w:eastAsia="仿宋_GB2312" w:hAnsi="仿宋_GB2312" w:cs="仿宋_GB2312"/>
          <w:szCs w:val="32"/>
        </w:rPr>
      </w:pPr>
      <w:r>
        <w:rPr>
          <w:rFonts w:hint="eastAsia"/>
          <w:b/>
          <w:bCs/>
        </w:rPr>
        <w:t>完善公共安全治理体系。</w:t>
      </w:r>
      <w:r>
        <w:rPr>
          <w:rFonts w:ascii="仿宋_GB2312" w:eastAsia="仿宋_GB2312" w:hAnsi="仿宋_GB2312" w:cs="仿宋_GB2312" w:hint="eastAsia"/>
          <w:szCs w:val="32"/>
        </w:rPr>
        <w:t>以人工智能和大数据技术为关键，打造大整合、高共享、</w:t>
      </w:r>
      <w:proofErr w:type="gramStart"/>
      <w:r>
        <w:rPr>
          <w:rFonts w:ascii="仿宋_GB2312" w:eastAsia="仿宋_GB2312" w:hAnsi="仿宋_GB2312" w:cs="仿宋_GB2312" w:hint="eastAsia"/>
          <w:szCs w:val="32"/>
        </w:rPr>
        <w:t>深应用</w:t>
      </w:r>
      <w:proofErr w:type="gramEnd"/>
      <w:r>
        <w:rPr>
          <w:rFonts w:ascii="仿宋_GB2312" w:eastAsia="仿宋_GB2312" w:hAnsi="仿宋_GB2312" w:cs="仿宋_GB2312" w:hint="eastAsia"/>
          <w:szCs w:val="32"/>
        </w:rPr>
        <w:t>的社会治理大数据应用平台，着力把县级指挥平台、街道运行平台、社区（村）操作平台三级综治中心打造成为基层社会治理的智能监管中心、智能服务中心和智辅决策中心。加强社会治安防控体系建设，</w:t>
      </w:r>
      <w:r>
        <w:rPr>
          <w:rFonts w:ascii="仿宋_GB2312" w:eastAsia="仿宋_GB2312" w:hAnsi="仿宋_GB2312" w:cs="仿宋_GB2312" w:hint="eastAsia"/>
          <w:szCs w:val="32"/>
        </w:rPr>
        <w:lastRenderedPageBreak/>
        <w:t>提高社会治安防控立体化、法治化、专业化、智能化水平，构建问题联治、工作联动、</w:t>
      </w:r>
      <w:proofErr w:type="gramStart"/>
      <w:r>
        <w:rPr>
          <w:rFonts w:ascii="仿宋_GB2312" w:eastAsia="仿宋_GB2312" w:hAnsi="仿宋_GB2312" w:cs="仿宋_GB2312" w:hint="eastAsia"/>
          <w:szCs w:val="32"/>
        </w:rPr>
        <w:t>平安联</w:t>
      </w:r>
      <w:proofErr w:type="gramEnd"/>
      <w:r>
        <w:rPr>
          <w:rFonts w:ascii="仿宋_GB2312" w:eastAsia="仿宋_GB2312" w:hAnsi="仿宋_GB2312" w:cs="仿宋_GB2312" w:hint="eastAsia"/>
          <w:szCs w:val="32"/>
        </w:rPr>
        <w:t>创的工作机制。深入完善社会治安防控体系建设目标责任和领导责任，建立全面客观、重点突出、操作性强的防控体系建设考核机制，着力构建“点线面”治安防控体系，实施定人定岗定责策略，加大工作推进力度，形成“打防结合、预防为主”的社会治安防控长效机制。推进“雪亮工程”向城市和农村深度延伸，全面落实“智能安防小区”建设，增强社会治安防控体系效能，织密织</w:t>
      </w:r>
      <w:proofErr w:type="gramStart"/>
      <w:r>
        <w:rPr>
          <w:rFonts w:ascii="仿宋_GB2312" w:eastAsia="仿宋_GB2312" w:hAnsi="仿宋_GB2312" w:cs="仿宋_GB2312" w:hint="eastAsia"/>
          <w:szCs w:val="32"/>
        </w:rPr>
        <w:t>牢</w:t>
      </w:r>
      <w:proofErr w:type="gramEnd"/>
      <w:r>
        <w:rPr>
          <w:rFonts w:ascii="仿宋_GB2312" w:eastAsia="仿宋_GB2312" w:hAnsi="仿宋_GB2312" w:cs="仿宋_GB2312" w:hint="eastAsia"/>
          <w:szCs w:val="32"/>
        </w:rPr>
        <w:t>各条社会治安防线，规范公安检查站、治安卡口建设管理和勤务运行，打造城乡统筹、网上网下融合、人防</w:t>
      </w:r>
      <w:proofErr w:type="gramStart"/>
      <w:r>
        <w:rPr>
          <w:rFonts w:ascii="仿宋_GB2312" w:eastAsia="仿宋_GB2312" w:hAnsi="仿宋_GB2312" w:cs="仿宋_GB2312" w:hint="eastAsia"/>
          <w:szCs w:val="32"/>
        </w:rPr>
        <w:t>物防技防</w:t>
      </w:r>
      <w:proofErr w:type="gramEnd"/>
      <w:r>
        <w:rPr>
          <w:rFonts w:ascii="仿宋_GB2312" w:eastAsia="仿宋_GB2312" w:hAnsi="仿宋_GB2312" w:cs="仿宋_GB2312" w:hint="eastAsia"/>
          <w:szCs w:val="32"/>
        </w:rPr>
        <w:t>结合、打防管控一体的社会治安防控新格局。持续推进扫黑除恶</w:t>
      </w:r>
      <w:proofErr w:type="gramStart"/>
      <w:r>
        <w:rPr>
          <w:rFonts w:ascii="仿宋_GB2312" w:eastAsia="仿宋_GB2312" w:hAnsi="仿宋_GB2312" w:cs="仿宋_GB2312" w:hint="eastAsia"/>
          <w:szCs w:val="32"/>
        </w:rPr>
        <w:t>长效常治</w:t>
      </w:r>
      <w:proofErr w:type="gramEnd"/>
      <w:r>
        <w:rPr>
          <w:rFonts w:ascii="仿宋_GB2312" w:eastAsia="仿宋_GB2312" w:hAnsi="仿宋_GB2312" w:cs="仿宋_GB2312" w:hint="eastAsia"/>
          <w:szCs w:val="32"/>
        </w:rPr>
        <w:t>，坚决防范和打击暴力恐怖、黑恶势力、新型网络犯罪等各类违法犯罪，完善“打、防、控、管”社会综合治理机制，加大“打伞破网”“打财断血”力度，构建人民银行、证监、税务等部门共同参与的黑</w:t>
      </w:r>
      <w:proofErr w:type="gramStart"/>
      <w:r>
        <w:rPr>
          <w:rFonts w:ascii="仿宋_GB2312" w:eastAsia="仿宋_GB2312" w:hAnsi="仿宋_GB2312" w:cs="仿宋_GB2312" w:hint="eastAsia"/>
          <w:szCs w:val="32"/>
        </w:rPr>
        <w:t>恶财产</w:t>
      </w:r>
      <w:proofErr w:type="gramEnd"/>
      <w:r>
        <w:rPr>
          <w:rFonts w:ascii="仿宋_GB2312" w:eastAsia="仿宋_GB2312" w:hAnsi="仿宋_GB2312" w:cs="仿宋_GB2312" w:hint="eastAsia"/>
          <w:szCs w:val="32"/>
        </w:rPr>
        <w:t>查控平台，深化扫黑除恶专项斗争。深入排查受过刑事处罚、存在“村霸”和</w:t>
      </w:r>
      <w:proofErr w:type="gramStart"/>
      <w:r>
        <w:rPr>
          <w:rFonts w:ascii="仿宋_GB2312" w:eastAsia="仿宋_GB2312" w:hAnsi="仿宋_GB2312" w:cs="仿宋_GB2312" w:hint="eastAsia"/>
          <w:szCs w:val="32"/>
        </w:rPr>
        <w:t>涉黑涉恶</w:t>
      </w:r>
      <w:proofErr w:type="gramEnd"/>
      <w:r>
        <w:rPr>
          <w:rFonts w:ascii="仿宋_GB2312" w:eastAsia="仿宋_GB2312" w:hAnsi="仿宋_GB2312" w:cs="仿宋_GB2312" w:hint="eastAsia"/>
          <w:szCs w:val="32"/>
        </w:rPr>
        <w:t>等问题的村干部，健全落实村“两委”成员资格县级联审制度，筑牢</w:t>
      </w:r>
      <w:proofErr w:type="gramStart"/>
      <w:r>
        <w:rPr>
          <w:rFonts w:ascii="仿宋_GB2312" w:eastAsia="仿宋_GB2312" w:hAnsi="仿宋_GB2312" w:cs="仿宋_GB2312" w:hint="eastAsia"/>
          <w:szCs w:val="32"/>
        </w:rPr>
        <w:t>防黑防恶</w:t>
      </w:r>
      <w:proofErr w:type="gramEnd"/>
      <w:r>
        <w:rPr>
          <w:rFonts w:ascii="仿宋_GB2312" w:eastAsia="仿宋_GB2312" w:hAnsi="仿宋_GB2312" w:cs="仿宋_GB2312" w:hint="eastAsia"/>
          <w:szCs w:val="32"/>
        </w:rPr>
        <w:t>堤坝。加大工作保障力度，打造忠诚干净担当的公安铁军，构建关爱扶助牺牲伤残干警家庭常态化机制。持续加大</w:t>
      </w:r>
      <w:r w:rsidR="0041505F">
        <w:rPr>
          <w:rFonts w:ascii="仿宋_GB2312" w:eastAsia="仿宋_GB2312" w:hAnsi="仿宋_GB2312" w:cs="仿宋_GB2312" w:hint="eastAsia"/>
          <w:szCs w:val="32"/>
        </w:rPr>
        <w:t>扫黑除恶</w:t>
      </w:r>
      <w:r>
        <w:rPr>
          <w:rFonts w:ascii="仿宋_GB2312" w:eastAsia="仿宋_GB2312" w:hAnsi="仿宋_GB2312" w:cs="仿宋_GB2312" w:hint="eastAsia"/>
          <w:szCs w:val="32"/>
        </w:rPr>
        <w:t>宣传力度，全面落实打击“黄赌毒骗”专项行动，彻底铲除黑恶势力滋生土壤。</w:t>
      </w:r>
    </w:p>
    <w:p w14:paraId="1F58FA8C" w14:textId="77777777" w:rsidR="00EE55DB" w:rsidRDefault="00000000">
      <w:pPr>
        <w:pStyle w:val="2"/>
        <w:spacing w:before="156" w:after="156"/>
      </w:pPr>
      <w:bookmarkStart w:id="115" w:name="_Toc12652"/>
      <w:bookmarkStart w:id="116" w:name="_Toc7357"/>
      <w:bookmarkStart w:id="117" w:name="_Toc32733"/>
      <w:r>
        <w:rPr>
          <w:rFonts w:hint="eastAsia"/>
        </w:rPr>
        <w:lastRenderedPageBreak/>
        <w:t>第二节</w:t>
      </w:r>
      <w:r>
        <w:t xml:space="preserve"> </w:t>
      </w:r>
      <w:r>
        <w:rPr>
          <w:rFonts w:hint="eastAsia"/>
        </w:rPr>
        <w:t>全面加强法治信用建设</w:t>
      </w:r>
      <w:bookmarkEnd w:id="115"/>
      <w:bookmarkEnd w:id="116"/>
      <w:bookmarkEnd w:id="117"/>
    </w:p>
    <w:p w14:paraId="33909B9C" w14:textId="77777777" w:rsidR="00EE55DB" w:rsidRDefault="00000000">
      <w:pPr>
        <w:ind w:firstLine="643"/>
        <w:rPr>
          <w:rFonts w:ascii="仿宋_GB2312" w:eastAsia="仿宋_GB2312" w:hAnsi="仿宋_GB2312" w:cs="仿宋_GB2312"/>
          <w:szCs w:val="32"/>
        </w:rPr>
      </w:pPr>
      <w:r>
        <w:rPr>
          <w:rFonts w:hint="eastAsia"/>
          <w:b/>
          <w:bCs/>
        </w:rPr>
        <w:t>统筹推进法治永修建设。</w:t>
      </w:r>
      <w:r>
        <w:rPr>
          <w:rFonts w:ascii="仿宋_GB2312" w:eastAsia="仿宋_GB2312" w:hAnsi="仿宋_GB2312" w:cs="仿宋_GB2312" w:hint="eastAsia"/>
          <w:szCs w:val="32"/>
        </w:rPr>
        <w:t>坚定不移走中国特色社会主义法治道路，坚持依法治区、依法执政、依法行政共同推进，坚持法治永修、法治政府、法治社会一体建设，健全完善党内法规，全面推进科学立法、严格执法、公正司法、全民守法。保证宪法和</w:t>
      </w:r>
      <w:proofErr w:type="gramStart"/>
      <w:r>
        <w:rPr>
          <w:rFonts w:ascii="仿宋_GB2312" w:eastAsia="仿宋_GB2312" w:hAnsi="仿宋_GB2312" w:cs="仿宋_GB2312" w:hint="eastAsia"/>
          <w:szCs w:val="32"/>
        </w:rPr>
        <w:t>民法典</w:t>
      </w:r>
      <w:proofErr w:type="gramEnd"/>
      <w:r>
        <w:rPr>
          <w:rFonts w:ascii="仿宋_GB2312" w:eastAsia="仿宋_GB2312" w:hAnsi="仿宋_GB2312" w:cs="仿宋_GB2312" w:hint="eastAsia"/>
          <w:szCs w:val="32"/>
        </w:rPr>
        <w:t>全面有效实施，弘扬宪法精神。把民法典作为行政决策、行政管理、行政监督的重要标尺。完善人民有序参与立法的法律规定，建立健全立法论证、听证、评估机制。完善法治市场环境，构建集政治安全、经济安全、文化安全、生态安全、社会安全、科技安全、资源安全等于一体的县域安全体系，建立健全安全风险</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判、防控协同、防范化解机制，健全县域安全审查评估机制和安全监管制度，加强安全执法检查。全面落实依法治县。加强公安机关办案中心建设，推动警务辅助人员管理体制改革，把政务履约和守</w:t>
      </w:r>
      <w:proofErr w:type="gramStart"/>
      <w:r>
        <w:rPr>
          <w:rFonts w:ascii="仿宋_GB2312" w:eastAsia="仿宋_GB2312" w:hAnsi="仿宋_GB2312" w:cs="仿宋_GB2312" w:hint="eastAsia"/>
          <w:szCs w:val="32"/>
        </w:rPr>
        <w:t>诺服务</w:t>
      </w:r>
      <w:proofErr w:type="gramEnd"/>
      <w:r>
        <w:rPr>
          <w:rFonts w:ascii="仿宋_GB2312" w:eastAsia="仿宋_GB2312" w:hAnsi="仿宋_GB2312" w:cs="仿宋_GB2312" w:hint="eastAsia"/>
          <w:szCs w:val="32"/>
        </w:rPr>
        <w:t>纳入政府绩效评价体系。加大重点领域执法督察力度</w:t>
      </w:r>
      <w:r>
        <w:rPr>
          <w:rFonts w:ascii="仿宋_GB2312" w:eastAsia="仿宋_GB2312" w:hAnsi="仿宋_GB2312" w:cs="仿宋_GB2312"/>
          <w:szCs w:val="32"/>
        </w:rPr>
        <w:t>,</w:t>
      </w:r>
      <w:r>
        <w:rPr>
          <w:rFonts w:ascii="仿宋_GB2312" w:eastAsia="仿宋_GB2312" w:hAnsi="仿宋_GB2312" w:cs="仿宋_GB2312" w:hint="eastAsia"/>
          <w:szCs w:val="32"/>
        </w:rPr>
        <w:t>深入实施“七五”普法规划，全面落实“谁执法谁普法”普法责任制，持续加强法治文化建设，实施农村“法律明白人”培养工程，贯彻落实青少年法治教育大纲，加强全县学校法治教师和法治辅导员队伍建设，继续开展“青少年零犯罪零受害社区（村）”项目建设，增强全县人民的法律意识和法治观念。</w:t>
      </w:r>
    </w:p>
    <w:p w14:paraId="4DAE85D7" w14:textId="77777777" w:rsidR="00EE55DB" w:rsidRDefault="00000000">
      <w:pPr>
        <w:ind w:firstLine="643"/>
      </w:pPr>
      <w:r>
        <w:rPr>
          <w:rFonts w:hint="eastAsia"/>
          <w:b/>
          <w:bCs/>
        </w:rPr>
        <w:t>健全社会信用体系</w:t>
      </w:r>
      <w:r>
        <w:rPr>
          <w:rFonts w:ascii="仿宋_GB2312" w:eastAsia="仿宋_GB2312" w:hAnsi="仿宋_GB2312" w:cs="仿宋_GB2312" w:hint="eastAsia"/>
          <w:szCs w:val="32"/>
        </w:rPr>
        <w:t>。大力推进诚信建设制度化，升级县</w:t>
      </w:r>
      <w:r>
        <w:rPr>
          <w:rFonts w:ascii="仿宋_GB2312" w:eastAsia="仿宋_GB2312" w:hAnsi="仿宋_GB2312" w:cs="仿宋_GB2312" w:hint="eastAsia"/>
          <w:szCs w:val="32"/>
        </w:rPr>
        <w:lastRenderedPageBreak/>
        <w:t>级公共信息信用平台，加快打造全县统一的信息交换共享平台；在各领域开展重点人群信用应用试点，应用信用记录和信用报告，健全信用信息“红黑榜”及信用联合奖惩机制，健全守信联合激励、失信联合惩戒联动机制。加大企业信用数据归集力度，做到部门内部涉企信息“应归尽归”，加强失信企业信息推送，做好失信信息在市场监管各项业务系统嵌入工作，实施信用惠民便企“信易</w:t>
      </w:r>
      <w:r>
        <w:rPr>
          <w:rFonts w:ascii="仿宋_GB2312" w:eastAsia="仿宋_GB2312" w:hAnsi="仿宋_GB2312" w:cs="仿宋_GB2312"/>
          <w:szCs w:val="32"/>
        </w:rPr>
        <w:t>+</w:t>
      </w:r>
      <w:r>
        <w:rPr>
          <w:rFonts w:ascii="仿宋_GB2312" w:eastAsia="仿宋_GB2312" w:hAnsi="仿宋_GB2312" w:cs="仿宋_GB2312" w:hint="eastAsia"/>
          <w:szCs w:val="32"/>
        </w:rPr>
        <w:t>”工程，保持日常监管“双随机”全覆盖。构建个人信用评价体系，建立市民信用积分制度，构建以信用为基础的新型监管机制，探索“互联网</w:t>
      </w:r>
      <w:r>
        <w:rPr>
          <w:rFonts w:ascii="仿宋_GB2312" w:eastAsia="仿宋_GB2312" w:hAnsi="仿宋_GB2312" w:cs="仿宋_GB2312"/>
          <w:szCs w:val="32"/>
        </w:rPr>
        <w:t>+</w:t>
      </w:r>
      <w:r>
        <w:rPr>
          <w:rFonts w:ascii="仿宋_GB2312" w:eastAsia="仿宋_GB2312" w:hAnsi="仿宋_GB2312" w:cs="仿宋_GB2312" w:hint="eastAsia"/>
          <w:szCs w:val="32"/>
        </w:rPr>
        <w:t>监管”模式，实施信用分级分类精准监管，依法依规对重点领域失信主体实施市场、行业措施。健全信用修复机制，加强对新业态的包容审慎监管。组织“诚信宣传”主题活动，积极创建“诚信示范商圈”和“诚信经营文明商户”活动。运用互联网、大数据、云计算、人工智能等信息技术手段，广泛发动公众监督举报网上失信行为，开展诚信等级评价，加强信用恢复培训，营造“诚信永修”健康网络生态。</w:t>
      </w:r>
    </w:p>
    <w:p w14:paraId="3B515E99" w14:textId="77777777" w:rsidR="00EE55DB" w:rsidRDefault="00000000">
      <w:pPr>
        <w:pStyle w:val="2"/>
        <w:spacing w:before="156" w:after="156"/>
      </w:pPr>
      <w:bookmarkStart w:id="118" w:name="_Toc25547"/>
      <w:bookmarkStart w:id="119" w:name="_Toc18484"/>
      <w:bookmarkStart w:id="120" w:name="_Toc25335"/>
      <w:r>
        <w:rPr>
          <w:rFonts w:hint="eastAsia"/>
        </w:rPr>
        <w:t>第三节</w:t>
      </w:r>
      <w:r>
        <w:t xml:space="preserve"> </w:t>
      </w:r>
      <w:r>
        <w:rPr>
          <w:rFonts w:hint="eastAsia"/>
        </w:rPr>
        <w:t>提升社会治理现代化</w:t>
      </w:r>
      <w:bookmarkEnd w:id="118"/>
      <w:bookmarkEnd w:id="119"/>
      <w:bookmarkEnd w:id="120"/>
    </w:p>
    <w:p w14:paraId="3BA6F716" w14:textId="77777777" w:rsidR="00EE55DB" w:rsidRDefault="00000000">
      <w:pPr>
        <w:ind w:firstLine="643"/>
        <w:rPr>
          <w:rFonts w:ascii="仿宋_GB2312" w:eastAsia="仿宋_GB2312" w:hAnsi="仿宋_GB2312" w:cs="仿宋_GB2312"/>
          <w:szCs w:val="32"/>
        </w:rPr>
      </w:pPr>
      <w:r>
        <w:rPr>
          <w:rFonts w:hint="eastAsia"/>
          <w:b/>
          <w:bCs/>
        </w:rPr>
        <w:t>推动社会治理重心向基层下移。</w:t>
      </w:r>
      <w:r>
        <w:rPr>
          <w:rFonts w:ascii="仿宋_GB2312" w:eastAsia="仿宋_GB2312" w:hAnsi="仿宋_GB2312" w:cs="仿宋_GB2312" w:hint="eastAsia"/>
          <w:szCs w:val="32"/>
        </w:rPr>
        <w:t>加强基层社会治理体系建设，发挥群团组织和社会组织在社会治理中的作用，畅通和规范市场主体、社会工作者和志愿者等参与社会治理的途径，构建基层社会治理共同体。推动社会治理重心向基层下移、资源下倾、权限下放，构建网格化管理、精细化服务、</w:t>
      </w:r>
      <w:r>
        <w:rPr>
          <w:rFonts w:ascii="仿宋_GB2312" w:eastAsia="仿宋_GB2312" w:hAnsi="仿宋_GB2312" w:cs="仿宋_GB2312" w:hint="eastAsia"/>
          <w:szCs w:val="32"/>
        </w:rPr>
        <w:lastRenderedPageBreak/>
        <w:t>信息化支撑、开放共享的基层管理服务平台，加强和创新乡村社会治理，推进乡村新时代文明实践中心站所建设，支持社会力量参与社会治理模式。加快构建基层治理队伍能力建设，制定灵活高效的用人制度，壮大基层服务队伍建设。</w:t>
      </w:r>
    </w:p>
    <w:p w14:paraId="0F61E93A" w14:textId="77777777" w:rsidR="00EE55DB" w:rsidRDefault="00000000">
      <w:pPr>
        <w:ind w:firstLine="643"/>
        <w:rPr>
          <w:rFonts w:ascii="仿宋_GB2312" w:eastAsia="仿宋_GB2312" w:hAnsi="仿宋_GB2312" w:cs="仿宋_GB2312"/>
          <w:szCs w:val="32"/>
        </w:rPr>
      </w:pPr>
      <w:r>
        <w:rPr>
          <w:rFonts w:hint="eastAsia"/>
          <w:b/>
          <w:bCs/>
        </w:rPr>
        <w:t>健全社会矛盾综合治理体制。</w:t>
      </w:r>
      <w:r>
        <w:rPr>
          <w:rFonts w:ascii="仿宋_GB2312" w:eastAsia="仿宋_GB2312" w:hAnsi="仿宋_GB2312" w:cs="仿宋_GB2312" w:hint="eastAsia"/>
          <w:szCs w:val="32"/>
        </w:rPr>
        <w:t>坚持和发展新时代“枫桥经验”，完善社会矛盾纠纷多元化预防调处化解综合机制，全面落实重大决策社会稳定风险评估机制，建立健全</w:t>
      </w:r>
      <w:proofErr w:type="gramStart"/>
      <w:r>
        <w:rPr>
          <w:rFonts w:ascii="仿宋_GB2312" w:eastAsia="仿宋_GB2312" w:hAnsi="仿宋_GB2312" w:cs="仿宋_GB2312" w:hint="eastAsia"/>
          <w:szCs w:val="32"/>
        </w:rPr>
        <w:t>议稳工作</w:t>
      </w:r>
      <w:proofErr w:type="gramEnd"/>
      <w:r>
        <w:rPr>
          <w:rFonts w:ascii="仿宋_GB2312" w:eastAsia="仿宋_GB2312" w:hAnsi="仿宋_GB2312" w:cs="仿宋_GB2312" w:hint="eastAsia"/>
          <w:szCs w:val="32"/>
        </w:rPr>
        <w:t>机制，完善落实</w:t>
      </w:r>
      <w:proofErr w:type="gramStart"/>
      <w:r>
        <w:rPr>
          <w:rFonts w:ascii="仿宋_GB2312" w:eastAsia="仿宋_GB2312" w:hAnsi="仿宋_GB2312" w:cs="仿宋_GB2312" w:hint="eastAsia"/>
          <w:szCs w:val="32"/>
        </w:rPr>
        <w:t>涉稳突出</w:t>
      </w:r>
      <w:proofErr w:type="gramEnd"/>
      <w:r>
        <w:rPr>
          <w:rFonts w:ascii="仿宋_GB2312" w:eastAsia="仿宋_GB2312" w:hAnsi="仿宋_GB2312" w:cs="仿宋_GB2312" w:hint="eastAsia"/>
          <w:szCs w:val="32"/>
        </w:rPr>
        <w:t>问题分类归口处理机制。深入推进律师、第三</w:t>
      </w:r>
      <w:proofErr w:type="gramStart"/>
      <w:r>
        <w:rPr>
          <w:rFonts w:ascii="仿宋_GB2312" w:eastAsia="仿宋_GB2312" w:hAnsi="仿宋_GB2312" w:cs="仿宋_GB2312" w:hint="eastAsia"/>
          <w:szCs w:val="32"/>
        </w:rPr>
        <w:t>方社会</w:t>
      </w:r>
      <w:proofErr w:type="gramEnd"/>
      <w:r>
        <w:rPr>
          <w:rFonts w:ascii="仿宋_GB2312" w:eastAsia="仿宋_GB2312" w:hAnsi="仿宋_GB2312" w:cs="仿宋_GB2312" w:hint="eastAsia"/>
          <w:szCs w:val="32"/>
        </w:rPr>
        <w:t>组织等力量参与矛盾化解，加快专业性社会矛盾调解平台建设，建立农村土地承包经营纠纷调解仲裁体系，完善“民转刑”案件预防机制，健全人民调解、行政调解、司法调解等多元化解纠纷联动工作体系。完善信访工作制度，严格落实领导干部接访下访包联化解信访矛盾制度，着力提升解决群众合理诉求、维护群众合法权益的水平，推进信访工作专业化、法治化、信息化建设，全面推行阳光信访，畅通和规范群众诉求表达、利益协调、权益保障通道，注重抓源头化解矛盾纠纷，及时发现并消除诱发群体性事件的各种因素，切实做到把问题解决在基层、解决在萌芽状态，健全社会心理服务体系和危机干预机制。大力推进“互联网</w:t>
      </w:r>
      <w:r>
        <w:rPr>
          <w:rFonts w:ascii="仿宋_GB2312" w:eastAsia="仿宋_GB2312" w:hAnsi="仿宋_GB2312" w:cs="仿宋_GB2312"/>
          <w:szCs w:val="32"/>
        </w:rPr>
        <w:t>+</w:t>
      </w:r>
      <w:r>
        <w:rPr>
          <w:rFonts w:ascii="仿宋_GB2312" w:eastAsia="仿宋_GB2312" w:hAnsi="仿宋_GB2312" w:cs="仿宋_GB2312" w:hint="eastAsia"/>
          <w:szCs w:val="32"/>
        </w:rPr>
        <w:t>政法服务”建设，近距离、高效率服务人民群众，构建民生智能服务网，打通服务群众最后“一公里”。</w:t>
      </w:r>
    </w:p>
    <w:p w14:paraId="3A3D0E91" w14:textId="77777777" w:rsidR="00EE55DB" w:rsidRDefault="00000000">
      <w:pPr>
        <w:spacing w:line="240" w:lineRule="auto"/>
        <w:ind w:firstLine="643"/>
        <w:rPr>
          <w:rFonts w:ascii="仿宋_GB2312" w:eastAsia="仿宋_GB2312" w:hAnsi="仿宋_GB2312" w:cs="仿宋_GB2312"/>
          <w:szCs w:val="32"/>
        </w:rPr>
      </w:pPr>
      <w:r>
        <w:rPr>
          <w:rFonts w:hint="eastAsia"/>
          <w:b/>
          <w:bCs/>
        </w:rPr>
        <w:t>优化应急管理能力体系建设。</w:t>
      </w:r>
      <w:r>
        <w:rPr>
          <w:rFonts w:ascii="仿宋_GB2312" w:eastAsia="仿宋_GB2312" w:hAnsi="仿宋_GB2312" w:cs="仿宋_GB2312" w:hint="eastAsia"/>
          <w:szCs w:val="32"/>
        </w:rPr>
        <w:t>完善应急管理和防灾减灾</w:t>
      </w:r>
      <w:r>
        <w:rPr>
          <w:rFonts w:ascii="仿宋_GB2312" w:eastAsia="仿宋_GB2312" w:hAnsi="仿宋_GB2312" w:cs="仿宋_GB2312" w:hint="eastAsia"/>
          <w:szCs w:val="32"/>
        </w:rPr>
        <w:lastRenderedPageBreak/>
        <w:t>救灾体制机制，强化联防联控联处机制，推进实施灾害防治重点工程，提高应急管理水平和自然灾害防治救援能力，加强对次生灾害预报，提高局部强降雨、台风、山洪等预测预报水平，强化重要堤防、重要设施防护，全面推进堤防和</w:t>
      </w:r>
      <w:proofErr w:type="gramStart"/>
      <w:r>
        <w:rPr>
          <w:rFonts w:ascii="仿宋_GB2312" w:eastAsia="仿宋_GB2312" w:hAnsi="仿宋_GB2312" w:cs="仿宋_GB2312" w:hint="eastAsia"/>
          <w:szCs w:val="32"/>
        </w:rPr>
        <w:t>蓄滞洪区</w:t>
      </w:r>
      <w:proofErr w:type="gramEnd"/>
      <w:r>
        <w:rPr>
          <w:rFonts w:ascii="仿宋_GB2312" w:eastAsia="仿宋_GB2312" w:hAnsi="仿宋_GB2312" w:cs="仿宋_GB2312" w:hint="eastAsia"/>
          <w:szCs w:val="32"/>
        </w:rPr>
        <w:t>建设。完善重大疫情防控体系，提高突发公共卫生事件应急处置及医疗救治能力。</w:t>
      </w:r>
    </w:p>
    <w:p w14:paraId="5364A8DE" w14:textId="77777777" w:rsidR="00EE55DB" w:rsidRDefault="00000000">
      <w:pPr>
        <w:spacing w:line="240" w:lineRule="auto"/>
        <w:ind w:firstLineChars="0" w:firstLine="0"/>
        <w:jc w:val="left"/>
        <w:rPr>
          <w:rFonts w:ascii="仿宋_GB2312" w:eastAsia="仿宋_GB2312" w:hAnsi="仿宋_GB2312" w:cs="仿宋_GB2312"/>
          <w:szCs w:val="32"/>
        </w:rPr>
      </w:pPr>
      <w:r>
        <w:rPr>
          <w:rFonts w:ascii="仿宋_GB2312" w:eastAsia="仿宋_GB2312" w:hAnsi="仿宋_GB2312" w:cs="仿宋_GB2312"/>
          <w:szCs w:val="32"/>
        </w:rPr>
        <w:t xml:space="preserve">    </w:t>
      </w:r>
      <w:r>
        <w:rPr>
          <w:rFonts w:hint="eastAsia"/>
          <w:b/>
          <w:bCs/>
        </w:rPr>
        <w:t>防范化解重大风险。</w:t>
      </w:r>
      <w:r>
        <w:rPr>
          <w:rFonts w:ascii="仿宋_GB2312" w:eastAsia="仿宋_GB2312" w:hAnsi="仿宋_GB2312" w:cs="仿宋_GB2312" w:hint="eastAsia"/>
          <w:szCs w:val="32"/>
        </w:rPr>
        <w:t>构建科学风险处置机制。牢固树立风险意识、底线思维，聚焦防范化解各领域风险，系统建立应对经济危机、自然灾害、恐怖事件、泄毒事件、严重传染病等重大风险的治理体系。加强对各种风险源的调查</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判，完善相关风险信息统计报告制度、整理分析及风险预测制度、风险信息反馈及告警制度，健全防范化解风险机制，增强预测、</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防范、化解风险能力，提高防范化解风险的整体效能。继续落实县政府债务风险评估和预警工作，进一步规范地方政府的举债主体、举债方式、规模控制，建立防范债务风险制度保障，不断加强与相关部门协调配合，确保政府债务风险可控；全面防范金融风险，守住不发生区域性金融风险底线。建立风险监测预警体系，提高动态监测、实时预警、应急处置能力，加强对股市、债市、汇市实时监测，建立融资平台公司资金动态监管机制，摸清融资平台公司的货币资金情况，防控融资平台债务支付风险。</w:t>
      </w:r>
    </w:p>
    <w:p w14:paraId="57AF1E78" w14:textId="77777777" w:rsidR="00EE55DB" w:rsidRDefault="00000000">
      <w:pPr>
        <w:pStyle w:val="2"/>
        <w:spacing w:before="156" w:after="156"/>
      </w:pPr>
      <w:bookmarkStart w:id="121" w:name="_Toc9270"/>
      <w:bookmarkStart w:id="122" w:name="_Toc26698"/>
      <w:bookmarkStart w:id="123" w:name="_Toc1617"/>
      <w:bookmarkStart w:id="124" w:name="_Toc30156"/>
      <w:bookmarkStart w:id="125" w:name="_Toc28116"/>
      <w:r>
        <w:rPr>
          <w:rFonts w:hint="eastAsia"/>
        </w:rPr>
        <w:lastRenderedPageBreak/>
        <w:t>第四节</w:t>
      </w:r>
      <w:r>
        <w:t xml:space="preserve"> </w:t>
      </w:r>
      <w:r>
        <w:rPr>
          <w:rFonts w:hint="eastAsia"/>
        </w:rPr>
        <w:t>推进社会主义民主政治永修实践</w:t>
      </w:r>
      <w:bookmarkEnd w:id="121"/>
      <w:bookmarkEnd w:id="122"/>
      <w:bookmarkEnd w:id="123"/>
      <w:bookmarkEnd w:id="124"/>
      <w:bookmarkEnd w:id="125"/>
    </w:p>
    <w:p w14:paraId="7430C8EB"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坚持和完善人民代表大会制度。</w:t>
      </w:r>
      <w:r>
        <w:rPr>
          <w:rFonts w:ascii="仿宋_GB2312" w:eastAsia="仿宋_GB2312" w:hAnsi="仿宋_GB2312" w:cs="仿宋_GB2312" w:hint="eastAsia"/>
          <w:color w:val="000000"/>
          <w:szCs w:val="32"/>
        </w:rPr>
        <w:t>高举人民民主旗帜，毫不动摇坚持人民代表大会制度，与时俱</w:t>
      </w:r>
      <w:proofErr w:type="gramStart"/>
      <w:r>
        <w:rPr>
          <w:rFonts w:ascii="仿宋_GB2312" w:eastAsia="仿宋_GB2312" w:hAnsi="仿宋_GB2312" w:cs="仿宋_GB2312" w:hint="eastAsia"/>
          <w:color w:val="000000"/>
          <w:szCs w:val="32"/>
        </w:rPr>
        <w:t>进完善</w:t>
      </w:r>
      <w:proofErr w:type="gramEnd"/>
      <w:r>
        <w:rPr>
          <w:rFonts w:ascii="仿宋_GB2312" w:eastAsia="仿宋_GB2312" w:hAnsi="仿宋_GB2312" w:cs="仿宋_GB2312" w:hint="eastAsia"/>
          <w:color w:val="000000"/>
          <w:szCs w:val="32"/>
        </w:rPr>
        <w:t>人民代表大会制度，坚定不移走中国特色社会主义政治发展道路，继续推进社会主义民主政治建设、发展社会主义政治文明。健全人大对“一府一委两院”监督制度，完善人大常委会听取审议专项工作报告制度，改进执法检查、专题询问、专项工作评议组织方式，探索运用质询、特定问题调查等监督方式，切实增强监督实效。</w:t>
      </w:r>
    </w:p>
    <w:p w14:paraId="0E98CBB9" w14:textId="77777777" w:rsidR="00EE55DB" w:rsidRDefault="00000000">
      <w:pPr>
        <w:ind w:firstLine="640"/>
        <w:rPr>
          <w:rFonts w:ascii="仿宋_GB2312" w:eastAsia="仿宋_GB2312" w:hAnsi="仿宋_GB2312" w:cs="仿宋_GB2312"/>
          <w:color w:val="000000"/>
          <w:szCs w:val="32"/>
        </w:rPr>
      </w:pPr>
      <w:r>
        <w:rPr>
          <w:rFonts w:ascii="仿宋_GB2312" w:eastAsia="仿宋_GB2312" w:hAnsi="仿宋_GB2312" w:cs="仿宋_GB2312" w:hint="eastAsia"/>
          <w:b/>
          <w:bCs/>
          <w:color w:val="000000"/>
          <w:szCs w:val="32"/>
        </w:rPr>
        <w:t>落实中国共产党领导的多党合作和政治协商制度。</w:t>
      </w:r>
      <w:r>
        <w:rPr>
          <w:rFonts w:ascii="仿宋_GB2312" w:eastAsia="仿宋_GB2312" w:hAnsi="仿宋_GB2312" w:cs="仿宋_GB2312" w:hint="eastAsia"/>
          <w:color w:val="000000"/>
          <w:szCs w:val="32"/>
        </w:rPr>
        <w:t>发挥人民政协作为政治组织和民主形式的效能，提高政治协商、民主监督、参政议政水平，更好</w:t>
      </w:r>
      <w:proofErr w:type="gramStart"/>
      <w:r>
        <w:rPr>
          <w:rFonts w:ascii="仿宋_GB2312" w:eastAsia="仿宋_GB2312" w:hAnsi="仿宋_GB2312" w:cs="仿宋_GB2312" w:hint="eastAsia"/>
          <w:color w:val="000000"/>
          <w:szCs w:val="32"/>
        </w:rPr>
        <w:t>疑</w:t>
      </w:r>
      <w:proofErr w:type="gramEnd"/>
      <w:r>
        <w:rPr>
          <w:rFonts w:ascii="仿宋_GB2312" w:eastAsia="仿宋_GB2312" w:hAnsi="仿宋_GB2312" w:cs="仿宋_GB2312" w:hint="eastAsia"/>
          <w:color w:val="000000"/>
          <w:szCs w:val="32"/>
        </w:rPr>
        <w:t>聚共识。强化政协委员责任担当制度、专门委员会工作制度、人民政协理论研究制度、</w:t>
      </w:r>
      <w:r>
        <w:rPr>
          <w:rFonts w:ascii="仿宋_GB2312" w:eastAsia="仿宋_GB2312" w:hAnsi="仿宋_GB2312" w:cs="仿宋_GB2312" w:hint="eastAsia"/>
          <w:szCs w:val="32"/>
        </w:rPr>
        <w:t>县</w:t>
      </w:r>
      <w:r>
        <w:rPr>
          <w:rFonts w:ascii="仿宋_GB2312" w:eastAsia="仿宋_GB2312" w:hAnsi="仿宋_GB2312" w:cs="仿宋_GB2312" w:hint="eastAsia"/>
          <w:color w:val="000000"/>
          <w:szCs w:val="32"/>
        </w:rPr>
        <w:t>政协工作制度、政协系统联系指导工作制度。完善人民政协专门协商机构制度，丰富协商形式，健全协商规则，优化界别设置，健全发扬民主和增进团结相互贯通、建言资政和凝聚共识双向发力的程序机制。</w:t>
      </w:r>
    </w:p>
    <w:p w14:paraId="16CC1E80"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color w:val="000000"/>
          <w:szCs w:val="32"/>
        </w:rPr>
        <w:t>巩固和发展最广泛的爱国统一战线。</w:t>
      </w:r>
      <w:r>
        <w:rPr>
          <w:rFonts w:ascii="仿宋_GB2312" w:eastAsia="仿宋_GB2312" w:hAnsi="仿宋_GB2312" w:cs="仿宋_GB2312" w:hint="eastAsia"/>
          <w:color w:val="000000"/>
          <w:szCs w:val="32"/>
        </w:rPr>
        <w:t>坚持党委统一领导、统战部牵头协调、有关方面各负其责的大统战工作格局，形成工作合力，完善照顾好同盟者利益政策，促进政党关系、民族关系、宗教关系、阶层关系、海内外同胞关系和谐。积极引导宗教与社会主义社会相适应。健全党外代表人士队伍</w:t>
      </w:r>
      <w:r>
        <w:rPr>
          <w:rFonts w:ascii="仿宋_GB2312" w:eastAsia="仿宋_GB2312" w:hAnsi="仿宋_GB2312" w:cs="仿宋_GB2312" w:hint="eastAsia"/>
          <w:color w:val="000000"/>
          <w:szCs w:val="32"/>
        </w:rPr>
        <w:lastRenderedPageBreak/>
        <w:t>建设制度，完善联系民主党派和无党派人士、非公有制</w:t>
      </w:r>
      <w:proofErr w:type="gramStart"/>
      <w:r>
        <w:rPr>
          <w:rFonts w:ascii="仿宋_GB2312" w:eastAsia="仿宋_GB2312" w:hAnsi="仿宋_GB2312" w:cs="仿宋_GB2312" w:hint="eastAsia"/>
          <w:color w:val="000000"/>
          <w:szCs w:val="32"/>
        </w:rPr>
        <w:t>经济人</w:t>
      </w:r>
      <w:proofErr w:type="gramEnd"/>
      <w:r>
        <w:rPr>
          <w:rFonts w:ascii="仿宋_GB2312" w:eastAsia="仿宋_GB2312" w:hAnsi="仿宋_GB2312" w:cs="仿宋_GB2312" w:hint="eastAsia"/>
          <w:color w:val="000000"/>
          <w:szCs w:val="32"/>
        </w:rPr>
        <w:t>士、党外知识分子、新的社会阶层人士工作机制，凝聚港澳同胞、台湾同胞、海外侨胞力量。健全基层党组织领导的基层群众自治机制，广泛实行群众自我管理、自我服务、自我教育、自我监督，拓宽人民群众反映意见和建议的渠道，着力推进基层直接民主制度化、规范化、程序化。</w:t>
      </w:r>
    </w:p>
    <w:p w14:paraId="2FBAC102" w14:textId="77777777" w:rsidR="00EE55DB" w:rsidRDefault="00000000">
      <w:pPr>
        <w:ind w:firstLine="640"/>
      </w:pPr>
      <w:r>
        <w:br w:type="page"/>
      </w:r>
    </w:p>
    <w:p w14:paraId="2A8B3F85" w14:textId="77777777" w:rsidR="00EE55DB" w:rsidRDefault="00000000">
      <w:pPr>
        <w:pStyle w:val="1"/>
        <w:spacing w:before="156" w:after="156"/>
      </w:pPr>
      <w:bookmarkStart w:id="126" w:name="_Toc32605"/>
      <w:r>
        <w:rPr>
          <w:rFonts w:hint="eastAsia"/>
        </w:rPr>
        <w:lastRenderedPageBreak/>
        <w:t>第十三章</w:t>
      </w:r>
      <w:r>
        <w:t xml:space="preserve"> </w:t>
      </w:r>
      <w:r>
        <w:rPr>
          <w:rFonts w:hint="eastAsia"/>
        </w:rPr>
        <w:t>坚持党的全面领导，实现永修规划新蓝图</w:t>
      </w:r>
      <w:bookmarkEnd w:id="126"/>
    </w:p>
    <w:p w14:paraId="3B10AA55"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实现</w:t>
      </w:r>
      <w:r>
        <w:rPr>
          <w:rFonts w:ascii="仿宋_GB2312" w:eastAsia="仿宋_GB2312" w:hAnsi="仿宋_GB2312" w:cs="仿宋_GB2312"/>
          <w:szCs w:val="32"/>
        </w:rPr>
        <w:t>?</w:t>
      </w:r>
      <w:r>
        <w:rPr>
          <w:rFonts w:ascii="仿宋_GB2312" w:eastAsia="仿宋_GB2312" w:hAnsi="仿宋_GB2312" w:cs="仿宋_GB2312" w:hint="eastAsia"/>
          <w:szCs w:val="32"/>
        </w:rPr>
        <w:t>°十四五</w:t>
      </w:r>
      <w:r>
        <w:rPr>
          <w:rFonts w:ascii="仿宋_GB2312" w:eastAsia="仿宋_GB2312" w:hAnsi="仿宋_GB2312" w:cs="仿宋_GB2312"/>
          <w:szCs w:val="32"/>
        </w:rPr>
        <w:t>?</w:t>
      </w:r>
      <w:r>
        <w:rPr>
          <w:rFonts w:ascii="仿宋_GB2312" w:eastAsia="仿宋_GB2312" w:hAnsi="仿宋_GB2312" w:cs="仿宋_GB2312" w:hint="eastAsia"/>
          <w:szCs w:val="32"/>
        </w:rPr>
        <w:t>±规划和二〇三五年远景目标，必须坚持和加强党的全面领导，充分调动一切积极因素，广泛团结一切可以团结的力量，形成推动高质量跨越式发展的强大合力，为奋力谱写全面建设社会主义现代化国家永修篇章提供坚实保障。</w:t>
      </w:r>
    </w:p>
    <w:p w14:paraId="096350A1" w14:textId="77777777" w:rsidR="00EE55DB" w:rsidRDefault="00000000">
      <w:pPr>
        <w:pStyle w:val="2"/>
        <w:spacing w:before="156" w:after="156"/>
      </w:pPr>
      <w:bookmarkStart w:id="127" w:name="_Toc31007"/>
      <w:r>
        <w:rPr>
          <w:rFonts w:hint="eastAsia"/>
        </w:rPr>
        <w:t>第一节</w:t>
      </w:r>
      <w:r>
        <w:t xml:space="preserve"> </w:t>
      </w:r>
      <w:r>
        <w:rPr>
          <w:rFonts w:hint="eastAsia"/>
        </w:rPr>
        <w:t>全面加强党的领导</w:t>
      </w:r>
      <w:bookmarkEnd w:id="127"/>
    </w:p>
    <w:p w14:paraId="4218EA7C"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坚持党总揽全局协调各方。</w:t>
      </w:r>
      <w:r>
        <w:rPr>
          <w:rFonts w:ascii="仿宋_GB2312" w:eastAsia="仿宋_GB2312" w:hAnsi="仿宋_GB2312" w:cs="仿宋_GB2312" w:hint="eastAsia"/>
          <w:szCs w:val="32"/>
        </w:rPr>
        <w:t>坚决贯彻落实中央、省委、市委的各项决策部署，充分发挥各级党委在经济社会发展工作中把握方向、谋划全局、制定政策、推进改革的领导核心作用，完善党委定期分析经济形势、研究重大举措、破解发展难题的工作机制，深化干部人事制度改革，优化领导班子知识结构和专业结构，提升引领经济发展新常态的能力，大力推进治理体系和治理能力现代化。</w:t>
      </w:r>
    </w:p>
    <w:p w14:paraId="50E86126"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完善党领导社会经济发展的体制机制。</w:t>
      </w:r>
      <w:r>
        <w:rPr>
          <w:rFonts w:ascii="仿宋_GB2312" w:eastAsia="仿宋_GB2312" w:hAnsi="仿宋_GB2312" w:cs="仿宋_GB2312" w:hint="eastAsia"/>
          <w:szCs w:val="32"/>
        </w:rPr>
        <w:t>健全决策机制，完善党委研究经济社会发展战略，研究重大方针政策的工作机制。全面贯彻新时代党的组织路线，加强干部队伍建设，落实好干部标准，提高各级领导班子和干部适应新时代要求抓改革、促发展、促稳定水平和专业化能力。加强</w:t>
      </w:r>
      <w:proofErr w:type="gramStart"/>
      <w:r>
        <w:rPr>
          <w:rFonts w:ascii="仿宋_GB2312" w:eastAsia="仿宋_GB2312" w:hAnsi="仿宋_GB2312" w:cs="仿宋_GB2312" w:hint="eastAsia"/>
          <w:szCs w:val="32"/>
        </w:rPr>
        <w:t>对敢担当善作为</w:t>
      </w:r>
      <w:proofErr w:type="gramEnd"/>
      <w:r>
        <w:rPr>
          <w:rFonts w:ascii="仿宋_GB2312" w:eastAsia="仿宋_GB2312" w:hAnsi="仿宋_GB2312" w:cs="仿宋_GB2312" w:hint="eastAsia"/>
          <w:szCs w:val="32"/>
        </w:rPr>
        <w:t>干部的激励保护，以正确用人导向引领干事创业导向。坚持党</w:t>
      </w:r>
      <w:proofErr w:type="gramStart"/>
      <w:r>
        <w:rPr>
          <w:rFonts w:ascii="仿宋_GB2312" w:eastAsia="仿宋_GB2312" w:hAnsi="仿宋_GB2312" w:cs="仿宋_GB2312" w:hint="eastAsia"/>
          <w:szCs w:val="32"/>
        </w:rPr>
        <w:t>管人才</w:t>
      </w:r>
      <w:proofErr w:type="gramEnd"/>
      <w:r>
        <w:rPr>
          <w:rFonts w:ascii="仿宋_GB2312" w:eastAsia="仿宋_GB2312" w:hAnsi="仿宋_GB2312" w:cs="仿宋_GB2312" w:hint="eastAsia"/>
          <w:szCs w:val="32"/>
        </w:rPr>
        <w:t>原则，完善人才工作，培养造就大批德才兼备</w:t>
      </w:r>
      <w:r>
        <w:rPr>
          <w:rFonts w:ascii="仿宋_GB2312" w:eastAsia="仿宋_GB2312" w:hAnsi="仿宋_GB2312" w:cs="仿宋_GB2312" w:hint="eastAsia"/>
          <w:szCs w:val="32"/>
        </w:rPr>
        <w:lastRenderedPageBreak/>
        <w:t>的高素质人才。</w:t>
      </w:r>
    </w:p>
    <w:p w14:paraId="7DE3E14B"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推进清廉永修建设。</w:t>
      </w:r>
      <w:r>
        <w:rPr>
          <w:rFonts w:ascii="仿宋_GB2312" w:eastAsia="仿宋_GB2312" w:hAnsi="仿宋_GB2312" w:cs="仿宋_GB2312" w:hint="eastAsia"/>
          <w:szCs w:val="32"/>
        </w:rPr>
        <w:t>落实全面从严治党主体责任、监督责任，提高党的建设质量。大力弘扬井冈山精神和苏区精神，锲而不舍落实中央八项规定精神，持续纠正治形式主义、官僚主义，深入整治“怕、慢、假、庸、散”作风顽疾，持之以恒加强作风建设，把严的主基调长期坚持下去，保持惩治腐败高压态势。健全作风建设长效机制，营造风清气正的良好政治生态。</w:t>
      </w:r>
    </w:p>
    <w:p w14:paraId="2A46E911" w14:textId="77777777" w:rsidR="00EE55DB" w:rsidRDefault="00000000">
      <w:pPr>
        <w:pStyle w:val="2"/>
        <w:spacing w:before="156" w:after="156"/>
        <w:rPr>
          <w:rFonts w:ascii="仿宋_GB2312" w:eastAsia="仿宋_GB2312" w:hAnsi="仿宋_GB2312" w:cs="仿宋_GB2312"/>
          <w:color w:val="auto"/>
          <w:szCs w:val="32"/>
        </w:rPr>
      </w:pPr>
      <w:bookmarkStart w:id="128" w:name="_Toc2280"/>
      <w:r>
        <w:rPr>
          <w:rFonts w:hint="eastAsia"/>
        </w:rPr>
        <w:t>第二节</w:t>
      </w:r>
      <w:r>
        <w:t xml:space="preserve"> </w:t>
      </w:r>
      <w:r>
        <w:rPr>
          <w:rFonts w:hint="eastAsia"/>
        </w:rPr>
        <w:t>积极争取政策支持</w:t>
      </w:r>
      <w:bookmarkEnd w:id="128"/>
    </w:p>
    <w:p w14:paraId="7D67FD86"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用好用足国家在政策、项目、资金等方面的支持，挖掘政策潜力，释放政策效应。重点在产业发展、基础设施、城市建设、农林水利和社会民生等领域积极争取国家、省、市政策和资金支持。准确把握国家、</w:t>
      </w:r>
      <w:proofErr w:type="gramStart"/>
      <w:r>
        <w:rPr>
          <w:rFonts w:ascii="仿宋_GB2312" w:eastAsia="仿宋_GB2312" w:hAnsi="仿宋_GB2312" w:cs="仿宋_GB2312" w:hint="eastAsia"/>
          <w:szCs w:val="32"/>
        </w:rPr>
        <w:t>省政策</w:t>
      </w:r>
      <w:proofErr w:type="gramEnd"/>
      <w:r>
        <w:rPr>
          <w:rFonts w:ascii="仿宋_GB2312" w:eastAsia="仿宋_GB2312" w:hAnsi="仿宋_GB2312" w:cs="仿宋_GB2312" w:hint="eastAsia"/>
          <w:szCs w:val="32"/>
        </w:rPr>
        <w:t>支持的重点领域，积极做好政策和项目申报准备，做好上级申报部门的对接，积极争取上级政策支持。对纳入国家、省级、市级层面的重大工程项目，应简化审批核准程序，优先保障重大工程项目选址、土地供应和融资安排。</w:t>
      </w:r>
    </w:p>
    <w:p w14:paraId="19760168" w14:textId="77777777" w:rsidR="00EE55DB" w:rsidRDefault="00000000">
      <w:pPr>
        <w:pStyle w:val="2"/>
        <w:spacing w:before="156" w:after="156"/>
        <w:rPr>
          <w:rFonts w:ascii="仿宋_GB2312" w:eastAsia="仿宋_GB2312" w:hAnsi="仿宋_GB2312" w:cs="仿宋_GB2312"/>
          <w:color w:val="auto"/>
          <w:szCs w:val="32"/>
        </w:rPr>
      </w:pPr>
      <w:bookmarkStart w:id="129" w:name="_Toc24845"/>
      <w:r>
        <w:rPr>
          <w:rFonts w:hint="eastAsia"/>
        </w:rPr>
        <w:t>第三节</w:t>
      </w:r>
      <w:r>
        <w:t xml:space="preserve"> </w:t>
      </w:r>
      <w:r>
        <w:rPr>
          <w:rFonts w:hint="eastAsia"/>
        </w:rPr>
        <w:t>健全规划联动机制</w:t>
      </w:r>
      <w:bookmarkEnd w:id="129"/>
    </w:p>
    <w:p w14:paraId="5F20B2D8"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强化规划衔接与政策协调。</w:t>
      </w:r>
      <w:r>
        <w:rPr>
          <w:rFonts w:ascii="仿宋_GB2312" w:eastAsia="仿宋_GB2312" w:hAnsi="仿宋_GB2312" w:cs="仿宋_GB2312" w:hint="eastAsia"/>
          <w:szCs w:val="32"/>
        </w:rPr>
        <w:t>强化国民经济和社会发展总体规划的纲领性和指导性地位，加强各级规划与总体规划的衔接协调，注重政策目标与政策工具、短期政策与长期政策</w:t>
      </w:r>
      <w:r>
        <w:rPr>
          <w:rFonts w:ascii="仿宋_GB2312" w:eastAsia="仿宋_GB2312" w:hAnsi="仿宋_GB2312" w:cs="仿宋_GB2312" w:hint="eastAsia"/>
          <w:szCs w:val="32"/>
        </w:rPr>
        <w:lastRenderedPageBreak/>
        <w:t>的衔接配合。优化财政支出结构和政府投资结构，建立与规划任务相匹配的政府投资规模机制。加强部门联动，推动相关专项领域的发展思路和规划研究编制，并与上级部门衔接，谋划一批重大项目、一批重大工程、一批重大政策。</w:t>
      </w:r>
    </w:p>
    <w:p w14:paraId="0479EDED"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b/>
          <w:bCs/>
          <w:szCs w:val="32"/>
        </w:rPr>
        <w:t>突出规划实施支撑。</w:t>
      </w:r>
      <w:r>
        <w:rPr>
          <w:rFonts w:ascii="仿宋_GB2312" w:eastAsia="仿宋_GB2312" w:hAnsi="仿宋_GB2312" w:cs="仿宋_GB2312" w:hint="eastAsia"/>
          <w:szCs w:val="32"/>
        </w:rPr>
        <w:t>对规划确定的目标，落实项目、任务、资金和政策等责任分工单位，制定具体的实施方案。强化人力资源和资金保障，改善财政支出和政府投资结构，中期财政规划和年度预算要结合本规划提出的目标任务和财力可能，年度预算安排要优先考虑本规划实施的年度需要。加强存量整合，优化增量安排，优先安排本规划提出的设计民生保障、公共服务、公共安全、生态环境等领域的财政投入，加强财政资金使用的审计监督，厉行勤俭节约，严控行政成本。</w:t>
      </w:r>
    </w:p>
    <w:p w14:paraId="54A94E53" w14:textId="77777777" w:rsidR="00EE55DB" w:rsidRDefault="00000000">
      <w:pPr>
        <w:pStyle w:val="2"/>
        <w:spacing w:before="156" w:after="156"/>
      </w:pPr>
      <w:bookmarkStart w:id="130" w:name="_Toc1549"/>
      <w:r>
        <w:rPr>
          <w:rFonts w:hint="eastAsia"/>
        </w:rPr>
        <w:t>第四节</w:t>
      </w:r>
      <w:r>
        <w:t xml:space="preserve"> </w:t>
      </w:r>
      <w:r>
        <w:rPr>
          <w:rFonts w:hint="eastAsia"/>
        </w:rPr>
        <w:t>加强规划监管评估</w:t>
      </w:r>
      <w:bookmarkEnd w:id="130"/>
    </w:p>
    <w:p w14:paraId="7E2EACF3" w14:textId="77777777" w:rsidR="00EE55DB" w:rsidRDefault="00000000">
      <w:pPr>
        <w:ind w:firstLine="640"/>
        <w:rPr>
          <w:rFonts w:ascii="仿宋_GB2312" w:eastAsia="仿宋_GB2312" w:hAnsi="仿宋_GB2312" w:cs="仿宋_GB2312"/>
          <w:szCs w:val="32"/>
        </w:rPr>
      </w:pPr>
      <w:r>
        <w:rPr>
          <w:rFonts w:ascii="仿宋_GB2312" w:eastAsia="仿宋_GB2312" w:hAnsi="仿宋_GB2312" w:cs="仿宋_GB2312" w:hint="eastAsia"/>
          <w:szCs w:val="32"/>
        </w:rPr>
        <w:t>建立</w:t>
      </w:r>
      <w:proofErr w:type="gramStart"/>
      <w:r>
        <w:rPr>
          <w:rFonts w:ascii="仿宋_GB2312" w:eastAsia="仿宋_GB2312" w:hAnsi="仿宋_GB2312" w:cs="仿宋_GB2312" w:hint="eastAsia"/>
          <w:szCs w:val="32"/>
        </w:rPr>
        <w:t>长效化</w:t>
      </w:r>
      <w:proofErr w:type="gramEnd"/>
      <w:r>
        <w:rPr>
          <w:rFonts w:ascii="仿宋_GB2312" w:eastAsia="仿宋_GB2312" w:hAnsi="仿宋_GB2312" w:cs="仿宋_GB2312" w:hint="eastAsia"/>
          <w:szCs w:val="32"/>
        </w:rPr>
        <w:t>的监督考核机制。搭建好监督平台，自觉接受新闻媒体、群众社团在规划实施全过程中的监督，充分听取社会各界、广大群众对规划实施的意见建议。强化对民生改善、生态文明、经济发展和基本公共服务等目标任务完成情况的综合评价考核，建立科学合理的各级政府考核机制，考核结果作为各级政府领导班子调整和领导干部选拔任用、奖励惩戒的重要依据。引导正确的发展观和政绩观，注重主要指标和工作任务落实情况的动态数据采集、监测、评估和</w:t>
      </w:r>
      <w:r>
        <w:rPr>
          <w:rFonts w:ascii="仿宋_GB2312" w:eastAsia="仿宋_GB2312" w:hAnsi="仿宋_GB2312" w:cs="仿宋_GB2312" w:hint="eastAsia"/>
          <w:szCs w:val="32"/>
        </w:rPr>
        <w:lastRenderedPageBreak/>
        <w:t>考核。完善规划中期评估和末期全面评估制度，对重点领域的突出问题适时开展专题评估，创新评估方式，积极引入社会机构参与评估，评估报告提请市人大常委会审议。加强规划实施情况动态监测，及时发现规划实施存在的问题。对规划进行修订调整，由县政府提出方案报县人民代表大会常务委员会批准。加大规划宣传力度，积极探索创新公众参与形式，拓宽公众参与渠道，完善规划实施的公众参与和民主监督机制。及时公开规划实施情况，主动接受社会监督。</w:t>
      </w:r>
    </w:p>
    <w:sectPr w:rsidR="00EE55DB">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DDA2" w14:textId="77777777" w:rsidR="006654F7" w:rsidRDefault="006654F7">
      <w:pPr>
        <w:spacing w:line="240" w:lineRule="auto"/>
        <w:ind w:firstLine="640"/>
      </w:pPr>
      <w:r>
        <w:separator/>
      </w:r>
    </w:p>
  </w:endnote>
  <w:endnote w:type="continuationSeparator" w:id="0">
    <w:p w14:paraId="49F2CD14" w14:textId="77777777" w:rsidR="006654F7" w:rsidRDefault="006654F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宋体"/>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E478" w14:textId="77777777" w:rsidR="00EE55DB" w:rsidRDefault="00EE55DB">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7EDF" w14:textId="77777777" w:rsidR="00EE55DB" w:rsidRDefault="00000000">
    <w:pPr>
      <w:pStyle w:val="a9"/>
      <w:ind w:firstLine="360"/>
    </w:pPr>
    <w:r>
      <w:rPr>
        <w:noProof/>
      </w:rPr>
      <mc:AlternateContent>
        <mc:Choice Requires="wps">
          <w:drawing>
            <wp:anchor distT="0" distB="0" distL="114300" distR="114300" simplePos="0" relativeHeight="251659264" behindDoc="0" locked="0" layoutInCell="1" allowOverlap="1" wp14:anchorId="23981BCE" wp14:editId="1D6F69A2">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341D61" w14:textId="77777777" w:rsidR="00EE55DB" w:rsidRDefault="00000000">
                          <w:pPr>
                            <w:pStyle w:val="a9"/>
                            <w:ind w:firstLine="360"/>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81BC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6341D61" w14:textId="77777777" w:rsidR="00EE55DB" w:rsidRDefault="00000000">
                    <w:pPr>
                      <w:pStyle w:val="a9"/>
                      <w:ind w:firstLine="360"/>
                    </w:pPr>
                    <w:r>
                      <w:fldChar w:fldCharType="begin"/>
                    </w:r>
                    <w:r>
                      <w:instrText xml:space="preserve"> PAGE  \* MERGEFORMAT </w:instrText>
                    </w:r>
                    <w:r>
                      <w:fldChar w:fldCharType="separate"/>
                    </w:r>
                    <w:r>
                      <w:t>109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A14F" w14:textId="77777777" w:rsidR="006654F7" w:rsidRDefault="006654F7">
      <w:pPr>
        <w:ind w:firstLine="640"/>
      </w:pPr>
      <w:r>
        <w:separator/>
      </w:r>
    </w:p>
  </w:footnote>
  <w:footnote w:type="continuationSeparator" w:id="0">
    <w:p w14:paraId="756D66E2" w14:textId="77777777" w:rsidR="006654F7" w:rsidRDefault="006654F7">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CCBA" w14:textId="77777777" w:rsidR="00EE55DB" w:rsidRDefault="00EE55DB">
    <w:pPr>
      <w:pStyle w:val="ab"/>
      <w:pBdr>
        <w:top w:val="none" w:sz="0" w:space="0" w:color="auto"/>
        <w:left w:val="none" w:sz="0" w:space="0" w:color="auto"/>
        <w:bottom w:val="none" w:sz="0" w:space="0" w:color="auto"/>
        <w:right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96851E"/>
    <w:multiLevelType w:val="singleLevel"/>
    <w:tmpl w:val="AD96851E"/>
    <w:lvl w:ilvl="0">
      <w:start w:val="4"/>
      <w:numFmt w:val="chineseCounting"/>
      <w:suff w:val="nothing"/>
      <w:lvlText w:val="（%1）"/>
      <w:lvlJc w:val="left"/>
      <w:rPr>
        <w:rFonts w:cs="Times New Roman" w:hint="eastAsia"/>
      </w:rPr>
    </w:lvl>
  </w:abstractNum>
  <w:abstractNum w:abstractNumId="1" w15:restartNumberingAfterBreak="0">
    <w:nsid w:val="B1D530EC"/>
    <w:multiLevelType w:val="singleLevel"/>
    <w:tmpl w:val="B1D530EC"/>
    <w:lvl w:ilvl="0">
      <w:start w:val="1"/>
      <w:numFmt w:val="chineseCounting"/>
      <w:suff w:val="nothing"/>
      <w:lvlText w:val="（%1）"/>
      <w:lvlJc w:val="left"/>
      <w:rPr>
        <w:rFonts w:cs="Times New Roman" w:hint="eastAsia"/>
      </w:rPr>
    </w:lvl>
  </w:abstractNum>
  <w:abstractNum w:abstractNumId="2" w15:restartNumberingAfterBreak="0">
    <w:nsid w:val="0A5045D9"/>
    <w:multiLevelType w:val="singleLevel"/>
    <w:tmpl w:val="0A5045D9"/>
    <w:lvl w:ilvl="0">
      <w:start w:val="1"/>
      <w:numFmt w:val="chineseCounting"/>
      <w:suff w:val="nothing"/>
      <w:lvlText w:val="（%1）"/>
      <w:lvlJc w:val="left"/>
      <w:rPr>
        <w:rFonts w:cs="Times New Roman" w:hint="eastAsia"/>
      </w:rPr>
    </w:lvl>
  </w:abstractNum>
  <w:abstractNum w:abstractNumId="3" w15:restartNumberingAfterBreak="0">
    <w:nsid w:val="44CA074B"/>
    <w:multiLevelType w:val="singleLevel"/>
    <w:tmpl w:val="44CA074B"/>
    <w:lvl w:ilvl="0">
      <w:start w:val="1"/>
      <w:numFmt w:val="chineseCounting"/>
      <w:suff w:val="nothing"/>
      <w:lvlText w:val="（%1）"/>
      <w:lvlJc w:val="left"/>
      <w:rPr>
        <w:rFonts w:cs="Times New Roman" w:hint="eastAsia"/>
      </w:rPr>
    </w:lvl>
  </w:abstractNum>
  <w:num w:numId="1" w16cid:durableId="196434842">
    <w:abstractNumId w:val="0"/>
  </w:num>
  <w:num w:numId="2" w16cid:durableId="230821743">
    <w:abstractNumId w:val="2"/>
  </w:num>
  <w:num w:numId="3" w16cid:durableId="1252936896">
    <w:abstractNumId w:val="3"/>
  </w:num>
  <w:num w:numId="4" w16cid:durableId="121866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0MGM4M2JjZmE1ZDVmYzIxMWQxNzQ2YzY2NTZjZjUifQ=="/>
    <w:docVar w:name="KSO_WPS_MARK_KEY" w:val="568c105b-dba4-4db2-9321-64969262a569"/>
  </w:docVars>
  <w:rsids>
    <w:rsidRoot w:val="002013EE"/>
    <w:rsid w:val="000247EA"/>
    <w:rsid w:val="0004769E"/>
    <w:rsid w:val="001507B6"/>
    <w:rsid w:val="00167E91"/>
    <w:rsid w:val="001D3E27"/>
    <w:rsid w:val="002013EE"/>
    <w:rsid w:val="00226155"/>
    <w:rsid w:val="003C1B3D"/>
    <w:rsid w:val="003C6C9B"/>
    <w:rsid w:val="003E33D9"/>
    <w:rsid w:val="00414697"/>
    <w:rsid w:val="0041505F"/>
    <w:rsid w:val="004A31D9"/>
    <w:rsid w:val="004D431F"/>
    <w:rsid w:val="005224F3"/>
    <w:rsid w:val="005940C7"/>
    <w:rsid w:val="005B5660"/>
    <w:rsid w:val="006654F7"/>
    <w:rsid w:val="006E3F9B"/>
    <w:rsid w:val="00721B6D"/>
    <w:rsid w:val="00722237"/>
    <w:rsid w:val="00762460"/>
    <w:rsid w:val="00803E37"/>
    <w:rsid w:val="00853973"/>
    <w:rsid w:val="00885805"/>
    <w:rsid w:val="008E16DA"/>
    <w:rsid w:val="008E5517"/>
    <w:rsid w:val="00976892"/>
    <w:rsid w:val="009E30CA"/>
    <w:rsid w:val="009E7678"/>
    <w:rsid w:val="00A17E64"/>
    <w:rsid w:val="00AA4ED8"/>
    <w:rsid w:val="00AA6BA6"/>
    <w:rsid w:val="00B65EC9"/>
    <w:rsid w:val="00BB018D"/>
    <w:rsid w:val="00BF72CD"/>
    <w:rsid w:val="00C45DA8"/>
    <w:rsid w:val="00C924DF"/>
    <w:rsid w:val="00CC6D6D"/>
    <w:rsid w:val="00CE4F2D"/>
    <w:rsid w:val="00D02CFA"/>
    <w:rsid w:val="00D17F91"/>
    <w:rsid w:val="00E13AAF"/>
    <w:rsid w:val="00E86B65"/>
    <w:rsid w:val="00EE55DB"/>
    <w:rsid w:val="00F10AC6"/>
    <w:rsid w:val="00F221FC"/>
    <w:rsid w:val="010E213E"/>
    <w:rsid w:val="01103506"/>
    <w:rsid w:val="011461BF"/>
    <w:rsid w:val="011B73AA"/>
    <w:rsid w:val="01292701"/>
    <w:rsid w:val="014D002C"/>
    <w:rsid w:val="016C73FA"/>
    <w:rsid w:val="016F6B2B"/>
    <w:rsid w:val="01734EDC"/>
    <w:rsid w:val="01767D72"/>
    <w:rsid w:val="019E13C9"/>
    <w:rsid w:val="01A02570"/>
    <w:rsid w:val="01AB1BF7"/>
    <w:rsid w:val="01B0670B"/>
    <w:rsid w:val="01B558D1"/>
    <w:rsid w:val="01D400B4"/>
    <w:rsid w:val="01E435F5"/>
    <w:rsid w:val="01E86F87"/>
    <w:rsid w:val="01EB4D2F"/>
    <w:rsid w:val="01F36CE7"/>
    <w:rsid w:val="021A4900"/>
    <w:rsid w:val="022A67B9"/>
    <w:rsid w:val="023D26C3"/>
    <w:rsid w:val="028F5133"/>
    <w:rsid w:val="02A66E86"/>
    <w:rsid w:val="02B45C3A"/>
    <w:rsid w:val="02FD3AE3"/>
    <w:rsid w:val="031D167F"/>
    <w:rsid w:val="0328683D"/>
    <w:rsid w:val="037B29F1"/>
    <w:rsid w:val="03930C40"/>
    <w:rsid w:val="0395449D"/>
    <w:rsid w:val="03973603"/>
    <w:rsid w:val="03C625F2"/>
    <w:rsid w:val="03D617B3"/>
    <w:rsid w:val="03EA2398"/>
    <w:rsid w:val="040A0015"/>
    <w:rsid w:val="040E7FAF"/>
    <w:rsid w:val="04260A6E"/>
    <w:rsid w:val="044741F5"/>
    <w:rsid w:val="04504662"/>
    <w:rsid w:val="04706E0D"/>
    <w:rsid w:val="0470722E"/>
    <w:rsid w:val="04847CBE"/>
    <w:rsid w:val="04C04B4A"/>
    <w:rsid w:val="04CE1143"/>
    <w:rsid w:val="04DB2699"/>
    <w:rsid w:val="04DB2C18"/>
    <w:rsid w:val="04EA590F"/>
    <w:rsid w:val="04EB0220"/>
    <w:rsid w:val="05002322"/>
    <w:rsid w:val="0504077C"/>
    <w:rsid w:val="05062976"/>
    <w:rsid w:val="050D7F81"/>
    <w:rsid w:val="05271629"/>
    <w:rsid w:val="053D3ECE"/>
    <w:rsid w:val="054034CF"/>
    <w:rsid w:val="05433C0A"/>
    <w:rsid w:val="055B0AA9"/>
    <w:rsid w:val="05696795"/>
    <w:rsid w:val="05730685"/>
    <w:rsid w:val="057C443F"/>
    <w:rsid w:val="058006CD"/>
    <w:rsid w:val="05821377"/>
    <w:rsid w:val="058B44A4"/>
    <w:rsid w:val="058D2F8B"/>
    <w:rsid w:val="0590368B"/>
    <w:rsid w:val="059973A1"/>
    <w:rsid w:val="059E417E"/>
    <w:rsid w:val="05B258A0"/>
    <w:rsid w:val="05B33981"/>
    <w:rsid w:val="05C402BF"/>
    <w:rsid w:val="061B47BB"/>
    <w:rsid w:val="064D0701"/>
    <w:rsid w:val="069355F8"/>
    <w:rsid w:val="06A61CCB"/>
    <w:rsid w:val="06B16C80"/>
    <w:rsid w:val="0710522B"/>
    <w:rsid w:val="071D508F"/>
    <w:rsid w:val="07372AAB"/>
    <w:rsid w:val="073F41A8"/>
    <w:rsid w:val="07414A52"/>
    <w:rsid w:val="0745059D"/>
    <w:rsid w:val="07484799"/>
    <w:rsid w:val="075B76F9"/>
    <w:rsid w:val="076956C9"/>
    <w:rsid w:val="07772832"/>
    <w:rsid w:val="07836E6D"/>
    <w:rsid w:val="07937D76"/>
    <w:rsid w:val="07954FFD"/>
    <w:rsid w:val="079C039E"/>
    <w:rsid w:val="07D15A4A"/>
    <w:rsid w:val="07D249CA"/>
    <w:rsid w:val="07D80651"/>
    <w:rsid w:val="07E36BD3"/>
    <w:rsid w:val="07E44512"/>
    <w:rsid w:val="07ED0C7C"/>
    <w:rsid w:val="08043367"/>
    <w:rsid w:val="080E50B5"/>
    <w:rsid w:val="08147CF7"/>
    <w:rsid w:val="082453C9"/>
    <w:rsid w:val="083F1108"/>
    <w:rsid w:val="08527492"/>
    <w:rsid w:val="08657F26"/>
    <w:rsid w:val="087A17FB"/>
    <w:rsid w:val="08960DEA"/>
    <w:rsid w:val="08995C41"/>
    <w:rsid w:val="08C05FC7"/>
    <w:rsid w:val="08C46084"/>
    <w:rsid w:val="08E50193"/>
    <w:rsid w:val="08F604EB"/>
    <w:rsid w:val="09041FC9"/>
    <w:rsid w:val="090D0C7F"/>
    <w:rsid w:val="090D1930"/>
    <w:rsid w:val="09167FAD"/>
    <w:rsid w:val="091A35E6"/>
    <w:rsid w:val="091F04D8"/>
    <w:rsid w:val="093330A2"/>
    <w:rsid w:val="09344230"/>
    <w:rsid w:val="093D668A"/>
    <w:rsid w:val="093F13B3"/>
    <w:rsid w:val="09506D3C"/>
    <w:rsid w:val="0963378D"/>
    <w:rsid w:val="098346C0"/>
    <w:rsid w:val="09A64442"/>
    <w:rsid w:val="09AC071C"/>
    <w:rsid w:val="09B04DFB"/>
    <w:rsid w:val="09D56B8F"/>
    <w:rsid w:val="09F563CA"/>
    <w:rsid w:val="09FB2AB9"/>
    <w:rsid w:val="0A0D1213"/>
    <w:rsid w:val="0A1A4591"/>
    <w:rsid w:val="0A1D3B3C"/>
    <w:rsid w:val="0A3953C2"/>
    <w:rsid w:val="0A3A223B"/>
    <w:rsid w:val="0A3C1CD9"/>
    <w:rsid w:val="0A4A5A86"/>
    <w:rsid w:val="0A525563"/>
    <w:rsid w:val="0A564CF1"/>
    <w:rsid w:val="0A5D7320"/>
    <w:rsid w:val="0A786118"/>
    <w:rsid w:val="0A813371"/>
    <w:rsid w:val="0A8B50FC"/>
    <w:rsid w:val="0A9D4E74"/>
    <w:rsid w:val="0AAB0FD6"/>
    <w:rsid w:val="0ABD66CF"/>
    <w:rsid w:val="0ABF7CCC"/>
    <w:rsid w:val="0AD565C3"/>
    <w:rsid w:val="0AE07936"/>
    <w:rsid w:val="0AE9763E"/>
    <w:rsid w:val="0AF4531E"/>
    <w:rsid w:val="0B18130C"/>
    <w:rsid w:val="0B1A4955"/>
    <w:rsid w:val="0B1B16BD"/>
    <w:rsid w:val="0B1B66BD"/>
    <w:rsid w:val="0B1D52AB"/>
    <w:rsid w:val="0B34514F"/>
    <w:rsid w:val="0B3947D9"/>
    <w:rsid w:val="0B5A77FD"/>
    <w:rsid w:val="0B7A10C9"/>
    <w:rsid w:val="0B840455"/>
    <w:rsid w:val="0BAA2618"/>
    <w:rsid w:val="0BF2721A"/>
    <w:rsid w:val="0BFD472B"/>
    <w:rsid w:val="0C046185"/>
    <w:rsid w:val="0C08752D"/>
    <w:rsid w:val="0C3C11C6"/>
    <w:rsid w:val="0C410C2B"/>
    <w:rsid w:val="0C5A453B"/>
    <w:rsid w:val="0C75638A"/>
    <w:rsid w:val="0C774FBD"/>
    <w:rsid w:val="0C955E46"/>
    <w:rsid w:val="0CA423D6"/>
    <w:rsid w:val="0CB43BE0"/>
    <w:rsid w:val="0CC404B0"/>
    <w:rsid w:val="0CC93AC5"/>
    <w:rsid w:val="0CE24CC4"/>
    <w:rsid w:val="0CE973E4"/>
    <w:rsid w:val="0CF04E10"/>
    <w:rsid w:val="0D035C1B"/>
    <w:rsid w:val="0D062FC9"/>
    <w:rsid w:val="0D073CAC"/>
    <w:rsid w:val="0D165EEB"/>
    <w:rsid w:val="0D172C27"/>
    <w:rsid w:val="0D2E7445"/>
    <w:rsid w:val="0D433A76"/>
    <w:rsid w:val="0D4E744E"/>
    <w:rsid w:val="0D500031"/>
    <w:rsid w:val="0D6D7936"/>
    <w:rsid w:val="0D7F1609"/>
    <w:rsid w:val="0DA17F56"/>
    <w:rsid w:val="0DA74823"/>
    <w:rsid w:val="0DC14333"/>
    <w:rsid w:val="0DE13A3C"/>
    <w:rsid w:val="0DF10B7B"/>
    <w:rsid w:val="0DF324BD"/>
    <w:rsid w:val="0E040BE6"/>
    <w:rsid w:val="0E0C7101"/>
    <w:rsid w:val="0E337100"/>
    <w:rsid w:val="0E5270C5"/>
    <w:rsid w:val="0E692BC4"/>
    <w:rsid w:val="0E845FF0"/>
    <w:rsid w:val="0E8544BF"/>
    <w:rsid w:val="0E932C48"/>
    <w:rsid w:val="0EBE4DDC"/>
    <w:rsid w:val="0EC24749"/>
    <w:rsid w:val="0ECB331B"/>
    <w:rsid w:val="0EDE30B9"/>
    <w:rsid w:val="0EF6176A"/>
    <w:rsid w:val="0F022FE2"/>
    <w:rsid w:val="0F181733"/>
    <w:rsid w:val="0F184D11"/>
    <w:rsid w:val="0F19451D"/>
    <w:rsid w:val="0F204F36"/>
    <w:rsid w:val="0F291A00"/>
    <w:rsid w:val="0F366B49"/>
    <w:rsid w:val="0F3B3443"/>
    <w:rsid w:val="0F426EEA"/>
    <w:rsid w:val="0F460052"/>
    <w:rsid w:val="0F57095D"/>
    <w:rsid w:val="0F9E69EB"/>
    <w:rsid w:val="0FA84F60"/>
    <w:rsid w:val="0FBF7694"/>
    <w:rsid w:val="0FC55B54"/>
    <w:rsid w:val="0FC944A5"/>
    <w:rsid w:val="0FCB62E3"/>
    <w:rsid w:val="0FD30F60"/>
    <w:rsid w:val="0FD45D83"/>
    <w:rsid w:val="0FD96CD3"/>
    <w:rsid w:val="0FFD129C"/>
    <w:rsid w:val="100306B7"/>
    <w:rsid w:val="1008065C"/>
    <w:rsid w:val="103A50AD"/>
    <w:rsid w:val="10403240"/>
    <w:rsid w:val="105D5919"/>
    <w:rsid w:val="109D04CD"/>
    <w:rsid w:val="109E3B6C"/>
    <w:rsid w:val="10AD07BE"/>
    <w:rsid w:val="10AF44F9"/>
    <w:rsid w:val="10CE6CD7"/>
    <w:rsid w:val="10D66461"/>
    <w:rsid w:val="10DD0E42"/>
    <w:rsid w:val="10E429C9"/>
    <w:rsid w:val="1102188C"/>
    <w:rsid w:val="11252D80"/>
    <w:rsid w:val="11420A5E"/>
    <w:rsid w:val="11586810"/>
    <w:rsid w:val="118872E3"/>
    <w:rsid w:val="119E10D0"/>
    <w:rsid w:val="11A805AD"/>
    <w:rsid w:val="11AC0C43"/>
    <w:rsid w:val="11B432DE"/>
    <w:rsid w:val="11B842ED"/>
    <w:rsid w:val="11BA7293"/>
    <w:rsid w:val="11BD0CCA"/>
    <w:rsid w:val="11D8320F"/>
    <w:rsid w:val="11DC1482"/>
    <w:rsid w:val="12000937"/>
    <w:rsid w:val="122D6C63"/>
    <w:rsid w:val="12364A90"/>
    <w:rsid w:val="12367057"/>
    <w:rsid w:val="12386078"/>
    <w:rsid w:val="123B45B2"/>
    <w:rsid w:val="123C0AEE"/>
    <w:rsid w:val="124A5DFC"/>
    <w:rsid w:val="124B0617"/>
    <w:rsid w:val="125F57D8"/>
    <w:rsid w:val="12711948"/>
    <w:rsid w:val="12935FE0"/>
    <w:rsid w:val="12A0090D"/>
    <w:rsid w:val="12B34845"/>
    <w:rsid w:val="12C73C1B"/>
    <w:rsid w:val="132C39A5"/>
    <w:rsid w:val="133E1B0D"/>
    <w:rsid w:val="13744834"/>
    <w:rsid w:val="1378768A"/>
    <w:rsid w:val="13814C70"/>
    <w:rsid w:val="13A75EC2"/>
    <w:rsid w:val="13C723DD"/>
    <w:rsid w:val="13C9573D"/>
    <w:rsid w:val="13DB3E6F"/>
    <w:rsid w:val="13DF6F57"/>
    <w:rsid w:val="13E01742"/>
    <w:rsid w:val="13EC2F21"/>
    <w:rsid w:val="13EF63BD"/>
    <w:rsid w:val="14104007"/>
    <w:rsid w:val="143C791C"/>
    <w:rsid w:val="145033F2"/>
    <w:rsid w:val="146B6E84"/>
    <w:rsid w:val="14776E15"/>
    <w:rsid w:val="14942216"/>
    <w:rsid w:val="149A0B32"/>
    <w:rsid w:val="14CA1052"/>
    <w:rsid w:val="14CA3BA5"/>
    <w:rsid w:val="14CB4DB3"/>
    <w:rsid w:val="14E3727B"/>
    <w:rsid w:val="14F8451B"/>
    <w:rsid w:val="15081A73"/>
    <w:rsid w:val="153A6B4A"/>
    <w:rsid w:val="15497209"/>
    <w:rsid w:val="156718B4"/>
    <w:rsid w:val="15694377"/>
    <w:rsid w:val="156F15B2"/>
    <w:rsid w:val="156F3EB5"/>
    <w:rsid w:val="159211A2"/>
    <w:rsid w:val="15A21AE0"/>
    <w:rsid w:val="15A74564"/>
    <w:rsid w:val="15A93EBD"/>
    <w:rsid w:val="15AD12A6"/>
    <w:rsid w:val="15B527DE"/>
    <w:rsid w:val="15BF4E6D"/>
    <w:rsid w:val="15C52343"/>
    <w:rsid w:val="15C77B49"/>
    <w:rsid w:val="15DC4A28"/>
    <w:rsid w:val="15E6499B"/>
    <w:rsid w:val="16060405"/>
    <w:rsid w:val="161D4F59"/>
    <w:rsid w:val="163152AD"/>
    <w:rsid w:val="163F3D34"/>
    <w:rsid w:val="164D5135"/>
    <w:rsid w:val="167571D5"/>
    <w:rsid w:val="167D4E6D"/>
    <w:rsid w:val="16B63BA3"/>
    <w:rsid w:val="16BA03E0"/>
    <w:rsid w:val="16D42358"/>
    <w:rsid w:val="16D720AF"/>
    <w:rsid w:val="16F510EA"/>
    <w:rsid w:val="17042AD3"/>
    <w:rsid w:val="17435F1C"/>
    <w:rsid w:val="17571508"/>
    <w:rsid w:val="175B70E2"/>
    <w:rsid w:val="176546C5"/>
    <w:rsid w:val="179153C8"/>
    <w:rsid w:val="17BF6F65"/>
    <w:rsid w:val="18024791"/>
    <w:rsid w:val="181A10A0"/>
    <w:rsid w:val="18365552"/>
    <w:rsid w:val="18391F58"/>
    <w:rsid w:val="18491850"/>
    <w:rsid w:val="185B70BB"/>
    <w:rsid w:val="186D54C7"/>
    <w:rsid w:val="187C4929"/>
    <w:rsid w:val="187E6C5C"/>
    <w:rsid w:val="189C3E6E"/>
    <w:rsid w:val="18AB1106"/>
    <w:rsid w:val="18C60E71"/>
    <w:rsid w:val="18D679A9"/>
    <w:rsid w:val="18D74BFA"/>
    <w:rsid w:val="18E01E70"/>
    <w:rsid w:val="18F37254"/>
    <w:rsid w:val="191E3F25"/>
    <w:rsid w:val="19255180"/>
    <w:rsid w:val="192F5FCB"/>
    <w:rsid w:val="193B6202"/>
    <w:rsid w:val="19405BC9"/>
    <w:rsid w:val="1943749F"/>
    <w:rsid w:val="195E5AEC"/>
    <w:rsid w:val="19607FFC"/>
    <w:rsid w:val="19680C7F"/>
    <w:rsid w:val="19790226"/>
    <w:rsid w:val="198357F2"/>
    <w:rsid w:val="19A8502B"/>
    <w:rsid w:val="19B41A97"/>
    <w:rsid w:val="19E45FBB"/>
    <w:rsid w:val="19E47931"/>
    <w:rsid w:val="19EC4A81"/>
    <w:rsid w:val="19F22787"/>
    <w:rsid w:val="1A154F48"/>
    <w:rsid w:val="1A235842"/>
    <w:rsid w:val="1A2A57F1"/>
    <w:rsid w:val="1A3948AA"/>
    <w:rsid w:val="1A477B3C"/>
    <w:rsid w:val="1A502852"/>
    <w:rsid w:val="1A5E2637"/>
    <w:rsid w:val="1A600BA2"/>
    <w:rsid w:val="1A6D64AE"/>
    <w:rsid w:val="1A7A7359"/>
    <w:rsid w:val="1A850620"/>
    <w:rsid w:val="1A9A79BF"/>
    <w:rsid w:val="1AA5237F"/>
    <w:rsid w:val="1ABB636E"/>
    <w:rsid w:val="1AC97069"/>
    <w:rsid w:val="1AD95B99"/>
    <w:rsid w:val="1AE45A56"/>
    <w:rsid w:val="1AEA6E3A"/>
    <w:rsid w:val="1AEB088C"/>
    <w:rsid w:val="1AEF1A55"/>
    <w:rsid w:val="1AF7698C"/>
    <w:rsid w:val="1B0E56D7"/>
    <w:rsid w:val="1B105105"/>
    <w:rsid w:val="1B1F2C1C"/>
    <w:rsid w:val="1B2B6D1B"/>
    <w:rsid w:val="1B3E33A4"/>
    <w:rsid w:val="1B4E400E"/>
    <w:rsid w:val="1B883458"/>
    <w:rsid w:val="1B9C3D98"/>
    <w:rsid w:val="1BA10774"/>
    <w:rsid w:val="1BD02D5A"/>
    <w:rsid w:val="1BD23BE5"/>
    <w:rsid w:val="1BED4184"/>
    <w:rsid w:val="1BF61E22"/>
    <w:rsid w:val="1BF90081"/>
    <w:rsid w:val="1C1112A0"/>
    <w:rsid w:val="1C145C28"/>
    <w:rsid w:val="1C160BC6"/>
    <w:rsid w:val="1C2F5B5F"/>
    <w:rsid w:val="1C535A38"/>
    <w:rsid w:val="1C5702B7"/>
    <w:rsid w:val="1C5A57EC"/>
    <w:rsid w:val="1C632559"/>
    <w:rsid w:val="1C7A4094"/>
    <w:rsid w:val="1C8076AC"/>
    <w:rsid w:val="1C85796E"/>
    <w:rsid w:val="1C9175FE"/>
    <w:rsid w:val="1C985C1E"/>
    <w:rsid w:val="1CA00FB0"/>
    <w:rsid w:val="1CAD36D0"/>
    <w:rsid w:val="1CDD418E"/>
    <w:rsid w:val="1D071379"/>
    <w:rsid w:val="1D0F2284"/>
    <w:rsid w:val="1D0F651C"/>
    <w:rsid w:val="1D186248"/>
    <w:rsid w:val="1D1950F6"/>
    <w:rsid w:val="1D1D0F02"/>
    <w:rsid w:val="1D3475C4"/>
    <w:rsid w:val="1D4829FA"/>
    <w:rsid w:val="1D5149D2"/>
    <w:rsid w:val="1D517B37"/>
    <w:rsid w:val="1D8043C9"/>
    <w:rsid w:val="1D8B21AF"/>
    <w:rsid w:val="1D9069E8"/>
    <w:rsid w:val="1D9735BB"/>
    <w:rsid w:val="1DB06877"/>
    <w:rsid w:val="1DC3437B"/>
    <w:rsid w:val="1DE25B92"/>
    <w:rsid w:val="1DED02AA"/>
    <w:rsid w:val="1E104D86"/>
    <w:rsid w:val="1E2E718E"/>
    <w:rsid w:val="1E50457A"/>
    <w:rsid w:val="1E583A07"/>
    <w:rsid w:val="1E5C2732"/>
    <w:rsid w:val="1E8F793B"/>
    <w:rsid w:val="1EB57B82"/>
    <w:rsid w:val="1EC42155"/>
    <w:rsid w:val="1ECB1F74"/>
    <w:rsid w:val="1EDA7F0B"/>
    <w:rsid w:val="1F095B09"/>
    <w:rsid w:val="1F0D5E8D"/>
    <w:rsid w:val="1F0D6A59"/>
    <w:rsid w:val="1F2757CF"/>
    <w:rsid w:val="1F3B2440"/>
    <w:rsid w:val="1F3D57A8"/>
    <w:rsid w:val="1F6701DA"/>
    <w:rsid w:val="1F793673"/>
    <w:rsid w:val="1F895D43"/>
    <w:rsid w:val="1F8E2057"/>
    <w:rsid w:val="1F9F402C"/>
    <w:rsid w:val="1F9F4516"/>
    <w:rsid w:val="1FA8285A"/>
    <w:rsid w:val="1FAB5A21"/>
    <w:rsid w:val="1FB24926"/>
    <w:rsid w:val="1FC069D1"/>
    <w:rsid w:val="1FC55F32"/>
    <w:rsid w:val="1FCF7380"/>
    <w:rsid w:val="1FEA2B63"/>
    <w:rsid w:val="1FEF2429"/>
    <w:rsid w:val="1FEF63F0"/>
    <w:rsid w:val="201153D9"/>
    <w:rsid w:val="20146B69"/>
    <w:rsid w:val="20173F5C"/>
    <w:rsid w:val="201D2F98"/>
    <w:rsid w:val="203336F4"/>
    <w:rsid w:val="203915C0"/>
    <w:rsid w:val="204F06C7"/>
    <w:rsid w:val="2054468E"/>
    <w:rsid w:val="20570C17"/>
    <w:rsid w:val="2075634D"/>
    <w:rsid w:val="20922056"/>
    <w:rsid w:val="20A011B7"/>
    <w:rsid w:val="20A11B28"/>
    <w:rsid w:val="20A464EA"/>
    <w:rsid w:val="20D91945"/>
    <w:rsid w:val="20E2221C"/>
    <w:rsid w:val="21013C0B"/>
    <w:rsid w:val="2105452E"/>
    <w:rsid w:val="210844F1"/>
    <w:rsid w:val="214A21BE"/>
    <w:rsid w:val="217203F3"/>
    <w:rsid w:val="2192285C"/>
    <w:rsid w:val="21AE7616"/>
    <w:rsid w:val="21B13686"/>
    <w:rsid w:val="21B87425"/>
    <w:rsid w:val="21E40597"/>
    <w:rsid w:val="22097856"/>
    <w:rsid w:val="22124FA0"/>
    <w:rsid w:val="22436C2A"/>
    <w:rsid w:val="226E25D2"/>
    <w:rsid w:val="22767DCE"/>
    <w:rsid w:val="22822B80"/>
    <w:rsid w:val="22970225"/>
    <w:rsid w:val="22A7778F"/>
    <w:rsid w:val="22AE402B"/>
    <w:rsid w:val="22B17903"/>
    <w:rsid w:val="22DD4407"/>
    <w:rsid w:val="22E05C94"/>
    <w:rsid w:val="22E345AB"/>
    <w:rsid w:val="233B3A6A"/>
    <w:rsid w:val="23501216"/>
    <w:rsid w:val="23597AC9"/>
    <w:rsid w:val="235A56BD"/>
    <w:rsid w:val="236731B9"/>
    <w:rsid w:val="23837DBA"/>
    <w:rsid w:val="23A55522"/>
    <w:rsid w:val="23D42613"/>
    <w:rsid w:val="23D50F60"/>
    <w:rsid w:val="23D52B4F"/>
    <w:rsid w:val="23D674F2"/>
    <w:rsid w:val="23D87294"/>
    <w:rsid w:val="23DB773B"/>
    <w:rsid w:val="23DF0B45"/>
    <w:rsid w:val="23F7138C"/>
    <w:rsid w:val="24043E1F"/>
    <w:rsid w:val="2406710D"/>
    <w:rsid w:val="24091D3A"/>
    <w:rsid w:val="240C762B"/>
    <w:rsid w:val="242000CF"/>
    <w:rsid w:val="243D1F05"/>
    <w:rsid w:val="24424BFF"/>
    <w:rsid w:val="2446588D"/>
    <w:rsid w:val="24512501"/>
    <w:rsid w:val="24632F1C"/>
    <w:rsid w:val="24844C11"/>
    <w:rsid w:val="248C68AA"/>
    <w:rsid w:val="24940EE2"/>
    <w:rsid w:val="24957F21"/>
    <w:rsid w:val="24AD72D2"/>
    <w:rsid w:val="24BA3B75"/>
    <w:rsid w:val="24D12554"/>
    <w:rsid w:val="24EB7FB5"/>
    <w:rsid w:val="24F87246"/>
    <w:rsid w:val="250D6929"/>
    <w:rsid w:val="251E3E54"/>
    <w:rsid w:val="2524032F"/>
    <w:rsid w:val="25257ED3"/>
    <w:rsid w:val="252A4034"/>
    <w:rsid w:val="2539133C"/>
    <w:rsid w:val="253A6E1C"/>
    <w:rsid w:val="254F5BD4"/>
    <w:rsid w:val="256504A3"/>
    <w:rsid w:val="25A5060F"/>
    <w:rsid w:val="25B44EA3"/>
    <w:rsid w:val="25C257A3"/>
    <w:rsid w:val="25C4249C"/>
    <w:rsid w:val="25D41950"/>
    <w:rsid w:val="25D55085"/>
    <w:rsid w:val="25E25300"/>
    <w:rsid w:val="25E9496B"/>
    <w:rsid w:val="26283B81"/>
    <w:rsid w:val="266430A0"/>
    <w:rsid w:val="267A5DCD"/>
    <w:rsid w:val="268462BB"/>
    <w:rsid w:val="268769D3"/>
    <w:rsid w:val="26895FAC"/>
    <w:rsid w:val="269041EF"/>
    <w:rsid w:val="26AA4A7F"/>
    <w:rsid w:val="26E85956"/>
    <w:rsid w:val="26ED4984"/>
    <w:rsid w:val="26F41495"/>
    <w:rsid w:val="26F83884"/>
    <w:rsid w:val="270C6FB0"/>
    <w:rsid w:val="270F66DC"/>
    <w:rsid w:val="272356B1"/>
    <w:rsid w:val="27291654"/>
    <w:rsid w:val="272B722C"/>
    <w:rsid w:val="27326CE9"/>
    <w:rsid w:val="275C0224"/>
    <w:rsid w:val="275F42AB"/>
    <w:rsid w:val="2777394E"/>
    <w:rsid w:val="27837746"/>
    <w:rsid w:val="279055E1"/>
    <w:rsid w:val="279450D3"/>
    <w:rsid w:val="27BA3F0D"/>
    <w:rsid w:val="27BB6F4E"/>
    <w:rsid w:val="281B639F"/>
    <w:rsid w:val="28337550"/>
    <w:rsid w:val="283408F2"/>
    <w:rsid w:val="28361E74"/>
    <w:rsid w:val="284731AD"/>
    <w:rsid w:val="287F0E26"/>
    <w:rsid w:val="28843587"/>
    <w:rsid w:val="289803B8"/>
    <w:rsid w:val="292F312A"/>
    <w:rsid w:val="2976165B"/>
    <w:rsid w:val="29A7330A"/>
    <w:rsid w:val="29AB2C9D"/>
    <w:rsid w:val="29D07EA6"/>
    <w:rsid w:val="29FB62B2"/>
    <w:rsid w:val="2A030261"/>
    <w:rsid w:val="2A180B0E"/>
    <w:rsid w:val="2A2A4E89"/>
    <w:rsid w:val="2A421C9B"/>
    <w:rsid w:val="2A425E95"/>
    <w:rsid w:val="2A4F4E72"/>
    <w:rsid w:val="2A530049"/>
    <w:rsid w:val="2A5C189E"/>
    <w:rsid w:val="2A793977"/>
    <w:rsid w:val="2A7B7F5B"/>
    <w:rsid w:val="2A7C4F98"/>
    <w:rsid w:val="2A946224"/>
    <w:rsid w:val="2AAC5AB3"/>
    <w:rsid w:val="2AF36A2E"/>
    <w:rsid w:val="2B0C6E11"/>
    <w:rsid w:val="2B120F9F"/>
    <w:rsid w:val="2B3A677B"/>
    <w:rsid w:val="2B3A7DF8"/>
    <w:rsid w:val="2B5D3D8E"/>
    <w:rsid w:val="2B702D8A"/>
    <w:rsid w:val="2B723711"/>
    <w:rsid w:val="2B907666"/>
    <w:rsid w:val="2BA142ED"/>
    <w:rsid w:val="2BA3194D"/>
    <w:rsid w:val="2BB66224"/>
    <w:rsid w:val="2BB70D23"/>
    <w:rsid w:val="2BC522D0"/>
    <w:rsid w:val="2BC9437C"/>
    <w:rsid w:val="2BD778D4"/>
    <w:rsid w:val="2BDC5375"/>
    <w:rsid w:val="2BE60BF2"/>
    <w:rsid w:val="2BE64369"/>
    <w:rsid w:val="2BF6602A"/>
    <w:rsid w:val="2BFB0A66"/>
    <w:rsid w:val="2BFE0515"/>
    <w:rsid w:val="2C015E32"/>
    <w:rsid w:val="2C1649BF"/>
    <w:rsid w:val="2C50287F"/>
    <w:rsid w:val="2C6746F2"/>
    <w:rsid w:val="2C6F42E7"/>
    <w:rsid w:val="2C731681"/>
    <w:rsid w:val="2C963F14"/>
    <w:rsid w:val="2CA2792B"/>
    <w:rsid w:val="2CAD20C8"/>
    <w:rsid w:val="2CC335F2"/>
    <w:rsid w:val="2CC46855"/>
    <w:rsid w:val="2CC909FC"/>
    <w:rsid w:val="2CCC588B"/>
    <w:rsid w:val="2CCE15EB"/>
    <w:rsid w:val="2CDB0B58"/>
    <w:rsid w:val="2CE36EB0"/>
    <w:rsid w:val="2D2E573E"/>
    <w:rsid w:val="2D323CB8"/>
    <w:rsid w:val="2D4C64ED"/>
    <w:rsid w:val="2D500E89"/>
    <w:rsid w:val="2D574E84"/>
    <w:rsid w:val="2D711BC5"/>
    <w:rsid w:val="2D7925B9"/>
    <w:rsid w:val="2D893657"/>
    <w:rsid w:val="2D9B68F7"/>
    <w:rsid w:val="2DB70046"/>
    <w:rsid w:val="2DBA2A4D"/>
    <w:rsid w:val="2DD012A7"/>
    <w:rsid w:val="2DE05843"/>
    <w:rsid w:val="2DEE0A33"/>
    <w:rsid w:val="2E1019B8"/>
    <w:rsid w:val="2E210E31"/>
    <w:rsid w:val="2E23416F"/>
    <w:rsid w:val="2E262AA2"/>
    <w:rsid w:val="2E2C0537"/>
    <w:rsid w:val="2E2C1A56"/>
    <w:rsid w:val="2E4436C8"/>
    <w:rsid w:val="2E4A3AC1"/>
    <w:rsid w:val="2E6455D4"/>
    <w:rsid w:val="2E6C7859"/>
    <w:rsid w:val="2E8C2EF4"/>
    <w:rsid w:val="2E9C37B8"/>
    <w:rsid w:val="2EA051D3"/>
    <w:rsid w:val="2EA54E64"/>
    <w:rsid w:val="2EA61350"/>
    <w:rsid w:val="2EB36727"/>
    <w:rsid w:val="2EB51650"/>
    <w:rsid w:val="2EBC06B9"/>
    <w:rsid w:val="2EBE43C4"/>
    <w:rsid w:val="2EC525C8"/>
    <w:rsid w:val="2ED23F81"/>
    <w:rsid w:val="2EE4243C"/>
    <w:rsid w:val="2EEE7E66"/>
    <w:rsid w:val="2EF26DE4"/>
    <w:rsid w:val="2EFE4290"/>
    <w:rsid w:val="2F1F0E0C"/>
    <w:rsid w:val="2F3D282E"/>
    <w:rsid w:val="2F43478B"/>
    <w:rsid w:val="2F4566A9"/>
    <w:rsid w:val="2F5217B4"/>
    <w:rsid w:val="2F573957"/>
    <w:rsid w:val="2F6974F3"/>
    <w:rsid w:val="2F7C26FE"/>
    <w:rsid w:val="2F9A4E22"/>
    <w:rsid w:val="2F9D711F"/>
    <w:rsid w:val="2FA859A7"/>
    <w:rsid w:val="2FC42CBB"/>
    <w:rsid w:val="2FCC7B48"/>
    <w:rsid w:val="2FD40DC7"/>
    <w:rsid w:val="2FE15537"/>
    <w:rsid w:val="30355522"/>
    <w:rsid w:val="303A5FC1"/>
    <w:rsid w:val="304E0FDE"/>
    <w:rsid w:val="30555469"/>
    <w:rsid w:val="305C2F6C"/>
    <w:rsid w:val="305D7510"/>
    <w:rsid w:val="305F7018"/>
    <w:rsid w:val="307210B7"/>
    <w:rsid w:val="30794473"/>
    <w:rsid w:val="308228BB"/>
    <w:rsid w:val="308F3097"/>
    <w:rsid w:val="30954ABC"/>
    <w:rsid w:val="309638A9"/>
    <w:rsid w:val="309707B4"/>
    <w:rsid w:val="309F6422"/>
    <w:rsid w:val="30A21437"/>
    <w:rsid w:val="30A42555"/>
    <w:rsid w:val="30AE3E11"/>
    <w:rsid w:val="30AE5683"/>
    <w:rsid w:val="30B139D6"/>
    <w:rsid w:val="30BF03E3"/>
    <w:rsid w:val="30D7607D"/>
    <w:rsid w:val="30E03CFB"/>
    <w:rsid w:val="30EA784A"/>
    <w:rsid w:val="30F27BA3"/>
    <w:rsid w:val="30FF6DF1"/>
    <w:rsid w:val="310A7D01"/>
    <w:rsid w:val="3131498D"/>
    <w:rsid w:val="31386C32"/>
    <w:rsid w:val="315324E3"/>
    <w:rsid w:val="31763CDC"/>
    <w:rsid w:val="317912CF"/>
    <w:rsid w:val="31796A20"/>
    <w:rsid w:val="318538F3"/>
    <w:rsid w:val="31957A46"/>
    <w:rsid w:val="31A20AC7"/>
    <w:rsid w:val="31A87802"/>
    <w:rsid w:val="31B303C6"/>
    <w:rsid w:val="31D72ECA"/>
    <w:rsid w:val="31D77320"/>
    <w:rsid w:val="31D82C37"/>
    <w:rsid w:val="31EE6C1A"/>
    <w:rsid w:val="31F23B1C"/>
    <w:rsid w:val="31F94323"/>
    <w:rsid w:val="32015662"/>
    <w:rsid w:val="32344E80"/>
    <w:rsid w:val="325F21FE"/>
    <w:rsid w:val="326F4770"/>
    <w:rsid w:val="326F6BDA"/>
    <w:rsid w:val="32745ED6"/>
    <w:rsid w:val="327D121A"/>
    <w:rsid w:val="328E7AE3"/>
    <w:rsid w:val="329C27FE"/>
    <w:rsid w:val="32B94561"/>
    <w:rsid w:val="32C41C74"/>
    <w:rsid w:val="32D05D1D"/>
    <w:rsid w:val="32DC21DB"/>
    <w:rsid w:val="32E553E6"/>
    <w:rsid w:val="32EF47C4"/>
    <w:rsid w:val="331C5836"/>
    <w:rsid w:val="332C380D"/>
    <w:rsid w:val="332D6CAC"/>
    <w:rsid w:val="334E10D3"/>
    <w:rsid w:val="33586E2D"/>
    <w:rsid w:val="3366103F"/>
    <w:rsid w:val="337D33EB"/>
    <w:rsid w:val="338437D3"/>
    <w:rsid w:val="33B83E62"/>
    <w:rsid w:val="33BA2A88"/>
    <w:rsid w:val="33C57445"/>
    <w:rsid w:val="33CE03F9"/>
    <w:rsid w:val="33E65CFE"/>
    <w:rsid w:val="33F74F84"/>
    <w:rsid w:val="33F91E2F"/>
    <w:rsid w:val="34077365"/>
    <w:rsid w:val="342C58BA"/>
    <w:rsid w:val="34351241"/>
    <w:rsid w:val="34404D2F"/>
    <w:rsid w:val="34457823"/>
    <w:rsid w:val="34616B98"/>
    <w:rsid w:val="349072AE"/>
    <w:rsid w:val="34950D1F"/>
    <w:rsid w:val="34A601BD"/>
    <w:rsid w:val="34A80681"/>
    <w:rsid w:val="34AC0ED5"/>
    <w:rsid w:val="34AD7BB3"/>
    <w:rsid w:val="34B332AF"/>
    <w:rsid w:val="34BE002F"/>
    <w:rsid w:val="34D80354"/>
    <w:rsid w:val="34E04EDC"/>
    <w:rsid w:val="34E069B4"/>
    <w:rsid w:val="350C4464"/>
    <w:rsid w:val="35101BF6"/>
    <w:rsid w:val="35200A50"/>
    <w:rsid w:val="353035D2"/>
    <w:rsid w:val="35380C7A"/>
    <w:rsid w:val="354C3998"/>
    <w:rsid w:val="356F39E0"/>
    <w:rsid w:val="357618D2"/>
    <w:rsid w:val="35992A80"/>
    <w:rsid w:val="35B6337A"/>
    <w:rsid w:val="35C71F28"/>
    <w:rsid w:val="35CE69F4"/>
    <w:rsid w:val="35D02C3A"/>
    <w:rsid w:val="35D4610D"/>
    <w:rsid w:val="35D902E0"/>
    <w:rsid w:val="35EC45E0"/>
    <w:rsid w:val="35F56D43"/>
    <w:rsid w:val="36013627"/>
    <w:rsid w:val="3604524B"/>
    <w:rsid w:val="364C322D"/>
    <w:rsid w:val="36553D90"/>
    <w:rsid w:val="366B71F2"/>
    <w:rsid w:val="366D2428"/>
    <w:rsid w:val="36760DF9"/>
    <w:rsid w:val="36827777"/>
    <w:rsid w:val="36A2121B"/>
    <w:rsid w:val="36A70B78"/>
    <w:rsid w:val="36A82AB0"/>
    <w:rsid w:val="36CC14DB"/>
    <w:rsid w:val="36F3070F"/>
    <w:rsid w:val="36FC4315"/>
    <w:rsid w:val="370F6531"/>
    <w:rsid w:val="371A0B46"/>
    <w:rsid w:val="373735A9"/>
    <w:rsid w:val="373A6A13"/>
    <w:rsid w:val="374F01DA"/>
    <w:rsid w:val="37667C6B"/>
    <w:rsid w:val="37752275"/>
    <w:rsid w:val="377F554A"/>
    <w:rsid w:val="37900ED1"/>
    <w:rsid w:val="37967624"/>
    <w:rsid w:val="379F566D"/>
    <w:rsid w:val="37D2493D"/>
    <w:rsid w:val="37DA3B4C"/>
    <w:rsid w:val="37E03AB1"/>
    <w:rsid w:val="37F3316A"/>
    <w:rsid w:val="3830531D"/>
    <w:rsid w:val="38391A53"/>
    <w:rsid w:val="38710182"/>
    <w:rsid w:val="387462EB"/>
    <w:rsid w:val="38765A38"/>
    <w:rsid w:val="387A4D72"/>
    <w:rsid w:val="38841C6E"/>
    <w:rsid w:val="388654B0"/>
    <w:rsid w:val="388C39CA"/>
    <w:rsid w:val="388D537A"/>
    <w:rsid w:val="38DA7387"/>
    <w:rsid w:val="38DC2EC8"/>
    <w:rsid w:val="38E2448E"/>
    <w:rsid w:val="39135045"/>
    <w:rsid w:val="39136297"/>
    <w:rsid w:val="39144B31"/>
    <w:rsid w:val="39213BF1"/>
    <w:rsid w:val="39285786"/>
    <w:rsid w:val="392C5BAD"/>
    <w:rsid w:val="39312C73"/>
    <w:rsid w:val="393951BC"/>
    <w:rsid w:val="393D3041"/>
    <w:rsid w:val="397E28B1"/>
    <w:rsid w:val="39852CAA"/>
    <w:rsid w:val="39AC09FA"/>
    <w:rsid w:val="39B27155"/>
    <w:rsid w:val="39B96B73"/>
    <w:rsid w:val="39FD72A7"/>
    <w:rsid w:val="3A0540E4"/>
    <w:rsid w:val="3A39302A"/>
    <w:rsid w:val="3A4C23CB"/>
    <w:rsid w:val="3A503A1B"/>
    <w:rsid w:val="3A5740FC"/>
    <w:rsid w:val="3A6122C6"/>
    <w:rsid w:val="3A7D5DBC"/>
    <w:rsid w:val="3A851CF2"/>
    <w:rsid w:val="3A90787A"/>
    <w:rsid w:val="3A993E59"/>
    <w:rsid w:val="3AB16CD2"/>
    <w:rsid w:val="3AB243FE"/>
    <w:rsid w:val="3AC84CC9"/>
    <w:rsid w:val="3B0C19FE"/>
    <w:rsid w:val="3B0D14F2"/>
    <w:rsid w:val="3B197F8C"/>
    <w:rsid w:val="3B281E68"/>
    <w:rsid w:val="3B345D52"/>
    <w:rsid w:val="3B4921A7"/>
    <w:rsid w:val="3B540E92"/>
    <w:rsid w:val="3B627A8D"/>
    <w:rsid w:val="3B6406D4"/>
    <w:rsid w:val="3B7B6BBF"/>
    <w:rsid w:val="3B83008F"/>
    <w:rsid w:val="3B917EAA"/>
    <w:rsid w:val="3B956D1E"/>
    <w:rsid w:val="3B9845BF"/>
    <w:rsid w:val="3B9D26EA"/>
    <w:rsid w:val="3B9E67C6"/>
    <w:rsid w:val="3BB35963"/>
    <w:rsid w:val="3BE936C9"/>
    <w:rsid w:val="3C004837"/>
    <w:rsid w:val="3C1B61F4"/>
    <w:rsid w:val="3C202EEB"/>
    <w:rsid w:val="3C322B00"/>
    <w:rsid w:val="3C452BB5"/>
    <w:rsid w:val="3C4647FE"/>
    <w:rsid w:val="3C472224"/>
    <w:rsid w:val="3C616A08"/>
    <w:rsid w:val="3C702E14"/>
    <w:rsid w:val="3C757996"/>
    <w:rsid w:val="3C916E59"/>
    <w:rsid w:val="3CA97971"/>
    <w:rsid w:val="3CC231F5"/>
    <w:rsid w:val="3CC9542E"/>
    <w:rsid w:val="3CE9599A"/>
    <w:rsid w:val="3CED6B84"/>
    <w:rsid w:val="3CF43443"/>
    <w:rsid w:val="3D0128A3"/>
    <w:rsid w:val="3D06047A"/>
    <w:rsid w:val="3D117A53"/>
    <w:rsid w:val="3D346BD9"/>
    <w:rsid w:val="3D3C64E0"/>
    <w:rsid w:val="3D527C90"/>
    <w:rsid w:val="3D527EEA"/>
    <w:rsid w:val="3D5E3582"/>
    <w:rsid w:val="3D695F19"/>
    <w:rsid w:val="3D7D16BE"/>
    <w:rsid w:val="3D966D6D"/>
    <w:rsid w:val="3D971DA8"/>
    <w:rsid w:val="3DBD5302"/>
    <w:rsid w:val="3DD23BCE"/>
    <w:rsid w:val="3DE56D78"/>
    <w:rsid w:val="3DEE2921"/>
    <w:rsid w:val="3DF24BED"/>
    <w:rsid w:val="3E121C4B"/>
    <w:rsid w:val="3E211BAA"/>
    <w:rsid w:val="3E221E36"/>
    <w:rsid w:val="3E2A312F"/>
    <w:rsid w:val="3E4140EC"/>
    <w:rsid w:val="3E623AF5"/>
    <w:rsid w:val="3E693DB6"/>
    <w:rsid w:val="3E6A4C15"/>
    <w:rsid w:val="3E72356E"/>
    <w:rsid w:val="3E9251ED"/>
    <w:rsid w:val="3EC13BBD"/>
    <w:rsid w:val="3ECC4266"/>
    <w:rsid w:val="3F084059"/>
    <w:rsid w:val="3F2E046D"/>
    <w:rsid w:val="3F2E1FD7"/>
    <w:rsid w:val="3F386C0E"/>
    <w:rsid w:val="3F3B2FAB"/>
    <w:rsid w:val="3F4165B8"/>
    <w:rsid w:val="3F561C06"/>
    <w:rsid w:val="3F585CC9"/>
    <w:rsid w:val="3F626C91"/>
    <w:rsid w:val="3F7F2076"/>
    <w:rsid w:val="3F801483"/>
    <w:rsid w:val="3F89558A"/>
    <w:rsid w:val="3FA36C4E"/>
    <w:rsid w:val="3FA4277E"/>
    <w:rsid w:val="3FA92653"/>
    <w:rsid w:val="3FAB5A97"/>
    <w:rsid w:val="3FB57C4F"/>
    <w:rsid w:val="3FC64F89"/>
    <w:rsid w:val="3FD16B2B"/>
    <w:rsid w:val="3FDD030C"/>
    <w:rsid w:val="3FEF04DA"/>
    <w:rsid w:val="3FF31CF3"/>
    <w:rsid w:val="3FF92665"/>
    <w:rsid w:val="40052486"/>
    <w:rsid w:val="402B5862"/>
    <w:rsid w:val="40420E2C"/>
    <w:rsid w:val="4042308D"/>
    <w:rsid w:val="404A47E6"/>
    <w:rsid w:val="40522D0E"/>
    <w:rsid w:val="40542644"/>
    <w:rsid w:val="40614C23"/>
    <w:rsid w:val="406839FF"/>
    <w:rsid w:val="40692DC0"/>
    <w:rsid w:val="409B5E03"/>
    <w:rsid w:val="409C4EBC"/>
    <w:rsid w:val="40A22E9A"/>
    <w:rsid w:val="40A30234"/>
    <w:rsid w:val="40BA1B0F"/>
    <w:rsid w:val="40DF6667"/>
    <w:rsid w:val="40E7031D"/>
    <w:rsid w:val="40EB5FB2"/>
    <w:rsid w:val="411C454D"/>
    <w:rsid w:val="411D6243"/>
    <w:rsid w:val="4155722D"/>
    <w:rsid w:val="415C37AD"/>
    <w:rsid w:val="41607264"/>
    <w:rsid w:val="416E6640"/>
    <w:rsid w:val="417901CB"/>
    <w:rsid w:val="418F559B"/>
    <w:rsid w:val="41943C5C"/>
    <w:rsid w:val="41982BE3"/>
    <w:rsid w:val="41AC2342"/>
    <w:rsid w:val="41B962A1"/>
    <w:rsid w:val="41DB17C5"/>
    <w:rsid w:val="41FA669C"/>
    <w:rsid w:val="42254B93"/>
    <w:rsid w:val="422F4116"/>
    <w:rsid w:val="422F7929"/>
    <w:rsid w:val="4235447A"/>
    <w:rsid w:val="423A32A4"/>
    <w:rsid w:val="424C645E"/>
    <w:rsid w:val="426C4AC6"/>
    <w:rsid w:val="42766080"/>
    <w:rsid w:val="42994621"/>
    <w:rsid w:val="42A91B85"/>
    <w:rsid w:val="42B537EB"/>
    <w:rsid w:val="42C52834"/>
    <w:rsid w:val="42C82FFF"/>
    <w:rsid w:val="43163FFF"/>
    <w:rsid w:val="4322192D"/>
    <w:rsid w:val="43280035"/>
    <w:rsid w:val="433D078C"/>
    <w:rsid w:val="43405D5A"/>
    <w:rsid w:val="434F267E"/>
    <w:rsid w:val="43652F6E"/>
    <w:rsid w:val="436D091F"/>
    <w:rsid w:val="43743857"/>
    <w:rsid w:val="437D47AD"/>
    <w:rsid w:val="438B296D"/>
    <w:rsid w:val="439A1C1F"/>
    <w:rsid w:val="43C00C87"/>
    <w:rsid w:val="43ED5CE6"/>
    <w:rsid w:val="43EE51A2"/>
    <w:rsid w:val="44154B91"/>
    <w:rsid w:val="441B014E"/>
    <w:rsid w:val="44317D57"/>
    <w:rsid w:val="44423F62"/>
    <w:rsid w:val="445703F7"/>
    <w:rsid w:val="44591481"/>
    <w:rsid w:val="448540D1"/>
    <w:rsid w:val="44897D47"/>
    <w:rsid w:val="44903C06"/>
    <w:rsid w:val="44AE416B"/>
    <w:rsid w:val="44C00B65"/>
    <w:rsid w:val="44C2734D"/>
    <w:rsid w:val="44E83504"/>
    <w:rsid w:val="44F37256"/>
    <w:rsid w:val="44F47372"/>
    <w:rsid w:val="44F476BF"/>
    <w:rsid w:val="453B12C8"/>
    <w:rsid w:val="453F3DE2"/>
    <w:rsid w:val="45672A02"/>
    <w:rsid w:val="45730E24"/>
    <w:rsid w:val="459F6C75"/>
    <w:rsid w:val="45A001CE"/>
    <w:rsid w:val="45B02F78"/>
    <w:rsid w:val="45B27446"/>
    <w:rsid w:val="45B708BF"/>
    <w:rsid w:val="45C83279"/>
    <w:rsid w:val="45C96E6B"/>
    <w:rsid w:val="45D23D21"/>
    <w:rsid w:val="45DA4009"/>
    <w:rsid w:val="45EA0E2A"/>
    <w:rsid w:val="45F02499"/>
    <w:rsid w:val="45FB1698"/>
    <w:rsid w:val="46472D82"/>
    <w:rsid w:val="46686CC2"/>
    <w:rsid w:val="46812132"/>
    <w:rsid w:val="469716D6"/>
    <w:rsid w:val="46B25A3B"/>
    <w:rsid w:val="46B51605"/>
    <w:rsid w:val="46D441EF"/>
    <w:rsid w:val="46E01A82"/>
    <w:rsid w:val="46EB1E84"/>
    <w:rsid w:val="47007F07"/>
    <w:rsid w:val="4719780C"/>
    <w:rsid w:val="47222788"/>
    <w:rsid w:val="476E4E1E"/>
    <w:rsid w:val="4770432A"/>
    <w:rsid w:val="47795A52"/>
    <w:rsid w:val="477C4726"/>
    <w:rsid w:val="47831ED1"/>
    <w:rsid w:val="47883D9C"/>
    <w:rsid w:val="479C43FF"/>
    <w:rsid w:val="47A06749"/>
    <w:rsid w:val="47AD52A2"/>
    <w:rsid w:val="47D51154"/>
    <w:rsid w:val="47DF55F2"/>
    <w:rsid w:val="4806235A"/>
    <w:rsid w:val="484E712C"/>
    <w:rsid w:val="485D604F"/>
    <w:rsid w:val="486508F3"/>
    <w:rsid w:val="486A7F40"/>
    <w:rsid w:val="487553E8"/>
    <w:rsid w:val="487B0E9C"/>
    <w:rsid w:val="487E7743"/>
    <w:rsid w:val="488A3778"/>
    <w:rsid w:val="488F2B55"/>
    <w:rsid w:val="48AA2E5E"/>
    <w:rsid w:val="48B2218A"/>
    <w:rsid w:val="48DE6CE0"/>
    <w:rsid w:val="48FB57E7"/>
    <w:rsid w:val="49062B5F"/>
    <w:rsid w:val="49204E4A"/>
    <w:rsid w:val="492C483C"/>
    <w:rsid w:val="493047C5"/>
    <w:rsid w:val="494732D5"/>
    <w:rsid w:val="49496897"/>
    <w:rsid w:val="49523BEE"/>
    <w:rsid w:val="49557E40"/>
    <w:rsid w:val="4980081E"/>
    <w:rsid w:val="498D038C"/>
    <w:rsid w:val="499C3A1D"/>
    <w:rsid w:val="49A7691C"/>
    <w:rsid w:val="49E05921"/>
    <w:rsid w:val="49E14178"/>
    <w:rsid w:val="49E4173F"/>
    <w:rsid w:val="49F07227"/>
    <w:rsid w:val="4A122762"/>
    <w:rsid w:val="4A1C7A27"/>
    <w:rsid w:val="4A2940F2"/>
    <w:rsid w:val="4A312BFC"/>
    <w:rsid w:val="4A5111C3"/>
    <w:rsid w:val="4A604E56"/>
    <w:rsid w:val="4A8633FB"/>
    <w:rsid w:val="4A89059F"/>
    <w:rsid w:val="4A8F4447"/>
    <w:rsid w:val="4AA33E3A"/>
    <w:rsid w:val="4AA667C2"/>
    <w:rsid w:val="4ABE27C7"/>
    <w:rsid w:val="4AE078DE"/>
    <w:rsid w:val="4B112FBF"/>
    <w:rsid w:val="4B1C3E21"/>
    <w:rsid w:val="4B2138A0"/>
    <w:rsid w:val="4B302ECB"/>
    <w:rsid w:val="4B3C779C"/>
    <w:rsid w:val="4B4B2E00"/>
    <w:rsid w:val="4B586632"/>
    <w:rsid w:val="4B5D1EEE"/>
    <w:rsid w:val="4B5E03B2"/>
    <w:rsid w:val="4B675646"/>
    <w:rsid w:val="4B6B5038"/>
    <w:rsid w:val="4B7B61CF"/>
    <w:rsid w:val="4B7E1700"/>
    <w:rsid w:val="4BBF25C9"/>
    <w:rsid w:val="4BCC6AC1"/>
    <w:rsid w:val="4BDD6843"/>
    <w:rsid w:val="4BE61D98"/>
    <w:rsid w:val="4BE7533A"/>
    <w:rsid w:val="4BE94966"/>
    <w:rsid w:val="4BF137DD"/>
    <w:rsid w:val="4BFF3FDA"/>
    <w:rsid w:val="4C027209"/>
    <w:rsid w:val="4C0F43F4"/>
    <w:rsid w:val="4C2440FF"/>
    <w:rsid w:val="4C267C6E"/>
    <w:rsid w:val="4C2B2937"/>
    <w:rsid w:val="4C2F1785"/>
    <w:rsid w:val="4C3B664D"/>
    <w:rsid w:val="4C5C2881"/>
    <w:rsid w:val="4C713181"/>
    <w:rsid w:val="4C9313AA"/>
    <w:rsid w:val="4CA81BEA"/>
    <w:rsid w:val="4CC041D8"/>
    <w:rsid w:val="4CE541C4"/>
    <w:rsid w:val="4CED591D"/>
    <w:rsid w:val="4CF85F6C"/>
    <w:rsid w:val="4D136DA8"/>
    <w:rsid w:val="4D1B2AD0"/>
    <w:rsid w:val="4D2113CA"/>
    <w:rsid w:val="4D2E524E"/>
    <w:rsid w:val="4D3B2432"/>
    <w:rsid w:val="4D4B5157"/>
    <w:rsid w:val="4D584707"/>
    <w:rsid w:val="4D665189"/>
    <w:rsid w:val="4D724750"/>
    <w:rsid w:val="4D781E73"/>
    <w:rsid w:val="4D7A1D47"/>
    <w:rsid w:val="4D991541"/>
    <w:rsid w:val="4D9C3055"/>
    <w:rsid w:val="4DAE6FBB"/>
    <w:rsid w:val="4DB0560E"/>
    <w:rsid w:val="4DD77968"/>
    <w:rsid w:val="4DDC7095"/>
    <w:rsid w:val="4DF569B2"/>
    <w:rsid w:val="4E2E4D5E"/>
    <w:rsid w:val="4E3E5A18"/>
    <w:rsid w:val="4E3F4338"/>
    <w:rsid w:val="4EA10B43"/>
    <w:rsid w:val="4EA62511"/>
    <w:rsid w:val="4EB16D4D"/>
    <w:rsid w:val="4EC77721"/>
    <w:rsid w:val="4ECC7ECA"/>
    <w:rsid w:val="4EE52187"/>
    <w:rsid w:val="4EED2E85"/>
    <w:rsid w:val="4EEE44FE"/>
    <w:rsid w:val="4EF40176"/>
    <w:rsid w:val="4F15729A"/>
    <w:rsid w:val="4F1E1F47"/>
    <w:rsid w:val="4F3131CA"/>
    <w:rsid w:val="4F3140B8"/>
    <w:rsid w:val="4F436EB8"/>
    <w:rsid w:val="4F450431"/>
    <w:rsid w:val="4F4F4230"/>
    <w:rsid w:val="4F70491F"/>
    <w:rsid w:val="4F826D73"/>
    <w:rsid w:val="4F917322"/>
    <w:rsid w:val="4F9178AC"/>
    <w:rsid w:val="4F9E6912"/>
    <w:rsid w:val="4FAF59FA"/>
    <w:rsid w:val="4FB872D5"/>
    <w:rsid w:val="4FBC0752"/>
    <w:rsid w:val="4FC421AC"/>
    <w:rsid w:val="4FDD45FC"/>
    <w:rsid w:val="4FDD7FB4"/>
    <w:rsid w:val="4FE76731"/>
    <w:rsid w:val="4FF02A6E"/>
    <w:rsid w:val="50091E11"/>
    <w:rsid w:val="50175C18"/>
    <w:rsid w:val="505A5626"/>
    <w:rsid w:val="506A12FD"/>
    <w:rsid w:val="506C432C"/>
    <w:rsid w:val="509E1445"/>
    <w:rsid w:val="50A074C8"/>
    <w:rsid w:val="50BA6E93"/>
    <w:rsid w:val="50CF7ABB"/>
    <w:rsid w:val="50DB7A5E"/>
    <w:rsid w:val="50E56D05"/>
    <w:rsid w:val="510E457A"/>
    <w:rsid w:val="51165907"/>
    <w:rsid w:val="51235BC3"/>
    <w:rsid w:val="51394D15"/>
    <w:rsid w:val="514C0B97"/>
    <w:rsid w:val="514C58ED"/>
    <w:rsid w:val="515725C8"/>
    <w:rsid w:val="51672D19"/>
    <w:rsid w:val="51A05A22"/>
    <w:rsid w:val="51FB70E2"/>
    <w:rsid w:val="52021B52"/>
    <w:rsid w:val="523C2658"/>
    <w:rsid w:val="52774ABD"/>
    <w:rsid w:val="527E6B89"/>
    <w:rsid w:val="52907144"/>
    <w:rsid w:val="52986C80"/>
    <w:rsid w:val="52A8690B"/>
    <w:rsid w:val="52AE0AB6"/>
    <w:rsid w:val="52AF5697"/>
    <w:rsid w:val="52B65D5E"/>
    <w:rsid w:val="52DA3A25"/>
    <w:rsid w:val="52E41507"/>
    <w:rsid w:val="52F3420A"/>
    <w:rsid w:val="52F97668"/>
    <w:rsid w:val="531924D9"/>
    <w:rsid w:val="53242035"/>
    <w:rsid w:val="533523F8"/>
    <w:rsid w:val="53902A72"/>
    <w:rsid w:val="539279E8"/>
    <w:rsid w:val="539E0538"/>
    <w:rsid w:val="53A61F13"/>
    <w:rsid w:val="53B63C4D"/>
    <w:rsid w:val="53E6346C"/>
    <w:rsid w:val="540E2862"/>
    <w:rsid w:val="54142694"/>
    <w:rsid w:val="54587D20"/>
    <w:rsid w:val="54735AF9"/>
    <w:rsid w:val="5478681E"/>
    <w:rsid w:val="547B4939"/>
    <w:rsid w:val="54896B6E"/>
    <w:rsid w:val="548A1F48"/>
    <w:rsid w:val="548D5444"/>
    <w:rsid w:val="54915BCD"/>
    <w:rsid w:val="54951783"/>
    <w:rsid w:val="549E2BEF"/>
    <w:rsid w:val="54BE4248"/>
    <w:rsid w:val="54C04877"/>
    <w:rsid w:val="54C56C41"/>
    <w:rsid w:val="54E759BB"/>
    <w:rsid w:val="5504568A"/>
    <w:rsid w:val="550A027F"/>
    <w:rsid w:val="550E147F"/>
    <w:rsid w:val="55101940"/>
    <w:rsid w:val="552A1362"/>
    <w:rsid w:val="553242CD"/>
    <w:rsid w:val="554A7FDE"/>
    <w:rsid w:val="555156C6"/>
    <w:rsid w:val="556C14E8"/>
    <w:rsid w:val="558214D2"/>
    <w:rsid w:val="558762ED"/>
    <w:rsid w:val="55892891"/>
    <w:rsid w:val="559B2A72"/>
    <w:rsid w:val="55A95A0F"/>
    <w:rsid w:val="55C46A44"/>
    <w:rsid w:val="55C47BF2"/>
    <w:rsid w:val="55C57559"/>
    <w:rsid w:val="55C8341C"/>
    <w:rsid w:val="55DB6D66"/>
    <w:rsid w:val="55DE50B4"/>
    <w:rsid w:val="55E23949"/>
    <w:rsid w:val="55EA3C43"/>
    <w:rsid w:val="55ED3A88"/>
    <w:rsid w:val="55EF1D0F"/>
    <w:rsid w:val="560265C8"/>
    <w:rsid w:val="561A5A9C"/>
    <w:rsid w:val="565B4B5E"/>
    <w:rsid w:val="566A6BE7"/>
    <w:rsid w:val="567153E5"/>
    <w:rsid w:val="569A629E"/>
    <w:rsid w:val="56A96323"/>
    <w:rsid w:val="56BA605D"/>
    <w:rsid w:val="56E849F7"/>
    <w:rsid w:val="57013A0A"/>
    <w:rsid w:val="570F7E2D"/>
    <w:rsid w:val="572921E2"/>
    <w:rsid w:val="57293375"/>
    <w:rsid w:val="573F0292"/>
    <w:rsid w:val="57501E48"/>
    <w:rsid w:val="57524DA4"/>
    <w:rsid w:val="57545ECF"/>
    <w:rsid w:val="57560C5F"/>
    <w:rsid w:val="57703061"/>
    <w:rsid w:val="577C51C1"/>
    <w:rsid w:val="5787232A"/>
    <w:rsid w:val="57966063"/>
    <w:rsid w:val="57B053F2"/>
    <w:rsid w:val="57BE40E4"/>
    <w:rsid w:val="57E86FE2"/>
    <w:rsid w:val="57EB49CD"/>
    <w:rsid w:val="57F7459D"/>
    <w:rsid w:val="57FB5503"/>
    <w:rsid w:val="58196BE4"/>
    <w:rsid w:val="581B3065"/>
    <w:rsid w:val="581D2CE2"/>
    <w:rsid w:val="58203B52"/>
    <w:rsid w:val="582A3076"/>
    <w:rsid w:val="582C7791"/>
    <w:rsid w:val="58317FA1"/>
    <w:rsid w:val="58353D01"/>
    <w:rsid w:val="58640642"/>
    <w:rsid w:val="58706D7B"/>
    <w:rsid w:val="58794112"/>
    <w:rsid w:val="58812157"/>
    <w:rsid w:val="588E58EA"/>
    <w:rsid w:val="58991D54"/>
    <w:rsid w:val="58C200D3"/>
    <w:rsid w:val="58ED04AE"/>
    <w:rsid w:val="58F038AA"/>
    <w:rsid w:val="58F6402E"/>
    <w:rsid w:val="58FD6975"/>
    <w:rsid w:val="592D4191"/>
    <w:rsid w:val="59393661"/>
    <w:rsid w:val="59480DCA"/>
    <w:rsid w:val="595042C9"/>
    <w:rsid w:val="59513223"/>
    <w:rsid w:val="59520A09"/>
    <w:rsid w:val="596C330B"/>
    <w:rsid w:val="59836DAE"/>
    <w:rsid w:val="59886446"/>
    <w:rsid w:val="59B13F55"/>
    <w:rsid w:val="59B61B72"/>
    <w:rsid w:val="59B71126"/>
    <w:rsid w:val="59C15444"/>
    <w:rsid w:val="59EB3C09"/>
    <w:rsid w:val="59F45A96"/>
    <w:rsid w:val="5A053C60"/>
    <w:rsid w:val="5A0C50EC"/>
    <w:rsid w:val="5A302DB6"/>
    <w:rsid w:val="5A5114AF"/>
    <w:rsid w:val="5A5F5912"/>
    <w:rsid w:val="5A81751A"/>
    <w:rsid w:val="5A8A1C43"/>
    <w:rsid w:val="5A9344F3"/>
    <w:rsid w:val="5AA23328"/>
    <w:rsid w:val="5AA6564B"/>
    <w:rsid w:val="5AB867FB"/>
    <w:rsid w:val="5AC16185"/>
    <w:rsid w:val="5ADB09E6"/>
    <w:rsid w:val="5ADC7536"/>
    <w:rsid w:val="5AEA2408"/>
    <w:rsid w:val="5AF75D39"/>
    <w:rsid w:val="5B1C7388"/>
    <w:rsid w:val="5B272144"/>
    <w:rsid w:val="5B332235"/>
    <w:rsid w:val="5B3E05F9"/>
    <w:rsid w:val="5B481DE3"/>
    <w:rsid w:val="5B5C2D74"/>
    <w:rsid w:val="5BA33638"/>
    <w:rsid w:val="5BFF6D95"/>
    <w:rsid w:val="5C0E06B5"/>
    <w:rsid w:val="5C107219"/>
    <w:rsid w:val="5C152C71"/>
    <w:rsid w:val="5C2170A8"/>
    <w:rsid w:val="5C391091"/>
    <w:rsid w:val="5C573A9E"/>
    <w:rsid w:val="5C741CD2"/>
    <w:rsid w:val="5C745DB7"/>
    <w:rsid w:val="5C7F04CF"/>
    <w:rsid w:val="5C865CAC"/>
    <w:rsid w:val="5C901CEF"/>
    <w:rsid w:val="5CE53ECF"/>
    <w:rsid w:val="5CEB2998"/>
    <w:rsid w:val="5CEC1EB3"/>
    <w:rsid w:val="5CF95B9D"/>
    <w:rsid w:val="5D0C0A3C"/>
    <w:rsid w:val="5D210ADA"/>
    <w:rsid w:val="5D462B0C"/>
    <w:rsid w:val="5D614D7E"/>
    <w:rsid w:val="5D9849EA"/>
    <w:rsid w:val="5DAD0716"/>
    <w:rsid w:val="5DB7412C"/>
    <w:rsid w:val="5DBD607F"/>
    <w:rsid w:val="5DD7428C"/>
    <w:rsid w:val="5DE86176"/>
    <w:rsid w:val="5DEE7BBF"/>
    <w:rsid w:val="5DFF78DF"/>
    <w:rsid w:val="5E383DCE"/>
    <w:rsid w:val="5E4F3474"/>
    <w:rsid w:val="5E515FF8"/>
    <w:rsid w:val="5E5918AC"/>
    <w:rsid w:val="5E5C1DCF"/>
    <w:rsid w:val="5E926EC5"/>
    <w:rsid w:val="5E94579A"/>
    <w:rsid w:val="5E9E4A16"/>
    <w:rsid w:val="5EBB32B1"/>
    <w:rsid w:val="5EC649A4"/>
    <w:rsid w:val="5EC844F9"/>
    <w:rsid w:val="5ED361BF"/>
    <w:rsid w:val="5ED9044C"/>
    <w:rsid w:val="5EDD21FE"/>
    <w:rsid w:val="5EE750BA"/>
    <w:rsid w:val="5F165BDC"/>
    <w:rsid w:val="5F196407"/>
    <w:rsid w:val="5F1E205A"/>
    <w:rsid w:val="5F2B5A09"/>
    <w:rsid w:val="5F465C18"/>
    <w:rsid w:val="5F4E41E3"/>
    <w:rsid w:val="5F5947EF"/>
    <w:rsid w:val="5F5B3157"/>
    <w:rsid w:val="5F6C2811"/>
    <w:rsid w:val="5F6F4812"/>
    <w:rsid w:val="5F7E2E18"/>
    <w:rsid w:val="5F951429"/>
    <w:rsid w:val="5F984078"/>
    <w:rsid w:val="5F987A49"/>
    <w:rsid w:val="5FB17042"/>
    <w:rsid w:val="5FB374C6"/>
    <w:rsid w:val="5FBC3C0E"/>
    <w:rsid w:val="5FC21345"/>
    <w:rsid w:val="5FC42FA7"/>
    <w:rsid w:val="5FEF2F01"/>
    <w:rsid w:val="600F5EFC"/>
    <w:rsid w:val="601475E8"/>
    <w:rsid w:val="60383BDC"/>
    <w:rsid w:val="603F6642"/>
    <w:rsid w:val="60544420"/>
    <w:rsid w:val="606776C4"/>
    <w:rsid w:val="609D0D56"/>
    <w:rsid w:val="60A81589"/>
    <w:rsid w:val="60AA1FE2"/>
    <w:rsid w:val="60B411CD"/>
    <w:rsid w:val="60C116DB"/>
    <w:rsid w:val="60CA5511"/>
    <w:rsid w:val="60CA5B7F"/>
    <w:rsid w:val="60D22AA1"/>
    <w:rsid w:val="60DB652B"/>
    <w:rsid w:val="61120E7E"/>
    <w:rsid w:val="611E3480"/>
    <w:rsid w:val="612154DD"/>
    <w:rsid w:val="612931EB"/>
    <w:rsid w:val="612A29B9"/>
    <w:rsid w:val="61311D72"/>
    <w:rsid w:val="61312587"/>
    <w:rsid w:val="61416306"/>
    <w:rsid w:val="614D5F60"/>
    <w:rsid w:val="615C112F"/>
    <w:rsid w:val="616C5330"/>
    <w:rsid w:val="61751746"/>
    <w:rsid w:val="6179467A"/>
    <w:rsid w:val="619E4C5A"/>
    <w:rsid w:val="61A00812"/>
    <w:rsid w:val="61AD5CC5"/>
    <w:rsid w:val="61C5543D"/>
    <w:rsid w:val="61D45DD4"/>
    <w:rsid w:val="61D73E9B"/>
    <w:rsid w:val="61DF776D"/>
    <w:rsid w:val="61F806A4"/>
    <w:rsid w:val="62164C46"/>
    <w:rsid w:val="62276B52"/>
    <w:rsid w:val="622D2552"/>
    <w:rsid w:val="62310104"/>
    <w:rsid w:val="623876F6"/>
    <w:rsid w:val="6245075B"/>
    <w:rsid w:val="6249079F"/>
    <w:rsid w:val="625C79EC"/>
    <w:rsid w:val="6273150D"/>
    <w:rsid w:val="62865F35"/>
    <w:rsid w:val="62962A8D"/>
    <w:rsid w:val="62980458"/>
    <w:rsid w:val="62B66D1F"/>
    <w:rsid w:val="62DF4D97"/>
    <w:rsid w:val="62F20194"/>
    <w:rsid w:val="62FE2741"/>
    <w:rsid w:val="631D2EFF"/>
    <w:rsid w:val="632D70AB"/>
    <w:rsid w:val="63314378"/>
    <w:rsid w:val="634B5156"/>
    <w:rsid w:val="63590BE3"/>
    <w:rsid w:val="635E7BC9"/>
    <w:rsid w:val="63674F10"/>
    <w:rsid w:val="63854CB6"/>
    <w:rsid w:val="639A12F6"/>
    <w:rsid w:val="63B54D00"/>
    <w:rsid w:val="63CA55CF"/>
    <w:rsid w:val="63DC3D64"/>
    <w:rsid w:val="63E746E0"/>
    <w:rsid w:val="63F007F8"/>
    <w:rsid w:val="63F12281"/>
    <w:rsid w:val="6409067E"/>
    <w:rsid w:val="640952DF"/>
    <w:rsid w:val="640F473A"/>
    <w:rsid w:val="643D0152"/>
    <w:rsid w:val="645C3F23"/>
    <w:rsid w:val="64685C26"/>
    <w:rsid w:val="646A06DA"/>
    <w:rsid w:val="647C21F7"/>
    <w:rsid w:val="648C1D7D"/>
    <w:rsid w:val="64BA3F38"/>
    <w:rsid w:val="64D46504"/>
    <w:rsid w:val="64E1286C"/>
    <w:rsid w:val="64FC30CE"/>
    <w:rsid w:val="65113D3D"/>
    <w:rsid w:val="651F1287"/>
    <w:rsid w:val="654526B6"/>
    <w:rsid w:val="6562679D"/>
    <w:rsid w:val="656375D9"/>
    <w:rsid w:val="65685276"/>
    <w:rsid w:val="657E1964"/>
    <w:rsid w:val="65877C2E"/>
    <w:rsid w:val="659C052D"/>
    <w:rsid w:val="65B516BD"/>
    <w:rsid w:val="65CF3A7D"/>
    <w:rsid w:val="65EF7B3C"/>
    <w:rsid w:val="65FD1934"/>
    <w:rsid w:val="66102262"/>
    <w:rsid w:val="663B5BFD"/>
    <w:rsid w:val="66526F9D"/>
    <w:rsid w:val="666F14E5"/>
    <w:rsid w:val="668B6C7A"/>
    <w:rsid w:val="66981F48"/>
    <w:rsid w:val="669C2443"/>
    <w:rsid w:val="669E7586"/>
    <w:rsid w:val="669F6ED4"/>
    <w:rsid w:val="66A95421"/>
    <w:rsid w:val="66BA4E1C"/>
    <w:rsid w:val="66C9403E"/>
    <w:rsid w:val="66CE7DE7"/>
    <w:rsid w:val="66D2494C"/>
    <w:rsid w:val="66D65516"/>
    <w:rsid w:val="66F74CEE"/>
    <w:rsid w:val="670566D6"/>
    <w:rsid w:val="67057F18"/>
    <w:rsid w:val="67125FBF"/>
    <w:rsid w:val="67176A5E"/>
    <w:rsid w:val="671F70D9"/>
    <w:rsid w:val="67296AC2"/>
    <w:rsid w:val="67346C84"/>
    <w:rsid w:val="67363782"/>
    <w:rsid w:val="673A5E36"/>
    <w:rsid w:val="674674CB"/>
    <w:rsid w:val="67514459"/>
    <w:rsid w:val="675B4424"/>
    <w:rsid w:val="678E3909"/>
    <w:rsid w:val="67AB2FC0"/>
    <w:rsid w:val="67B44FC2"/>
    <w:rsid w:val="67BA722C"/>
    <w:rsid w:val="67C35F85"/>
    <w:rsid w:val="67D50005"/>
    <w:rsid w:val="67E31ECE"/>
    <w:rsid w:val="67F063D4"/>
    <w:rsid w:val="67F7765E"/>
    <w:rsid w:val="680018A5"/>
    <w:rsid w:val="68086389"/>
    <w:rsid w:val="680D3DEA"/>
    <w:rsid w:val="681126BD"/>
    <w:rsid w:val="68164AD5"/>
    <w:rsid w:val="682F78E3"/>
    <w:rsid w:val="683A1589"/>
    <w:rsid w:val="68682883"/>
    <w:rsid w:val="68A30842"/>
    <w:rsid w:val="68AD5600"/>
    <w:rsid w:val="68C85E35"/>
    <w:rsid w:val="68E635A7"/>
    <w:rsid w:val="68FB40EB"/>
    <w:rsid w:val="69115A44"/>
    <w:rsid w:val="692C69A6"/>
    <w:rsid w:val="69321D80"/>
    <w:rsid w:val="69360F72"/>
    <w:rsid w:val="694A123C"/>
    <w:rsid w:val="6972752F"/>
    <w:rsid w:val="697B54DD"/>
    <w:rsid w:val="69A841A6"/>
    <w:rsid w:val="69A94AD4"/>
    <w:rsid w:val="69E260D0"/>
    <w:rsid w:val="69E355A4"/>
    <w:rsid w:val="69F11BAE"/>
    <w:rsid w:val="6A1B1AF4"/>
    <w:rsid w:val="6A3208E1"/>
    <w:rsid w:val="6A3E44A4"/>
    <w:rsid w:val="6A490463"/>
    <w:rsid w:val="6A724A25"/>
    <w:rsid w:val="6A9A2B6C"/>
    <w:rsid w:val="6AAC3ED5"/>
    <w:rsid w:val="6AB1111C"/>
    <w:rsid w:val="6AB65513"/>
    <w:rsid w:val="6AC25C84"/>
    <w:rsid w:val="6ADC693F"/>
    <w:rsid w:val="6AE028A8"/>
    <w:rsid w:val="6AE920CE"/>
    <w:rsid w:val="6B072D81"/>
    <w:rsid w:val="6B074CC6"/>
    <w:rsid w:val="6B105D76"/>
    <w:rsid w:val="6B242F9F"/>
    <w:rsid w:val="6B4E2DD7"/>
    <w:rsid w:val="6B5D2592"/>
    <w:rsid w:val="6B630F63"/>
    <w:rsid w:val="6B6D3232"/>
    <w:rsid w:val="6B6F0957"/>
    <w:rsid w:val="6B8D6F11"/>
    <w:rsid w:val="6B937C0F"/>
    <w:rsid w:val="6B944580"/>
    <w:rsid w:val="6B9F1F9F"/>
    <w:rsid w:val="6BA17837"/>
    <w:rsid w:val="6BA2139A"/>
    <w:rsid w:val="6BA928E9"/>
    <w:rsid w:val="6BAD37D9"/>
    <w:rsid w:val="6BC347FE"/>
    <w:rsid w:val="6BCB2CE8"/>
    <w:rsid w:val="6BDC595A"/>
    <w:rsid w:val="6BDD3EF3"/>
    <w:rsid w:val="6BDF2D21"/>
    <w:rsid w:val="6C3F355F"/>
    <w:rsid w:val="6C5F1AFD"/>
    <w:rsid w:val="6C604926"/>
    <w:rsid w:val="6C7643D9"/>
    <w:rsid w:val="6C7B3B02"/>
    <w:rsid w:val="6C7C71AF"/>
    <w:rsid w:val="6C8B4639"/>
    <w:rsid w:val="6C997768"/>
    <w:rsid w:val="6C9E0F04"/>
    <w:rsid w:val="6CAB2B44"/>
    <w:rsid w:val="6CC05C12"/>
    <w:rsid w:val="6CE73BFD"/>
    <w:rsid w:val="6D071B22"/>
    <w:rsid w:val="6D0C7348"/>
    <w:rsid w:val="6D1A2855"/>
    <w:rsid w:val="6D374D61"/>
    <w:rsid w:val="6D412E43"/>
    <w:rsid w:val="6D965902"/>
    <w:rsid w:val="6D9D6F08"/>
    <w:rsid w:val="6DBC03C3"/>
    <w:rsid w:val="6DDA39D8"/>
    <w:rsid w:val="6E1026FD"/>
    <w:rsid w:val="6E367E9D"/>
    <w:rsid w:val="6E380D09"/>
    <w:rsid w:val="6E444FDC"/>
    <w:rsid w:val="6E59033D"/>
    <w:rsid w:val="6E5C6212"/>
    <w:rsid w:val="6E8A5B25"/>
    <w:rsid w:val="6EA3003C"/>
    <w:rsid w:val="6EAC5E36"/>
    <w:rsid w:val="6EDB4694"/>
    <w:rsid w:val="6F013722"/>
    <w:rsid w:val="6F6274BC"/>
    <w:rsid w:val="6F6F531C"/>
    <w:rsid w:val="6F871807"/>
    <w:rsid w:val="6FA22CB7"/>
    <w:rsid w:val="6FA24A03"/>
    <w:rsid w:val="6FAD6233"/>
    <w:rsid w:val="6FB335AF"/>
    <w:rsid w:val="6FBD1A21"/>
    <w:rsid w:val="6FE4311B"/>
    <w:rsid w:val="70026A0D"/>
    <w:rsid w:val="700351F0"/>
    <w:rsid w:val="7028596F"/>
    <w:rsid w:val="702A40B2"/>
    <w:rsid w:val="702B5A0B"/>
    <w:rsid w:val="702B6E1F"/>
    <w:rsid w:val="70523E81"/>
    <w:rsid w:val="70524F2C"/>
    <w:rsid w:val="70571EB6"/>
    <w:rsid w:val="705B6FAF"/>
    <w:rsid w:val="709B0EB0"/>
    <w:rsid w:val="70B62A79"/>
    <w:rsid w:val="70BA4BA1"/>
    <w:rsid w:val="70E24B21"/>
    <w:rsid w:val="70E62450"/>
    <w:rsid w:val="70EA2185"/>
    <w:rsid w:val="70EE44FD"/>
    <w:rsid w:val="70F151D2"/>
    <w:rsid w:val="710138EA"/>
    <w:rsid w:val="712D3ABF"/>
    <w:rsid w:val="71530EAF"/>
    <w:rsid w:val="716B71A6"/>
    <w:rsid w:val="71B108B9"/>
    <w:rsid w:val="71BE3AC1"/>
    <w:rsid w:val="71D549C7"/>
    <w:rsid w:val="71E264B8"/>
    <w:rsid w:val="71E666D5"/>
    <w:rsid w:val="71F17AD7"/>
    <w:rsid w:val="71FF461A"/>
    <w:rsid w:val="72000B4A"/>
    <w:rsid w:val="72275620"/>
    <w:rsid w:val="722D6A6B"/>
    <w:rsid w:val="72393DE9"/>
    <w:rsid w:val="723F481F"/>
    <w:rsid w:val="72415769"/>
    <w:rsid w:val="72431A99"/>
    <w:rsid w:val="7245350A"/>
    <w:rsid w:val="7245792C"/>
    <w:rsid w:val="72567EF9"/>
    <w:rsid w:val="7275341E"/>
    <w:rsid w:val="72A72B53"/>
    <w:rsid w:val="72B87964"/>
    <w:rsid w:val="72E561CE"/>
    <w:rsid w:val="72ED3698"/>
    <w:rsid w:val="72F128D9"/>
    <w:rsid w:val="72F704E5"/>
    <w:rsid w:val="73060294"/>
    <w:rsid w:val="73265429"/>
    <w:rsid w:val="732F782C"/>
    <w:rsid w:val="733E3512"/>
    <w:rsid w:val="73583591"/>
    <w:rsid w:val="736337E0"/>
    <w:rsid w:val="73647CB6"/>
    <w:rsid w:val="736E36F7"/>
    <w:rsid w:val="73A27E7D"/>
    <w:rsid w:val="73E63265"/>
    <w:rsid w:val="73F10395"/>
    <w:rsid w:val="7402550E"/>
    <w:rsid w:val="74093727"/>
    <w:rsid w:val="740B2C41"/>
    <w:rsid w:val="74183787"/>
    <w:rsid w:val="74314728"/>
    <w:rsid w:val="743A1AC7"/>
    <w:rsid w:val="743D3C63"/>
    <w:rsid w:val="7444381E"/>
    <w:rsid w:val="744A4158"/>
    <w:rsid w:val="74725FF3"/>
    <w:rsid w:val="747660A7"/>
    <w:rsid w:val="748420CA"/>
    <w:rsid w:val="748E206B"/>
    <w:rsid w:val="749B7EF6"/>
    <w:rsid w:val="74AD1543"/>
    <w:rsid w:val="74B22CF4"/>
    <w:rsid w:val="74BA6DE0"/>
    <w:rsid w:val="74BE6950"/>
    <w:rsid w:val="74C10685"/>
    <w:rsid w:val="74E47A11"/>
    <w:rsid w:val="74F9355A"/>
    <w:rsid w:val="75002894"/>
    <w:rsid w:val="75320130"/>
    <w:rsid w:val="75384EC2"/>
    <w:rsid w:val="753E7167"/>
    <w:rsid w:val="753F4866"/>
    <w:rsid w:val="75544EE6"/>
    <w:rsid w:val="75811F73"/>
    <w:rsid w:val="75967051"/>
    <w:rsid w:val="75985444"/>
    <w:rsid w:val="759E6A4F"/>
    <w:rsid w:val="75A13F34"/>
    <w:rsid w:val="75A52342"/>
    <w:rsid w:val="75A552C5"/>
    <w:rsid w:val="75B06378"/>
    <w:rsid w:val="75B621FC"/>
    <w:rsid w:val="75B62290"/>
    <w:rsid w:val="760153E5"/>
    <w:rsid w:val="762B74AE"/>
    <w:rsid w:val="76305383"/>
    <w:rsid w:val="76545C8A"/>
    <w:rsid w:val="76774672"/>
    <w:rsid w:val="769211F2"/>
    <w:rsid w:val="76945725"/>
    <w:rsid w:val="76A2270C"/>
    <w:rsid w:val="76DD0801"/>
    <w:rsid w:val="76ED52BE"/>
    <w:rsid w:val="76F00786"/>
    <w:rsid w:val="770D3ABA"/>
    <w:rsid w:val="7711585C"/>
    <w:rsid w:val="771E6FCC"/>
    <w:rsid w:val="77233254"/>
    <w:rsid w:val="77780E87"/>
    <w:rsid w:val="77A0035D"/>
    <w:rsid w:val="77B1303F"/>
    <w:rsid w:val="77B835FD"/>
    <w:rsid w:val="77EB2768"/>
    <w:rsid w:val="77EE6F57"/>
    <w:rsid w:val="77F17801"/>
    <w:rsid w:val="77FA5ED0"/>
    <w:rsid w:val="78157116"/>
    <w:rsid w:val="78276334"/>
    <w:rsid w:val="783855CF"/>
    <w:rsid w:val="78461EA3"/>
    <w:rsid w:val="784D04AD"/>
    <w:rsid w:val="785D6A8E"/>
    <w:rsid w:val="78632AFE"/>
    <w:rsid w:val="78811E57"/>
    <w:rsid w:val="78846A8E"/>
    <w:rsid w:val="78906746"/>
    <w:rsid w:val="78981E49"/>
    <w:rsid w:val="78B71D96"/>
    <w:rsid w:val="78B74204"/>
    <w:rsid w:val="78B86C1D"/>
    <w:rsid w:val="78D065B5"/>
    <w:rsid w:val="78DE6930"/>
    <w:rsid w:val="78F927E9"/>
    <w:rsid w:val="791C15C7"/>
    <w:rsid w:val="79327A87"/>
    <w:rsid w:val="794D615E"/>
    <w:rsid w:val="796D1B62"/>
    <w:rsid w:val="79701E62"/>
    <w:rsid w:val="79793D39"/>
    <w:rsid w:val="798A7756"/>
    <w:rsid w:val="798E5EE8"/>
    <w:rsid w:val="7995550F"/>
    <w:rsid w:val="79E67F32"/>
    <w:rsid w:val="7A1A643B"/>
    <w:rsid w:val="7A1D2371"/>
    <w:rsid w:val="7A2A7A41"/>
    <w:rsid w:val="7A3A1408"/>
    <w:rsid w:val="7A4C7A8A"/>
    <w:rsid w:val="7A937B61"/>
    <w:rsid w:val="7AA717AF"/>
    <w:rsid w:val="7AA80762"/>
    <w:rsid w:val="7ADA76BC"/>
    <w:rsid w:val="7AE51771"/>
    <w:rsid w:val="7AF46974"/>
    <w:rsid w:val="7AFD13DF"/>
    <w:rsid w:val="7B0048F2"/>
    <w:rsid w:val="7B0A009E"/>
    <w:rsid w:val="7B0C5EDA"/>
    <w:rsid w:val="7B0F57EC"/>
    <w:rsid w:val="7B182309"/>
    <w:rsid w:val="7B1C7495"/>
    <w:rsid w:val="7B2C2B02"/>
    <w:rsid w:val="7B397416"/>
    <w:rsid w:val="7B6D1DB8"/>
    <w:rsid w:val="7B87693E"/>
    <w:rsid w:val="7B9776ED"/>
    <w:rsid w:val="7BB575A0"/>
    <w:rsid w:val="7BB87730"/>
    <w:rsid w:val="7BEC6D72"/>
    <w:rsid w:val="7BF462C0"/>
    <w:rsid w:val="7BF6751D"/>
    <w:rsid w:val="7BFF0D00"/>
    <w:rsid w:val="7C14225C"/>
    <w:rsid w:val="7C152C13"/>
    <w:rsid w:val="7C1C0065"/>
    <w:rsid w:val="7C1C47EA"/>
    <w:rsid w:val="7C22249A"/>
    <w:rsid w:val="7C4D6377"/>
    <w:rsid w:val="7C737703"/>
    <w:rsid w:val="7C836E96"/>
    <w:rsid w:val="7C8455B6"/>
    <w:rsid w:val="7C861959"/>
    <w:rsid w:val="7C87606A"/>
    <w:rsid w:val="7CA03473"/>
    <w:rsid w:val="7CA633FF"/>
    <w:rsid w:val="7CBA3CAD"/>
    <w:rsid w:val="7CC56F7F"/>
    <w:rsid w:val="7CC87F4A"/>
    <w:rsid w:val="7CCE1975"/>
    <w:rsid w:val="7CD86CBA"/>
    <w:rsid w:val="7CE46977"/>
    <w:rsid w:val="7CEC4220"/>
    <w:rsid w:val="7CF0114B"/>
    <w:rsid w:val="7CF04518"/>
    <w:rsid w:val="7CF16B5A"/>
    <w:rsid w:val="7D126C07"/>
    <w:rsid w:val="7D2440DC"/>
    <w:rsid w:val="7D4E0BCD"/>
    <w:rsid w:val="7D562E39"/>
    <w:rsid w:val="7D59242D"/>
    <w:rsid w:val="7D6F280E"/>
    <w:rsid w:val="7D7C7BC7"/>
    <w:rsid w:val="7D8C6234"/>
    <w:rsid w:val="7D9F7369"/>
    <w:rsid w:val="7DC13784"/>
    <w:rsid w:val="7DC634EC"/>
    <w:rsid w:val="7DEE2D0E"/>
    <w:rsid w:val="7DF814D7"/>
    <w:rsid w:val="7E130AC1"/>
    <w:rsid w:val="7E644499"/>
    <w:rsid w:val="7E966D8F"/>
    <w:rsid w:val="7EA778F3"/>
    <w:rsid w:val="7EC31654"/>
    <w:rsid w:val="7ED34A5C"/>
    <w:rsid w:val="7EE7086D"/>
    <w:rsid w:val="7EED2DE0"/>
    <w:rsid w:val="7F17721B"/>
    <w:rsid w:val="7F1B2C3A"/>
    <w:rsid w:val="7F201F16"/>
    <w:rsid w:val="7F2810EF"/>
    <w:rsid w:val="7F2C6F4D"/>
    <w:rsid w:val="7F3D743A"/>
    <w:rsid w:val="7F3F3851"/>
    <w:rsid w:val="7F415B14"/>
    <w:rsid w:val="7F426E4E"/>
    <w:rsid w:val="7F690AF6"/>
    <w:rsid w:val="7F723916"/>
    <w:rsid w:val="7FA410A8"/>
    <w:rsid w:val="7FCB393D"/>
    <w:rsid w:val="7FDB4F12"/>
    <w:rsid w:val="7FF7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9AFEC"/>
  <w15:docId w15:val="{BD1ED3BF-14D0-43D7-BAE2-CE675AC8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qFormat="1"/>
    <w:lsdException w:name="Body Text First Indent 2"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883"/>
      <w:jc w:val="both"/>
    </w:pPr>
    <w:rPr>
      <w:rFonts w:eastAsia="仿宋"/>
      <w:kern w:val="2"/>
      <w:sz w:val="32"/>
      <w:szCs w:val="24"/>
    </w:rPr>
  </w:style>
  <w:style w:type="paragraph" w:styleId="1">
    <w:name w:val="heading 1"/>
    <w:basedOn w:val="a"/>
    <w:next w:val="a"/>
    <w:link w:val="10"/>
    <w:uiPriority w:val="99"/>
    <w:qFormat/>
    <w:pPr>
      <w:keepNext/>
      <w:keepLines/>
      <w:spacing w:beforeLines="50" w:afterLines="50"/>
      <w:ind w:firstLineChars="0" w:firstLine="0"/>
      <w:jc w:val="center"/>
      <w:outlineLvl w:val="0"/>
    </w:pPr>
    <w:rPr>
      <w:rFonts w:ascii="微软雅黑" w:eastAsia="黑体" w:hAnsi="微软雅黑"/>
      <w:b/>
      <w:color w:val="000000"/>
      <w:kern w:val="44"/>
      <w:sz w:val="36"/>
      <w:szCs w:val="20"/>
      <w:u w:color="FFFFFF"/>
    </w:rPr>
  </w:style>
  <w:style w:type="paragraph" w:styleId="2">
    <w:name w:val="heading 2"/>
    <w:basedOn w:val="a"/>
    <w:next w:val="a"/>
    <w:link w:val="20"/>
    <w:uiPriority w:val="99"/>
    <w:qFormat/>
    <w:pPr>
      <w:keepNext/>
      <w:keepLines/>
      <w:spacing w:beforeLines="50" w:afterLines="50"/>
      <w:ind w:firstLineChars="0" w:firstLine="0"/>
      <w:jc w:val="center"/>
      <w:outlineLvl w:val="1"/>
    </w:pPr>
    <w:rPr>
      <w:rFonts w:ascii="微软雅黑" w:eastAsia="楷体" w:hAnsi="微软雅黑"/>
      <w:b/>
      <w:color w:val="000000"/>
      <w:kern w:val="0"/>
      <w:sz w:val="20"/>
      <w:szCs w:val="20"/>
      <w:u w:color="FFFFFF"/>
    </w:rPr>
  </w:style>
  <w:style w:type="paragraph" w:styleId="3">
    <w:name w:val="heading 3"/>
    <w:basedOn w:val="a"/>
    <w:next w:val="a"/>
    <w:link w:val="30"/>
    <w:uiPriority w:val="99"/>
    <w:qFormat/>
    <w:pPr>
      <w:keepNext/>
      <w:keepLines/>
      <w:ind w:firstLineChars="0" w:firstLine="0"/>
      <w:jc w:val="center"/>
      <w:outlineLvl w:val="2"/>
    </w:pPr>
    <w:rPr>
      <w:rFonts w:ascii="楷体_GB2312" w:eastAsia="宋体" w:hAnsi="楷体_GB2312"/>
      <w:b/>
      <w:color w:val="000000"/>
      <w:kern w:val="0"/>
      <w:sz w:val="28"/>
      <w:szCs w:val="21"/>
      <w:u w:color="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style>
  <w:style w:type="paragraph" w:styleId="a5">
    <w:name w:val="annotation text"/>
    <w:basedOn w:val="a"/>
    <w:link w:val="a6"/>
    <w:uiPriority w:val="99"/>
    <w:qFormat/>
    <w:pPr>
      <w:jc w:val="left"/>
    </w:pPr>
  </w:style>
  <w:style w:type="paragraph" w:styleId="a7">
    <w:name w:val="Body Text Indent"/>
    <w:basedOn w:val="a"/>
    <w:link w:val="a8"/>
    <w:uiPriority w:val="99"/>
    <w:qFormat/>
    <w:rPr>
      <w:rFonts w:eastAsia="宋体"/>
      <w:sz w:val="24"/>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99"/>
    <w:qFormat/>
    <w:pPr>
      <w:spacing w:line="560" w:lineRule="exact"/>
      <w:ind w:firstLineChars="0" w:firstLine="0"/>
    </w:pPr>
    <w:rPr>
      <w:rFonts w:eastAsia="黑体"/>
      <w:sz w:val="28"/>
    </w:rPr>
  </w:style>
  <w:style w:type="paragraph" w:styleId="TOC2">
    <w:name w:val="toc 2"/>
    <w:basedOn w:val="a"/>
    <w:next w:val="a"/>
    <w:uiPriority w:val="99"/>
    <w:qFormat/>
    <w:pPr>
      <w:spacing w:line="560" w:lineRule="exact"/>
      <w:ind w:leftChars="200" w:left="640" w:firstLineChars="0" w:firstLine="0"/>
    </w:pPr>
    <w:rPr>
      <w:rFonts w:eastAsia="楷体"/>
      <w:sz w:val="28"/>
    </w:rPr>
  </w:style>
  <w:style w:type="paragraph" w:styleId="ad">
    <w:name w:val="Normal (Web)"/>
    <w:basedOn w:val="a"/>
    <w:uiPriority w:val="99"/>
    <w:qFormat/>
    <w:pPr>
      <w:jc w:val="left"/>
    </w:pPr>
    <w:rPr>
      <w:kern w:val="0"/>
      <w:sz w:val="24"/>
    </w:rPr>
  </w:style>
  <w:style w:type="paragraph" w:styleId="ae">
    <w:name w:val="Title"/>
    <w:basedOn w:val="a"/>
    <w:next w:val="a"/>
    <w:link w:val="af"/>
    <w:uiPriority w:val="99"/>
    <w:qFormat/>
    <w:pPr>
      <w:spacing w:before="240" w:after="60"/>
      <w:outlineLvl w:val="0"/>
    </w:pPr>
    <w:rPr>
      <w:rFonts w:ascii="Calibri Light" w:hAnsi="Calibri Light"/>
      <w:bCs/>
      <w:szCs w:val="32"/>
    </w:rPr>
  </w:style>
  <w:style w:type="paragraph" w:styleId="af0">
    <w:name w:val="Body Text First Indent"/>
    <w:basedOn w:val="a0"/>
    <w:next w:val="a"/>
    <w:link w:val="af1"/>
    <w:uiPriority w:val="99"/>
    <w:qFormat/>
    <w:pPr>
      <w:ind w:firstLineChars="100" w:firstLine="420"/>
    </w:pPr>
    <w:rPr>
      <w:rFonts w:ascii="Calibri" w:eastAsia="宋体" w:hAnsi="Calibri"/>
      <w:sz w:val="21"/>
    </w:rPr>
  </w:style>
  <w:style w:type="paragraph" w:styleId="21">
    <w:name w:val="Body Text First Indent 2"/>
    <w:basedOn w:val="a"/>
    <w:link w:val="22"/>
    <w:uiPriority w:val="99"/>
    <w:qFormat/>
    <w:pPr>
      <w:ind w:firstLine="420"/>
    </w:pPr>
    <w:rPr>
      <w:rFonts w:ascii="宋体" w:eastAsia="宋体" w:hAnsi="宋体"/>
      <w:sz w:val="24"/>
    </w:rPr>
  </w:style>
  <w:style w:type="table" w:styleId="af2">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99"/>
    <w:qFormat/>
    <w:rPr>
      <w:rFonts w:cs="Times New Roman"/>
      <w:b/>
    </w:rPr>
  </w:style>
  <w:style w:type="character" w:styleId="af4">
    <w:name w:val="Emphasis"/>
    <w:basedOn w:val="a1"/>
    <w:uiPriority w:val="99"/>
    <w:qFormat/>
    <w:rPr>
      <w:rFonts w:cs="Times New Roman"/>
      <w:i/>
    </w:rPr>
  </w:style>
  <w:style w:type="character" w:styleId="af5">
    <w:name w:val="Hyperlink"/>
    <w:basedOn w:val="a1"/>
    <w:uiPriority w:val="99"/>
    <w:qFormat/>
    <w:rPr>
      <w:rFonts w:cs="Times New Roman"/>
      <w:color w:val="0000FF"/>
      <w:u w:val="single"/>
    </w:rPr>
  </w:style>
  <w:style w:type="character" w:customStyle="1" w:styleId="10">
    <w:name w:val="标题 1 字符"/>
    <w:basedOn w:val="a1"/>
    <w:link w:val="1"/>
    <w:uiPriority w:val="99"/>
    <w:qFormat/>
    <w:locked/>
    <w:rPr>
      <w:rFonts w:ascii="微软雅黑" w:eastAsia="黑体" w:hAnsi="微软雅黑" w:cs="Times New Roman"/>
      <w:b/>
      <w:color w:val="000000"/>
      <w:kern w:val="44"/>
      <w:sz w:val="36"/>
      <w:u w:val="none" w:color="FFFFFF"/>
    </w:rPr>
  </w:style>
  <w:style w:type="character" w:customStyle="1" w:styleId="20">
    <w:name w:val="标题 2 字符"/>
    <w:basedOn w:val="a1"/>
    <w:link w:val="2"/>
    <w:uiPriority w:val="99"/>
    <w:qFormat/>
    <w:locked/>
    <w:rPr>
      <w:rFonts w:ascii="微软雅黑" w:eastAsia="楷体" w:hAnsi="微软雅黑" w:cs="Times New Roman"/>
      <w:b/>
      <w:color w:val="000000"/>
      <w:u w:color="FFFFFF"/>
    </w:rPr>
  </w:style>
  <w:style w:type="character" w:customStyle="1" w:styleId="30">
    <w:name w:val="标题 3 字符"/>
    <w:basedOn w:val="a1"/>
    <w:link w:val="3"/>
    <w:uiPriority w:val="99"/>
    <w:qFormat/>
    <w:locked/>
    <w:rPr>
      <w:rFonts w:ascii="楷体_GB2312" w:eastAsia="Times New Roman" w:cs="Times New Roman"/>
      <w:b/>
      <w:color w:val="000000"/>
      <w:sz w:val="21"/>
      <w:u w:color="FFFFFF"/>
    </w:rPr>
  </w:style>
  <w:style w:type="character" w:customStyle="1" w:styleId="a4">
    <w:name w:val="正文文本 字符"/>
    <w:basedOn w:val="a1"/>
    <w:link w:val="a0"/>
    <w:uiPriority w:val="99"/>
    <w:qFormat/>
    <w:locked/>
    <w:rPr>
      <w:rFonts w:ascii="Times New Roman" w:eastAsia="仿宋" w:hAnsi="Times New Roman" w:cs="黑体"/>
      <w:kern w:val="2"/>
      <w:sz w:val="24"/>
      <w:szCs w:val="24"/>
    </w:rPr>
  </w:style>
  <w:style w:type="character" w:customStyle="1" w:styleId="a6">
    <w:name w:val="批注文字 字符"/>
    <w:basedOn w:val="a1"/>
    <w:link w:val="a5"/>
    <w:uiPriority w:val="99"/>
    <w:semiHidden/>
    <w:qFormat/>
    <w:locked/>
    <w:rPr>
      <w:rFonts w:eastAsia="仿宋" w:cs="Times New Roman"/>
      <w:sz w:val="24"/>
      <w:szCs w:val="24"/>
    </w:rPr>
  </w:style>
  <w:style w:type="character" w:customStyle="1" w:styleId="a8">
    <w:name w:val="正文文本缩进 字符"/>
    <w:basedOn w:val="a1"/>
    <w:link w:val="a7"/>
    <w:uiPriority w:val="99"/>
    <w:qFormat/>
    <w:locked/>
    <w:rPr>
      <w:rFonts w:ascii="Times New Roman" w:eastAsia="宋体" w:hAnsi="Times New Roman" w:cs="黑体"/>
      <w:kern w:val="2"/>
      <w:sz w:val="24"/>
      <w:szCs w:val="24"/>
    </w:rPr>
  </w:style>
  <w:style w:type="character" w:customStyle="1" w:styleId="aa">
    <w:name w:val="页脚 字符"/>
    <w:basedOn w:val="a1"/>
    <w:link w:val="a9"/>
    <w:uiPriority w:val="99"/>
    <w:semiHidden/>
    <w:qFormat/>
    <w:locked/>
    <w:rPr>
      <w:rFonts w:eastAsia="仿宋" w:cs="Times New Roman"/>
      <w:sz w:val="18"/>
      <w:szCs w:val="18"/>
    </w:rPr>
  </w:style>
  <w:style w:type="character" w:customStyle="1" w:styleId="ac">
    <w:name w:val="页眉 字符"/>
    <w:basedOn w:val="a1"/>
    <w:link w:val="ab"/>
    <w:uiPriority w:val="99"/>
    <w:semiHidden/>
    <w:qFormat/>
    <w:locked/>
    <w:rPr>
      <w:rFonts w:eastAsia="仿宋" w:cs="Times New Roman"/>
      <w:sz w:val="18"/>
      <w:szCs w:val="18"/>
    </w:rPr>
  </w:style>
  <w:style w:type="character" w:customStyle="1" w:styleId="af">
    <w:name w:val="标题 字符"/>
    <w:basedOn w:val="a1"/>
    <w:link w:val="ae"/>
    <w:uiPriority w:val="99"/>
    <w:qFormat/>
    <w:locked/>
    <w:rPr>
      <w:rFonts w:ascii="Cambria" w:hAnsi="Cambria" w:cs="Times New Roman"/>
      <w:b/>
      <w:bCs/>
      <w:sz w:val="32"/>
      <w:szCs w:val="32"/>
    </w:rPr>
  </w:style>
  <w:style w:type="character" w:customStyle="1" w:styleId="af1">
    <w:name w:val="正文文本首行缩进 字符"/>
    <w:basedOn w:val="a4"/>
    <w:link w:val="af0"/>
    <w:uiPriority w:val="99"/>
    <w:semiHidden/>
    <w:qFormat/>
    <w:locked/>
    <w:rPr>
      <w:rFonts w:ascii="Times New Roman" w:eastAsia="仿宋" w:hAnsi="Times New Roman" w:cs="黑体"/>
      <w:kern w:val="2"/>
      <w:sz w:val="24"/>
      <w:szCs w:val="24"/>
    </w:rPr>
  </w:style>
  <w:style w:type="character" w:customStyle="1" w:styleId="22">
    <w:name w:val="正文文本首行缩进 2 字符"/>
    <w:basedOn w:val="a8"/>
    <w:link w:val="21"/>
    <w:uiPriority w:val="99"/>
    <w:qFormat/>
    <w:locked/>
    <w:rPr>
      <w:rFonts w:ascii="宋体" w:eastAsia="宋体" w:hAnsi="宋体" w:cs="黑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Documents\WeChat%20Files\wxid_0669416693612\FileStorage\File\2020-12\20201214&#27704;&#20462;&#21439;&#22269;&#27665;&#32463;&#27982;&#21644;&#31038;&#20250;&#21457;&#236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4491\Documents\&#27704;&#20462;&#21439;&#21313;&#22235;&#20116;&#35268;&#21010;\20210110&#27704;&#20462;&#32434;&#35201;\&#27704;&#20462;&#34920;&#26684;&#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4491\Desktop\&#27704;&#20462;&#34920;&#26684;&#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4491\Documents\&#27704;&#20462;&#21439;&#21313;&#22235;&#20116;&#35268;&#21010;\20210110&#27704;&#20462;&#32434;&#35201;\&#27704;&#20462;&#34920;&#26684;&#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全县地区生产总值及增长率</a:t>
            </a:r>
          </a:p>
        </c:rich>
      </c:tx>
      <c:layout>
        <c:manualLayout>
          <c:xMode val="edge"/>
          <c:yMode val="edge"/>
          <c:x val="0.364477329824617"/>
          <c:y val="2.4008633178511901E-2"/>
        </c:manualLayout>
      </c:layout>
      <c:overlay val="0"/>
      <c:spPr>
        <a:noFill/>
        <a:ln>
          <a:noFill/>
        </a:ln>
        <a:effectLst/>
      </c:spPr>
    </c:title>
    <c:autoTitleDeleted val="0"/>
    <c:plotArea>
      <c:layout>
        <c:manualLayout>
          <c:layoutTarget val="inner"/>
          <c:xMode val="edge"/>
          <c:yMode val="edge"/>
          <c:x val="0.222316738373284"/>
          <c:y val="0.10345606505534199"/>
          <c:w val="0.66094488834255305"/>
          <c:h val="0.60126496498757598"/>
        </c:manualLayout>
      </c:layout>
      <c:barChart>
        <c:barDir val="col"/>
        <c:grouping val="clustered"/>
        <c:varyColors val="0"/>
        <c:ser>
          <c:idx val="1"/>
          <c:order val="0"/>
          <c:tx>
            <c:strRef>
              <c:f>[永修表格数据.xlsx]Sheet1!$A$3</c:f>
              <c:strCache>
                <c:ptCount val="1"/>
                <c:pt idx="0">
                  <c:v>GDP（亿元）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[永修表格数据.20210126221148227.xlsx]Sheet1!$C$2:$G$2</c:f>
              <c:numCache>
                <c:formatCode>General</c:formatCode>
                <c:ptCount val="5"/>
                <c:pt idx="0">
                  <c:v>2016</c:v>
                </c:pt>
                <c:pt idx="1">
                  <c:v>2017</c:v>
                </c:pt>
                <c:pt idx="2">
                  <c:v>2018</c:v>
                </c:pt>
                <c:pt idx="3">
                  <c:v>2019</c:v>
                </c:pt>
                <c:pt idx="4">
                  <c:v>2020</c:v>
                </c:pt>
              </c:numCache>
            </c:numRef>
          </c:cat>
          <c:val>
            <c:numRef>
              <c:f>[永修表格数据.20210126221148227.xlsx]Sheet1!$C$3:$G$3</c:f>
              <c:numCache>
                <c:formatCode>General</c:formatCode>
                <c:ptCount val="5"/>
                <c:pt idx="0">
                  <c:v>136.07</c:v>
                </c:pt>
                <c:pt idx="1">
                  <c:v>159.27000000000001</c:v>
                </c:pt>
                <c:pt idx="2">
                  <c:v>180.5</c:v>
                </c:pt>
                <c:pt idx="3">
                  <c:v>242.75</c:v>
                </c:pt>
                <c:pt idx="4">
                  <c:v>260</c:v>
                </c:pt>
              </c:numCache>
            </c:numRef>
          </c:val>
          <c:extLst>
            <c:ext xmlns:c16="http://schemas.microsoft.com/office/drawing/2014/chart" uri="{C3380CC4-5D6E-409C-BE32-E72D297353CC}">
              <c16:uniqueId val="{00000000-857C-47E7-90B0-D0EAC1102E88}"/>
            </c:ext>
          </c:extLst>
        </c:ser>
        <c:dLbls>
          <c:showLegendKey val="1"/>
          <c:showVal val="1"/>
          <c:showCatName val="1"/>
          <c:showSerName val="1"/>
          <c:showPercent val="1"/>
          <c:showBubbleSize val="1"/>
        </c:dLbls>
        <c:gapWidth val="219"/>
        <c:overlap val="-27"/>
        <c:axId val="46153088"/>
        <c:axId val="44045440"/>
      </c:barChart>
      <c:lineChart>
        <c:grouping val="standard"/>
        <c:varyColors val="0"/>
        <c:ser>
          <c:idx val="0"/>
          <c:order val="2"/>
          <c:tx>
            <c:strRef>
              <c:f>[永修表格数据.xlsx]Sheet1!$A$5</c:f>
              <c:strCache>
                <c:ptCount val="1"/>
                <c:pt idx="0">
                  <c:v>线性GDP（亿元）</c:v>
                </c:pt>
              </c:strCache>
            </c:strRef>
          </c:tx>
          <c:spPr>
            <a:ln w="28575" cap="rnd" cmpd="sng" algn="ctr">
              <a:solidFill>
                <a:schemeClr val="accent1"/>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[永修表格数据.20210126221148227.xlsx]Sheet1!$C$2:$G$2</c:f>
              <c:numCache>
                <c:formatCode>General</c:formatCode>
                <c:ptCount val="5"/>
                <c:pt idx="0">
                  <c:v>2016</c:v>
                </c:pt>
                <c:pt idx="1">
                  <c:v>2017</c:v>
                </c:pt>
                <c:pt idx="2">
                  <c:v>2018</c:v>
                </c:pt>
                <c:pt idx="3">
                  <c:v>2019</c:v>
                </c:pt>
                <c:pt idx="4">
                  <c:v>2020</c:v>
                </c:pt>
              </c:numCache>
            </c:numRef>
          </c:cat>
          <c:val>
            <c:numRef>
              <c:f>[永修表格数据.20210126221148227.xlsx]Sheet1!$C$5:$G$5</c:f>
              <c:numCache>
                <c:formatCode>General</c:formatCode>
                <c:ptCount val="5"/>
                <c:pt idx="0">
                  <c:v>136.07</c:v>
                </c:pt>
                <c:pt idx="1">
                  <c:v>159.27000000000001</c:v>
                </c:pt>
                <c:pt idx="2">
                  <c:v>180.5</c:v>
                </c:pt>
                <c:pt idx="3">
                  <c:v>242.75</c:v>
                </c:pt>
                <c:pt idx="4">
                  <c:v>260</c:v>
                </c:pt>
              </c:numCache>
            </c:numRef>
          </c:val>
          <c:smooth val="1"/>
          <c:extLst>
            <c:ext xmlns:c16="http://schemas.microsoft.com/office/drawing/2014/chart" uri="{C3380CC4-5D6E-409C-BE32-E72D297353CC}">
              <c16:uniqueId val="{00000001-857C-47E7-90B0-D0EAC1102E88}"/>
            </c:ext>
          </c:extLst>
        </c:ser>
        <c:dLbls>
          <c:showLegendKey val="1"/>
          <c:showVal val="1"/>
          <c:showCatName val="1"/>
          <c:showSerName val="1"/>
          <c:showPercent val="1"/>
          <c:showBubbleSize val="1"/>
        </c:dLbls>
        <c:marker val="1"/>
        <c:smooth val="0"/>
        <c:axId val="46153088"/>
        <c:axId val="44045440"/>
      </c:lineChart>
      <c:lineChart>
        <c:grouping val="standard"/>
        <c:varyColors val="0"/>
        <c:ser>
          <c:idx val="2"/>
          <c:order val="1"/>
          <c:tx>
            <c:strRef>
              <c:f>[永修表格数据.xlsx]Sheet1!$A$4</c:f>
              <c:strCache>
                <c:ptCount val="1"/>
                <c:pt idx="0">
                  <c:v>增速（%）</c:v>
                </c:pt>
              </c:strCache>
            </c:strRef>
          </c:tx>
          <c:spPr>
            <a:ln w="28575" cap="rnd" cmpd="sng" algn="ctr">
              <a:solidFill>
                <a:schemeClr val="accent3"/>
              </a:solidFill>
              <a:prstDash val="sysDot"/>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[永修表格数据.20210126221148227.xlsx]Sheet1!$C$2:$G$2</c:f>
              <c:numCache>
                <c:formatCode>General</c:formatCode>
                <c:ptCount val="5"/>
                <c:pt idx="0">
                  <c:v>2016</c:v>
                </c:pt>
                <c:pt idx="1">
                  <c:v>2017</c:v>
                </c:pt>
                <c:pt idx="2">
                  <c:v>2018</c:v>
                </c:pt>
                <c:pt idx="3">
                  <c:v>2019</c:v>
                </c:pt>
                <c:pt idx="4">
                  <c:v>2020</c:v>
                </c:pt>
              </c:numCache>
            </c:numRef>
          </c:cat>
          <c:val>
            <c:numRef>
              <c:f>[永修表格数据.xlsx]Sheet1!$C$4:$G$4</c:f>
              <c:numCache>
                <c:formatCode>General</c:formatCode>
                <c:ptCount val="5"/>
                <c:pt idx="0">
                  <c:v>9.4</c:v>
                </c:pt>
                <c:pt idx="1">
                  <c:v>9.3000000000000007</c:v>
                </c:pt>
                <c:pt idx="2">
                  <c:v>8.6999999999999993</c:v>
                </c:pt>
                <c:pt idx="3">
                  <c:v>8.4</c:v>
                </c:pt>
                <c:pt idx="4">
                  <c:v>4.5</c:v>
                </c:pt>
              </c:numCache>
            </c:numRef>
          </c:val>
          <c:smooth val="1"/>
          <c:extLst>
            <c:ext xmlns:c16="http://schemas.microsoft.com/office/drawing/2014/chart" uri="{C3380CC4-5D6E-409C-BE32-E72D297353CC}">
              <c16:uniqueId val="{00000002-857C-47E7-90B0-D0EAC1102E88}"/>
            </c:ext>
          </c:extLst>
        </c:ser>
        <c:dLbls>
          <c:showLegendKey val="1"/>
          <c:showVal val="1"/>
          <c:showCatName val="1"/>
          <c:showSerName val="1"/>
          <c:showPercent val="1"/>
          <c:showBubbleSize val="1"/>
        </c:dLbls>
        <c:marker val="1"/>
        <c:smooth val="0"/>
        <c:axId val="44047744"/>
        <c:axId val="44061824"/>
      </c:lineChart>
      <c:catAx>
        <c:axId val="4615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045440"/>
        <c:crosses val="autoZero"/>
        <c:auto val="1"/>
        <c:lblAlgn val="ctr"/>
        <c:lblOffset val="100"/>
        <c:noMultiLvlLbl val="0"/>
      </c:catAx>
      <c:valAx>
        <c:axId val="44045440"/>
        <c:scaling>
          <c:orientation val="minMax"/>
        </c:scaling>
        <c:delete val="0"/>
        <c:axPos val="l"/>
        <c:majorGridlines>
          <c:spPr>
            <a:ln w="3175" cap="flat" cmpd="sng" algn="ctr">
              <a:solidFill>
                <a:schemeClr val="bg1">
                  <a:lumMod val="85000"/>
                </a:schemeClr>
              </a:solidFill>
              <a:prstDash val="solid"/>
              <a:miter lim="800000"/>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b="1"/>
                  <a:t>GDP</a:t>
                </a:r>
                <a:r>
                  <a:rPr lang="en-US" altLang="en-US" b="1"/>
                  <a:t>（</a:t>
                </a:r>
                <a:r>
                  <a:rPr lang="zh-CN" altLang="en-US" b="1"/>
                  <a:t>亿元）</a:t>
                </a:r>
              </a:p>
            </c:rich>
          </c:tx>
          <c:layout>
            <c:manualLayout>
              <c:xMode val="edge"/>
              <c:yMode val="edge"/>
              <c:x val="0.111987704918033"/>
              <c:y val="0.26144115653941702"/>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153088"/>
        <c:crosses val="autoZero"/>
        <c:crossBetween val="between"/>
      </c:valAx>
      <c:catAx>
        <c:axId val="44047744"/>
        <c:scaling>
          <c:orientation val="minMax"/>
        </c:scaling>
        <c:delete val="1"/>
        <c:axPos val="b"/>
        <c:numFmt formatCode="General" sourceLinked="1"/>
        <c:majorTickMark val="none"/>
        <c:minorTickMark val="none"/>
        <c:tickLblPos val="none"/>
        <c:crossAx val="44061824"/>
        <c:crosses val="autoZero"/>
        <c:auto val="1"/>
        <c:lblAlgn val="ctr"/>
        <c:lblOffset val="100"/>
        <c:noMultiLvlLbl val="0"/>
      </c:catAx>
      <c:valAx>
        <c:axId val="44061824"/>
        <c:scaling>
          <c:orientation val="minMax"/>
          <c:max val="10"/>
        </c:scaling>
        <c:delete val="0"/>
        <c:axPos val="r"/>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b="1"/>
                  <a:t>GDP</a:t>
                </a:r>
                <a:r>
                  <a:rPr lang="zh-CN" altLang="en-US" b="1"/>
                  <a:t>增长率（</a:t>
                </a:r>
                <a:r>
                  <a:rPr lang="en-US" altLang="zh-CN" b="1"/>
                  <a:t>%</a:t>
                </a:r>
                <a:r>
                  <a:rPr lang="zh-CN" altLang="en-US" b="1"/>
                  <a:t>）</a:t>
                </a:r>
              </a:p>
            </c:rich>
          </c:tx>
          <c:layout>
            <c:manualLayout>
              <c:xMode val="edge"/>
              <c:yMode val="edge"/>
              <c:x val="0.94313551878982005"/>
              <c:y val="0.242127851818387"/>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047744"/>
        <c:crosses val="max"/>
        <c:crossBetween val="between"/>
      </c:valAx>
      <c:dTable>
        <c:showHorzBorder val="1"/>
        <c:showVertBorder val="1"/>
        <c:showOutline val="1"/>
        <c:showKeys val="1"/>
        <c:spPr>
          <a:noFill/>
          <a:ln w="9525" cap="flat" cmpd="sng" algn="ctr">
            <a:no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layout>
        <c:manualLayout>
          <c:xMode val="edge"/>
          <c:yMode val="edge"/>
          <c:x val="0.24014512649539099"/>
          <c:y val="0.937755798090040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产业结构</a:t>
            </a:r>
          </a:p>
        </c:rich>
      </c:tx>
      <c:overlay val="0"/>
      <c:spPr>
        <a:noFill/>
        <a:ln>
          <a:noFill/>
        </a:ln>
        <a:effectLst/>
      </c:spPr>
    </c:title>
    <c:autoTitleDeleted val="0"/>
    <c:plotArea>
      <c:layout>
        <c:manualLayout>
          <c:layoutTarget val="inner"/>
          <c:xMode val="edge"/>
          <c:yMode val="edge"/>
          <c:x val="0.21085638998682499"/>
          <c:y val="0.16180540770704699"/>
          <c:w val="0.76173913043478303"/>
          <c:h val="0.45833510751543499"/>
        </c:manualLayout>
      </c:layout>
      <c:barChart>
        <c:barDir val="col"/>
        <c:grouping val="clustered"/>
        <c:varyColors val="0"/>
        <c:ser>
          <c:idx val="0"/>
          <c:order val="0"/>
          <c:tx>
            <c:strRef>
              <c:f>[永修表格数据.xlsx]Sheet1!$A$11</c:f>
              <c:strCache>
                <c:ptCount val="1"/>
                <c:pt idx="0">
                  <c:v>第一产业</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chemeClr val="bg1"/>
                    </a:solidFill>
                    <a:uFill>
                      <a:solidFill>
                        <a:schemeClr val="tx1">
                          <a:lumMod val="75000"/>
                          <a:lumOff val="25000"/>
                        </a:schemeClr>
                      </a:solidFill>
                    </a:uFill>
                    <a:latin typeface="+mn-lt"/>
                    <a:ea typeface="+mn-ea"/>
                    <a:cs typeface="+mn-cs"/>
                  </a:defRPr>
                </a:pPr>
                <a:endParaRPr lang="zh-CN"/>
              </a:p>
            </c:txPr>
            <c:dLblPos val="inEnd"/>
            <c:showLegendKey val="1"/>
            <c:showVal val="1"/>
            <c:showCatName val="1"/>
            <c:showSerName val="1"/>
            <c:showPercent val="1"/>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[永修表格数据.xlsx]Sheet1!$B$10:$G$10</c:f>
              <c:numCache>
                <c:formatCode>General</c:formatCode>
                <c:ptCount val="6"/>
                <c:pt idx="0">
                  <c:v>2015</c:v>
                </c:pt>
                <c:pt idx="1">
                  <c:v>2016</c:v>
                </c:pt>
                <c:pt idx="2">
                  <c:v>2017</c:v>
                </c:pt>
                <c:pt idx="3">
                  <c:v>2018</c:v>
                </c:pt>
                <c:pt idx="4">
                  <c:v>2019</c:v>
                </c:pt>
                <c:pt idx="5">
                  <c:v>2020</c:v>
                </c:pt>
              </c:numCache>
            </c:numRef>
          </c:cat>
          <c:val>
            <c:numRef>
              <c:f>[永修表格数据.xlsx]Sheet1!$B$11:$G$11</c:f>
              <c:numCache>
                <c:formatCode>General</c:formatCode>
                <c:ptCount val="6"/>
                <c:pt idx="0">
                  <c:v>11.8</c:v>
                </c:pt>
                <c:pt idx="1">
                  <c:v>11.5</c:v>
                </c:pt>
                <c:pt idx="2">
                  <c:v>13.7</c:v>
                </c:pt>
                <c:pt idx="3">
                  <c:v>11.9</c:v>
                </c:pt>
                <c:pt idx="4">
                  <c:v>10.1</c:v>
                </c:pt>
                <c:pt idx="5">
                  <c:v>10</c:v>
                </c:pt>
              </c:numCache>
            </c:numRef>
          </c:val>
          <c:extLst>
            <c:ext xmlns:c16="http://schemas.microsoft.com/office/drawing/2014/chart" uri="{C3380CC4-5D6E-409C-BE32-E72D297353CC}">
              <c16:uniqueId val="{00000000-438F-49DC-8BC3-57D490F5CCD9}"/>
            </c:ext>
          </c:extLst>
        </c:ser>
        <c:ser>
          <c:idx val="1"/>
          <c:order val="1"/>
          <c:tx>
            <c:strRef>
              <c:f>[永修表格数据.xlsx]Sheet1!$A$12</c:f>
              <c:strCache>
                <c:ptCount val="1"/>
                <c:pt idx="0">
                  <c:v>第二产业</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1" i="0" u="none" strike="noStrike" kern="1200" cap="none" spc="0" normalizeH="0" baseline="0">
                    <a:solidFill>
                      <a:schemeClr val="bg1"/>
                    </a:solidFill>
                    <a:uFill>
                      <a:solidFill>
                        <a:schemeClr val="tx1">
                          <a:lumMod val="75000"/>
                          <a:lumOff val="25000"/>
                        </a:schemeClr>
                      </a:solidFill>
                    </a:uFill>
                    <a:latin typeface="+mn-lt"/>
                    <a:ea typeface="+mn-ea"/>
                    <a:cs typeface="+mn-cs"/>
                  </a:defRPr>
                </a:pPr>
                <a:endParaRPr lang="zh-CN"/>
              </a:p>
            </c:txPr>
            <c:dLblPos val="inEnd"/>
            <c:showLegendKey val="1"/>
            <c:showVal val="1"/>
            <c:showCatName val="1"/>
            <c:showSerName val="1"/>
            <c:showPercent val="1"/>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[永修表格数据.xlsx]Sheet1!$B$10:$G$10</c:f>
              <c:numCache>
                <c:formatCode>General</c:formatCode>
                <c:ptCount val="6"/>
                <c:pt idx="0">
                  <c:v>2015</c:v>
                </c:pt>
                <c:pt idx="1">
                  <c:v>2016</c:v>
                </c:pt>
                <c:pt idx="2">
                  <c:v>2017</c:v>
                </c:pt>
                <c:pt idx="3">
                  <c:v>2018</c:v>
                </c:pt>
                <c:pt idx="4">
                  <c:v>2019</c:v>
                </c:pt>
                <c:pt idx="5">
                  <c:v>2020</c:v>
                </c:pt>
              </c:numCache>
            </c:numRef>
          </c:cat>
          <c:val>
            <c:numRef>
              <c:f>[永修表格数据.xlsx]Sheet1!$B$12:$G$12</c:f>
              <c:numCache>
                <c:formatCode>General</c:formatCode>
                <c:ptCount val="6"/>
                <c:pt idx="0">
                  <c:v>64.400000000000006</c:v>
                </c:pt>
                <c:pt idx="1">
                  <c:v>64</c:v>
                </c:pt>
                <c:pt idx="2">
                  <c:v>61.3</c:v>
                </c:pt>
                <c:pt idx="3">
                  <c:v>61.6</c:v>
                </c:pt>
                <c:pt idx="4">
                  <c:v>54.3</c:v>
                </c:pt>
                <c:pt idx="5">
                  <c:v>54</c:v>
                </c:pt>
              </c:numCache>
            </c:numRef>
          </c:val>
          <c:extLst>
            <c:ext xmlns:c16="http://schemas.microsoft.com/office/drawing/2014/chart" uri="{C3380CC4-5D6E-409C-BE32-E72D297353CC}">
              <c16:uniqueId val="{00000001-438F-49DC-8BC3-57D490F5CCD9}"/>
            </c:ext>
          </c:extLst>
        </c:ser>
        <c:ser>
          <c:idx val="2"/>
          <c:order val="2"/>
          <c:tx>
            <c:strRef>
              <c:f>[永修表格数据.xlsx]Sheet1!$A$13</c:f>
              <c:strCache>
                <c:ptCount val="1"/>
                <c:pt idx="0">
                  <c:v>第三产业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chemeClr val="bg1"/>
                    </a:solidFill>
                    <a:uFill>
                      <a:solidFill>
                        <a:schemeClr val="tx1">
                          <a:lumMod val="75000"/>
                          <a:lumOff val="25000"/>
                        </a:schemeClr>
                      </a:solidFill>
                    </a:uFill>
                    <a:latin typeface="+mn-lt"/>
                    <a:ea typeface="+mn-ea"/>
                    <a:cs typeface="+mn-cs"/>
                  </a:defRPr>
                </a:pPr>
                <a:endParaRPr lang="zh-CN"/>
              </a:p>
            </c:txPr>
            <c:dLblPos val="inEnd"/>
            <c:showLegendKey val="1"/>
            <c:showVal val="1"/>
            <c:showCatName val="1"/>
            <c:showSerName val="1"/>
            <c:showPercent val="1"/>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[永修表格数据.xlsx]Sheet1!$B$10:$G$10</c:f>
              <c:numCache>
                <c:formatCode>General</c:formatCode>
                <c:ptCount val="6"/>
                <c:pt idx="0">
                  <c:v>2015</c:v>
                </c:pt>
                <c:pt idx="1">
                  <c:v>2016</c:v>
                </c:pt>
                <c:pt idx="2">
                  <c:v>2017</c:v>
                </c:pt>
                <c:pt idx="3">
                  <c:v>2018</c:v>
                </c:pt>
                <c:pt idx="4">
                  <c:v>2019</c:v>
                </c:pt>
                <c:pt idx="5">
                  <c:v>2020</c:v>
                </c:pt>
              </c:numCache>
            </c:numRef>
          </c:cat>
          <c:val>
            <c:numRef>
              <c:f>[永修表格数据.xlsx]Sheet1!$B$13:$G$13</c:f>
              <c:numCache>
                <c:formatCode>General</c:formatCode>
                <c:ptCount val="6"/>
                <c:pt idx="0">
                  <c:v>23.8</c:v>
                </c:pt>
                <c:pt idx="1">
                  <c:v>24.5</c:v>
                </c:pt>
                <c:pt idx="2" formatCode="0.0_ ">
                  <c:v>25</c:v>
                </c:pt>
                <c:pt idx="3">
                  <c:v>26.5</c:v>
                </c:pt>
                <c:pt idx="4">
                  <c:v>35.6</c:v>
                </c:pt>
                <c:pt idx="5">
                  <c:v>36</c:v>
                </c:pt>
              </c:numCache>
            </c:numRef>
          </c:val>
          <c:extLst>
            <c:ext xmlns:c16="http://schemas.microsoft.com/office/drawing/2014/chart" uri="{C3380CC4-5D6E-409C-BE32-E72D297353CC}">
              <c16:uniqueId val="{00000002-438F-49DC-8BC3-57D490F5CCD9}"/>
            </c:ext>
          </c:extLst>
        </c:ser>
        <c:dLbls>
          <c:showLegendKey val="1"/>
          <c:showVal val="1"/>
          <c:showCatName val="1"/>
          <c:showSerName val="1"/>
          <c:showPercent val="1"/>
          <c:showBubbleSize val="1"/>
        </c:dLbls>
        <c:gapWidth val="29"/>
        <c:overlap val="1"/>
        <c:axId val="46156800"/>
        <c:axId val="70075136"/>
      </c:barChart>
      <c:catAx>
        <c:axId val="4615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0075136"/>
        <c:crosses val="autoZero"/>
        <c:auto val="1"/>
        <c:lblAlgn val="ctr"/>
        <c:lblOffset val="100"/>
        <c:noMultiLvlLbl val="0"/>
      </c:catAx>
      <c:valAx>
        <c:axId val="70075136"/>
        <c:scaling>
          <c:orientation val="minMax"/>
        </c:scaling>
        <c:delete val="1"/>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b="1"/>
                  <a:t>三次产业比重（</a:t>
                </a:r>
                <a:r>
                  <a:rPr lang="en-US" altLang="zh-CN" b="1"/>
                  <a:t>%</a:t>
                </a:r>
                <a:r>
                  <a:rPr lang="zh-CN" altLang="en-US" b="1"/>
                  <a:t>）</a:t>
                </a:r>
              </a:p>
            </c:rich>
          </c:tx>
          <c:overlay val="0"/>
          <c:spPr>
            <a:noFill/>
            <a:ln>
              <a:noFill/>
            </a:ln>
            <a:effectLst/>
          </c:spPr>
        </c:title>
        <c:numFmt formatCode="General" sourceLinked="1"/>
        <c:majorTickMark val="none"/>
        <c:minorTickMark val="none"/>
        <c:tickLblPos val="none"/>
        <c:crossAx val="46156800"/>
        <c:crosses val="autoZero"/>
        <c:crossBetween val="between"/>
      </c:valAx>
      <c:dTable>
        <c:showHorzBorder val="1"/>
        <c:showVertBorder val="1"/>
        <c:showOutline val="1"/>
        <c:showKeys val="1"/>
        <c:spPr>
          <a:noFill/>
          <a:ln w="9525" cap="flat" cmpd="sng" algn="ctr">
            <a:no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w="3175">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solidFill>
                  <a:schemeClr val="tx1">
                    <a:lumMod val="65000"/>
                    <a:lumOff val="35000"/>
                  </a:schemeClr>
                </a:solidFill>
                <a:uFillTx/>
              </a:rPr>
              <a:t>城乡</a:t>
            </a:r>
            <a:r>
              <a:rPr lang="zh-CN" altLang="en-US" b="1"/>
              <a:t>居民可支配收入及增速</a:t>
            </a:r>
          </a:p>
        </c:rich>
      </c:tx>
      <c:layout>
        <c:manualLayout>
          <c:xMode val="edge"/>
          <c:yMode val="edge"/>
          <c:x val="0.292325056433409"/>
          <c:y val="2.2118742724097799E-2"/>
        </c:manualLayout>
      </c:layout>
      <c:overlay val="0"/>
      <c:spPr>
        <a:noFill/>
        <a:ln>
          <a:noFill/>
        </a:ln>
        <a:effectLst/>
      </c:spPr>
    </c:title>
    <c:autoTitleDeleted val="0"/>
    <c:plotArea>
      <c:layout>
        <c:manualLayout>
          <c:layoutTarget val="inner"/>
          <c:xMode val="edge"/>
          <c:yMode val="edge"/>
          <c:x val="8.4186764880598799E-2"/>
          <c:y val="0.18323632130384199"/>
          <c:w val="0.861209457051206"/>
          <c:h val="0.53955762514551797"/>
        </c:manualLayout>
      </c:layout>
      <c:barChart>
        <c:barDir val="col"/>
        <c:grouping val="clustered"/>
        <c:varyColors val="0"/>
        <c:ser>
          <c:idx val="0"/>
          <c:order val="0"/>
          <c:tx>
            <c:strRef>
              <c:f>[永修表格数据.xlsx]Sheet1!$A$21</c:f>
              <c:strCache>
                <c:ptCount val="1"/>
                <c:pt idx="0">
                  <c:v>城镇居民人均可支配收入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[永修表格数据.20210126221148227.xlsx]Sheet1!$C$20:$G$20</c:f>
              <c:strCache>
                <c:ptCount val="5"/>
                <c:pt idx="0">
                  <c:v>2016年</c:v>
                </c:pt>
                <c:pt idx="1">
                  <c:v>2017年</c:v>
                </c:pt>
                <c:pt idx="2">
                  <c:v>2018年</c:v>
                </c:pt>
                <c:pt idx="3">
                  <c:v>2019年</c:v>
                </c:pt>
                <c:pt idx="4">
                  <c:v>2020年</c:v>
                </c:pt>
              </c:strCache>
            </c:strRef>
          </c:cat>
          <c:val>
            <c:numRef>
              <c:f>[永修表格数据.20210126221148227.xlsx]Sheet1!$C$21:$G$21</c:f>
              <c:numCache>
                <c:formatCode>General</c:formatCode>
                <c:ptCount val="5"/>
                <c:pt idx="0">
                  <c:v>28587</c:v>
                </c:pt>
                <c:pt idx="1">
                  <c:v>31031</c:v>
                </c:pt>
                <c:pt idx="2">
                  <c:v>33591</c:v>
                </c:pt>
                <c:pt idx="3">
                  <c:v>36279</c:v>
                </c:pt>
                <c:pt idx="4">
                  <c:v>38456</c:v>
                </c:pt>
              </c:numCache>
            </c:numRef>
          </c:val>
          <c:extLst>
            <c:ext xmlns:c16="http://schemas.microsoft.com/office/drawing/2014/chart" uri="{C3380CC4-5D6E-409C-BE32-E72D297353CC}">
              <c16:uniqueId val="{00000000-F123-4DB5-9337-39CC801E56EA}"/>
            </c:ext>
          </c:extLst>
        </c:ser>
        <c:ser>
          <c:idx val="1"/>
          <c:order val="1"/>
          <c:tx>
            <c:strRef>
              <c:f>[永修表格数据.xlsx]Sheet1!$A$22</c:f>
              <c:strCache>
                <c:ptCount val="1"/>
                <c:pt idx="0">
                  <c:v>农村居民人均可支配收入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[永修表格数据.20210126221148227.xlsx]Sheet1!$C$20:$G$20</c:f>
              <c:strCache>
                <c:ptCount val="5"/>
                <c:pt idx="0">
                  <c:v>2016年</c:v>
                </c:pt>
                <c:pt idx="1">
                  <c:v>2017年</c:v>
                </c:pt>
                <c:pt idx="2">
                  <c:v>2018年</c:v>
                </c:pt>
                <c:pt idx="3">
                  <c:v>2019年</c:v>
                </c:pt>
                <c:pt idx="4">
                  <c:v>2020年</c:v>
                </c:pt>
              </c:strCache>
            </c:strRef>
          </c:cat>
          <c:val>
            <c:numRef>
              <c:f>[永修表格数据.20210126221148227.xlsx]Sheet1!$C$22:$G$22</c:f>
              <c:numCache>
                <c:formatCode>General</c:formatCode>
                <c:ptCount val="5"/>
                <c:pt idx="0">
                  <c:v>13814</c:v>
                </c:pt>
                <c:pt idx="1">
                  <c:v>15127</c:v>
                </c:pt>
                <c:pt idx="2">
                  <c:v>16497</c:v>
                </c:pt>
                <c:pt idx="3">
                  <c:v>17949</c:v>
                </c:pt>
                <c:pt idx="4">
                  <c:v>19295</c:v>
                </c:pt>
              </c:numCache>
            </c:numRef>
          </c:val>
          <c:extLst>
            <c:ext xmlns:c16="http://schemas.microsoft.com/office/drawing/2014/chart" uri="{C3380CC4-5D6E-409C-BE32-E72D297353CC}">
              <c16:uniqueId val="{00000001-F123-4DB5-9337-39CC801E56EA}"/>
            </c:ext>
          </c:extLst>
        </c:ser>
        <c:dLbls>
          <c:showLegendKey val="1"/>
          <c:showVal val="1"/>
          <c:showCatName val="1"/>
          <c:showSerName val="1"/>
          <c:showPercent val="1"/>
          <c:showBubbleSize val="1"/>
        </c:dLbls>
        <c:gapWidth val="219"/>
        <c:overlap val="-27"/>
        <c:axId val="70109056"/>
        <c:axId val="70110592"/>
      </c:barChart>
      <c:lineChart>
        <c:grouping val="standard"/>
        <c:varyColors val="0"/>
        <c:ser>
          <c:idx val="2"/>
          <c:order val="2"/>
          <c:tx>
            <c:strRef>
              <c:f>[永修表格数据.xlsx]Sheet1!$A$23</c:f>
              <c:strCache>
                <c:ptCount val="1"/>
                <c:pt idx="0">
                  <c:v>城镇居民人均可支配收入增速（%）</c:v>
                </c:pt>
              </c:strCache>
            </c:strRef>
          </c:tx>
          <c:spPr>
            <a:ln w="28575" cap="rnd" cmpd="sng" algn="ctr">
              <a:solidFill>
                <a:schemeClr val="accent3"/>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[永修表格数据.20210126221148227.xlsx]Sheet1!$C$20:$G$20</c:f>
              <c:strCache>
                <c:ptCount val="5"/>
                <c:pt idx="0">
                  <c:v>2016年</c:v>
                </c:pt>
                <c:pt idx="1">
                  <c:v>2017年</c:v>
                </c:pt>
                <c:pt idx="2">
                  <c:v>2018年</c:v>
                </c:pt>
                <c:pt idx="3">
                  <c:v>2019年</c:v>
                </c:pt>
                <c:pt idx="4">
                  <c:v>2020年</c:v>
                </c:pt>
              </c:strCache>
            </c:strRef>
          </c:cat>
          <c:val>
            <c:numRef>
              <c:f>[永修表格数据.20210126221148227.xlsx]Sheet1!$C$23:$G$23</c:f>
              <c:numCache>
                <c:formatCode>General</c:formatCode>
                <c:ptCount val="5"/>
                <c:pt idx="0">
                  <c:v>8.6999999999999993</c:v>
                </c:pt>
                <c:pt idx="1">
                  <c:v>8.6</c:v>
                </c:pt>
                <c:pt idx="2">
                  <c:v>8.3000000000000007</c:v>
                </c:pt>
                <c:pt idx="3">
                  <c:v>8</c:v>
                </c:pt>
                <c:pt idx="4">
                  <c:v>6</c:v>
                </c:pt>
              </c:numCache>
            </c:numRef>
          </c:val>
          <c:smooth val="1"/>
          <c:extLst>
            <c:ext xmlns:c16="http://schemas.microsoft.com/office/drawing/2014/chart" uri="{C3380CC4-5D6E-409C-BE32-E72D297353CC}">
              <c16:uniqueId val="{00000002-F123-4DB5-9337-39CC801E56EA}"/>
            </c:ext>
          </c:extLst>
        </c:ser>
        <c:ser>
          <c:idx val="3"/>
          <c:order val="3"/>
          <c:tx>
            <c:strRef>
              <c:f>[永修表格数据.xlsx]Sheet1!$A$24</c:f>
              <c:strCache>
                <c:ptCount val="1"/>
                <c:pt idx="0">
                  <c:v>农村居民人均可支配收入增速（%）</c:v>
                </c:pt>
              </c:strCache>
            </c:strRef>
          </c:tx>
          <c:spPr>
            <a:ln w="28575" cap="rnd" cmpd="sng" algn="ctr">
              <a:solidFill>
                <a:schemeClr val="accent4"/>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[永修表格数据.20210126221148227.xlsx]Sheet1!$C$20:$G$20</c:f>
              <c:strCache>
                <c:ptCount val="5"/>
                <c:pt idx="0">
                  <c:v>2016年</c:v>
                </c:pt>
                <c:pt idx="1">
                  <c:v>2017年</c:v>
                </c:pt>
                <c:pt idx="2">
                  <c:v>2018年</c:v>
                </c:pt>
                <c:pt idx="3">
                  <c:v>2019年</c:v>
                </c:pt>
                <c:pt idx="4">
                  <c:v>2020年</c:v>
                </c:pt>
              </c:strCache>
            </c:strRef>
          </c:cat>
          <c:val>
            <c:numRef>
              <c:f>[永修表格数据.20210126221148227.xlsx]Sheet1!$C$24:$G$24</c:f>
              <c:numCache>
                <c:formatCode>General</c:formatCode>
                <c:ptCount val="5"/>
                <c:pt idx="0">
                  <c:v>9.1</c:v>
                </c:pt>
                <c:pt idx="1">
                  <c:v>9.5</c:v>
                </c:pt>
                <c:pt idx="2">
                  <c:v>9.1</c:v>
                </c:pt>
                <c:pt idx="3">
                  <c:v>8.8000000000000007</c:v>
                </c:pt>
                <c:pt idx="4">
                  <c:v>7.5</c:v>
                </c:pt>
              </c:numCache>
            </c:numRef>
          </c:val>
          <c:smooth val="1"/>
          <c:extLst>
            <c:ext xmlns:c16="http://schemas.microsoft.com/office/drawing/2014/chart" uri="{C3380CC4-5D6E-409C-BE32-E72D297353CC}">
              <c16:uniqueId val="{00000003-F123-4DB5-9337-39CC801E56EA}"/>
            </c:ext>
          </c:extLst>
        </c:ser>
        <c:dLbls>
          <c:showLegendKey val="1"/>
          <c:showVal val="1"/>
          <c:showCatName val="1"/>
          <c:showSerName val="1"/>
          <c:showPercent val="1"/>
          <c:showBubbleSize val="1"/>
        </c:dLbls>
        <c:marker val="1"/>
        <c:smooth val="0"/>
        <c:axId val="70976640"/>
        <c:axId val="70978176"/>
      </c:lineChart>
      <c:catAx>
        <c:axId val="701090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0110592"/>
        <c:crosses val="autoZero"/>
        <c:auto val="1"/>
        <c:lblAlgn val="ctr"/>
        <c:lblOffset val="100"/>
        <c:noMultiLvlLbl val="0"/>
      </c:catAx>
      <c:valAx>
        <c:axId val="70110592"/>
        <c:scaling>
          <c:orientation val="minMax"/>
          <c:max val="45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0109056"/>
        <c:crosses val="autoZero"/>
        <c:crossBetween val="between"/>
        <c:majorUnit val="5000"/>
      </c:valAx>
      <c:catAx>
        <c:axId val="70976640"/>
        <c:scaling>
          <c:orientation val="minMax"/>
        </c:scaling>
        <c:delete val="1"/>
        <c:axPos val="b"/>
        <c:numFmt formatCode="General" sourceLinked="1"/>
        <c:majorTickMark val="none"/>
        <c:minorTickMark val="none"/>
        <c:tickLblPos val="none"/>
        <c:crossAx val="70978176"/>
        <c:crosses val="autoZero"/>
        <c:auto val="1"/>
        <c:lblAlgn val="ctr"/>
        <c:lblOffset val="100"/>
        <c:noMultiLvlLbl val="0"/>
      </c:catAx>
      <c:valAx>
        <c:axId val="70978176"/>
        <c:scaling>
          <c:orientation val="minMax"/>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0976640"/>
        <c:crosses val="max"/>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121</Pages>
  <Words>9798</Words>
  <Characters>55849</Characters>
  <Application>Microsoft Office Word</Application>
  <DocSecurity>0</DocSecurity>
  <Lines>465</Lines>
  <Paragraphs>131</Paragraphs>
  <ScaleCrop>false</ScaleCrop>
  <Company/>
  <LinksUpToDate>false</LinksUpToDate>
  <CharactersWithSpaces>65516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永修县国民经济和社会发展</dc:title>
  <dc:creator>Administrator</dc:creator>
  <cp:lastModifiedBy>jess lin</cp:lastModifiedBy>
  <cp:revision>5</cp:revision>
  <cp:lastPrinted>2021-01-28T06:16:00Z</cp:lastPrinted>
  <dcterms:created xsi:type="dcterms:W3CDTF">2021-01-29T05:11:00Z</dcterms:created>
  <dcterms:modified xsi:type="dcterms:W3CDTF">2024-01-10T03:46:00Z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FCA3381EB8914523BC3293B00AF58771</vt:lpwstr>
  </property>
</Properties>
</file>